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38917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软件系统需求审核操作指南</w:t>
      </w:r>
    </w:p>
    <w:p w14:paraId="5BB4F8D2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一、目的  </w:t>
      </w:r>
    </w:p>
    <w:p w14:paraId="19A38842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为规范公司软件系统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需求提报、立项审核、开发/采购实施、验收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情况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全流程，明确申请主体、各审核部门职责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操作标准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与钉钉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《软件系统需求申请流程》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的管理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，保障软件系统建设贴合业务实际，特制定本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指南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</w:t>
      </w:r>
    </w:p>
    <w:p w14:paraId="6A29E946"/>
    <w:p w14:paraId="4CC556F1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适用范围  </w:t>
      </w:r>
    </w:p>
    <w:p w14:paraId="055BD51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本办法适用于公司各部门发起的全部软件系统需求，包含自研新建系统、第三方采购系统；覆盖部门内部使用、跨部门使用、全公司使用、对外业务层使用的软件系统。本办法与钉钉《软件系统需求申请流程》配套执行。</w:t>
      </w:r>
    </w:p>
    <w:p w14:paraId="029AA7C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5A66A1A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申请主体与责任</w:t>
      </w:r>
    </w:p>
    <w:p w14:paraId="5A474B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需求发起部门为申请主体，项目申请人（即项目负责人）为第一责任人，对业务需求合理性、内容梳理准确性承担首要责任。</w:t>
      </w:r>
    </w:p>
    <w:p w14:paraId="51DB02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项目申请人必须组织召开项目启动会，未召开启动会的项目，不允许通过钉钉审核、进入开发或者采购实施阶段。会议前申请人须提前完成以下内容梳理，并与总经办、财务、采购、IT等相关部门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green"/>
          <w:lang w:val="en-US" w:eastAsia="zh-CN" w:bidi="ar-SA"/>
        </w:rPr>
        <w:t>确认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6358"/>
      </w:tblGrid>
      <w:tr w14:paraId="794F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dxa"/>
          </w:tcPr>
          <w:p w14:paraId="44D3463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需求背景及业务痛点</w:t>
            </w:r>
          </w:p>
        </w:tc>
        <w:tc>
          <w:tcPr>
            <w:tcW w:w="6358" w:type="dxa"/>
          </w:tcPr>
          <w:p w14:paraId="436D370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梳理当前业务现存问题、现有流程短板，阐述新增系统的必要性</w:t>
            </w:r>
          </w:p>
        </w:tc>
      </w:tr>
      <w:tr w14:paraId="4094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dxa"/>
          </w:tcPr>
          <w:p w14:paraId="773E5F9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系统核心功能需求</w:t>
            </w:r>
          </w:p>
        </w:tc>
        <w:tc>
          <w:tcPr>
            <w:tcW w:w="6358" w:type="dxa"/>
          </w:tcPr>
          <w:p w14:paraId="7E2A45C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逐条梳理必备功能、可选功能、特殊业务需求，标注业务使用场景</w:t>
            </w:r>
          </w:p>
        </w:tc>
      </w:tr>
      <w:tr w14:paraId="4DED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dxa"/>
          </w:tcPr>
          <w:p w14:paraId="5E9864D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系统对接需求</w:t>
            </w:r>
          </w:p>
        </w:tc>
        <w:tc>
          <w:tcPr>
            <w:tcW w:w="6358" w:type="dxa"/>
          </w:tcPr>
          <w:p w14:paraId="2B6DC9D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梳理需要对接的 IT、财务、其他业务系统，列明对接内容、数据交互范围</w:t>
            </w:r>
          </w:p>
        </w:tc>
      </w:tr>
      <w:tr w14:paraId="63D3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dxa"/>
          </w:tcPr>
          <w:p w14:paraId="4206DC8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性能与权限要求</w:t>
            </w:r>
          </w:p>
        </w:tc>
        <w:tc>
          <w:tcPr>
            <w:tcW w:w="6358" w:type="dxa"/>
          </w:tcPr>
          <w:p w14:paraId="3356D2D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明确系统性能指标、分级权限、数据保密、访问留痕等安全管控要求</w:t>
            </w:r>
          </w:p>
        </w:tc>
      </w:tr>
      <w:tr w14:paraId="60D4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dxa"/>
          </w:tcPr>
          <w:p w14:paraId="0A6EFC8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预期效益</w:t>
            </w:r>
          </w:p>
        </w:tc>
        <w:tc>
          <w:tcPr>
            <w:tcW w:w="6358" w:type="dxa"/>
          </w:tcPr>
          <w:p w14:paraId="08E72AD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量化说明上线后提效、降本、合规风控、业务标准化等预期收益</w:t>
            </w:r>
          </w:p>
        </w:tc>
      </w:tr>
      <w:tr w14:paraId="0DC3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4" w:type="dxa"/>
          </w:tcPr>
          <w:p w14:paraId="330F4BE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第三方采购补充材料</w:t>
            </w:r>
          </w:p>
        </w:tc>
        <w:tc>
          <w:tcPr>
            <w:tcW w:w="6358" w:type="dxa"/>
          </w:tcPr>
          <w:p w14:paraId="20A8AE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若想通过第三方采购系统，需要收集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green"/>
                <w:lang w:val="en-US" w:eastAsia="zh-CN" w:bidi="ar-SA"/>
              </w:rPr>
              <w:t>1到3家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供应商初步方案及报价；报价明细必须包含：采购/开发一次性费用、年度运维/服务费、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2"/>
                <w:sz w:val="21"/>
                <w:szCs w:val="21"/>
                <w:highlight w:val="green"/>
                <w:lang w:val="en-US" w:eastAsia="zh-CN" w:bidi="ar-SA"/>
              </w:rPr>
              <w:t>设备费用,二次开发费用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,其他费用、预算总金额</w:t>
            </w:r>
          </w:p>
        </w:tc>
      </w:tr>
    </w:tbl>
    <w:p w14:paraId="4179EDE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若前期调研未完成，可提交初步需求，提请总经办协助完成调研、方案梳理工作；调研完成后补齐全套需求说明书、供应商方案/合同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green"/>
          <w:lang w:val="en-US" w:eastAsia="zh-CN" w:bidi="ar-SA"/>
        </w:rPr>
        <w:t>草案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、调研报告作为附件上传钉钉流程。</w:t>
      </w:r>
    </w:p>
    <w:p w14:paraId="100B83F0">
      <w:pPr>
        <w:rPr>
          <w:rFonts w:hint="eastAsia" w:eastAsiaTheme="minorEastAsia"/>
          <w:lang w:val="en-US" w:eastAsia="zh-CN"/>
        </w:rPr>
      </w:pPr>
    </w:p>
    <w:p w14:paraId="013D90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四、审核流程与操作规范</w:t>
      </w:r>
    </w:p>
    <w:p w14:paraId="444CC8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钉钉申请流程提交后由总经办组织如下审核，各负责部门同步进行：</w:t>
      </w:r>
    </w:p>
    <w:p w14:paraId="01E375B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总经办审核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6374"/>
      </w:tblGrid>
      <w:tr w14:paraId="07EA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48" w:type="dxa"/>
          </w:tcPr>
          <w:p w14:paraId="0BF4C4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审核模块</w:t>
            </w:r>
          </w:p>
        </w:tc>
        <w:tc>
          <w:tcPr>
            <w:tcW w:w="6374" w:type="dxa"/>
          </w:tcPr>
          <w:p w14:paraId="36777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具体审核要点</w:t>
            </w:r>
          </w:p>
        </w:tc>
      </w:tr>
      <w:tr w14:paraId="3DB6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148" w:type="dxa"/>
            <w:vAlign w:val="center"/>
          </w:tcPr>
          <w:p w14:paraId="22AE3A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战略规划匹配度</w:t>
            </w:r>
          </w:p>
        </w:tc>
        <w:tc>
          <w:tcPr>
            <w:tcW w:w="6374" w:type="dxa"/>
            <w:vAlign w:val="top"/>
          </w:tcPr>
          <w:p w14:paraId="6983CF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1.核查软件项目建设是否匹配公司整体业务、信息化发展规划；</w:t>
            </w:r>
          </w:p>
          <w:p w14:paraId="4F93E2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2.检查全套申请资料完整性，监督项目启动会组织落实情况；</w:t>
            </w:r>
          </w:p>
          <w:p w14:paraId="75BB7E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3.协调跨部门资源冲突</w:t>
            </w:r>
          </w:p>
        </w:tc>
      </w:tr>
      <w:tr w14:paraId="6BE93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48" w:type="dxa"/>
            <w:vAlign w:val="center"/>
          </w:tcPr>
          <w:p w14:paraId="37A771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技术可行性复核</w:t>
            </w:r>
          </w:p>
        </w:tc>
        <w:tc>
          <w:tcPr>
            <w:tcW w:w="6374" w:type="dxa"/>
            <w:vAlign w:val="top"/>
          </w:tcPr>
          <w:p w14:paraId="311DDB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1.评估业务需求技术可实现性；</w:t>
            </w:r>
          </w:p>
          <w:p w14:paraId="03ABF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2.评估系统执行的可行性；</w:t>
            </w:r>
          </w:p>
        </w:tc>
      </w:tr>
      <w:tr w14:paraId="79B9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48" w:type="dxa"/>
            <w:shd w:val="clear" w:color="auto" w:fill="auto"/>
            <w:vAlign w:val="center"/>
          </w:tcPr>
          <w:p w14:paraId="318F6C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重复建设核查</w:t>
            </w:r>
          </w:p>
        </w:tc>
        <w:tc>
          <w:tcPr>
            <w:tcW w:w="6374" w:type="dxa"/>
            <w:shd w:val="clear" w:color="auto" w:fill="auto"/>
            <w:vAlign w:val="top"/>
          </w:tcPr>
          <w:p w14:paraId="7D6871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1.自研项目评估内部开发人力资源；</w:t>
            </w:r>
          </w:p>
          <w:p w14:paraId="112A9C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2.第三方采购评估现有系统是否可更新/升版替代新建采购</w:t>
            </w:r>
          </w:p>
        </w:tc>
      </w:tr>
      <w:tr w14:paraId="5E14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48" w:type="dxa"/>
            <w:shd w:val="clear" w:color="auto" w:fill="auto"/>
            <w:vAlign w:val="center"/>
          </w:tcPr>
          <w:p w14:paraId="6F548D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bookmarkStart w:id="0" w:name="OLE_LINK1"/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技术方案评估</w:t>
            </w:r>
          </w:p>
        </w:tc>
        <w:tc>
          <w:tcPr>
            <w:tcW w:w="6374" w:type="dxa"/>
            <w:shd w:val="clear" w:color="auto" w:fill="auto"/>
            <w:vAlign w:val="top"/>
          </w:tcPr>
          <w:p w14:paraId="43BFC9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第三方采购审核供应商技术方案、开发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说明书、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运维服务、接口条款等合理性</w:t>
            </w:r>
          </w:p>
        </w:tc>
      </w:tr>
    </w:tbl>
    <w:p w14:paraId="31D3B2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</w:p>
    <w:p w14:paraId="4D141C2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1.1审核责任与时限</w:t>
      </w:r>
    </w:p>
    <w:p w14:paraId="4915F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终审责任人：</w:t>
      </w:r>
      <w:r>
        <w:rPr>
          <w:rFonts w:hint="eastAsia" w:ascii="宋体" w:hAnsi="宋体" w:eastAsia="宋体" w:cs="宋体"/>
          <w:kern w:val="0"/>
          <w:sz w:val="21"/>
          <w:szCs w:val="21"/>
          <w:highlight w:val="yellow"/>
          <w:lang w:val="en-US" w:eastAsia="zh-CN" w:bidi="ar"/>
        </w:rPr>
        <w:t>总经办负责人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；审核时限为收到材料起5个工作日内完成。</w:t>
      </w:r>
    </w:p>
    <w:p w14:paraId="19765A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5983EF8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2.IT审核</w:t>
      </w:r>
    </w:p>
    <w:tbl>
      <w:tblPr>
        <w:tblStyle w:val="6"/>
        <w:tblpPr w:leftFromText="180" w:rightFromText="180" w:vertAnchor="text" w:horzAnchor="page" w:tblpX="1942" w:tblpY="15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6086"/>
      </w:tblGrid>
      <w:tr w14:paraId="42051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38261E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审核模块</w:t>
            </w:r>
          </w:p>
        </w:tc>
        <w:tc>
          <w:tcPr>
            <w:tcW w:w="6086" w:type="dxa"/>
            <w:vAlign w:val="center"/>
          </w:tcPr>
          <w:p w14:paraId="1BF57E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具体审核要点</w:t>
            </w:r>
          </w:p>
        </w:tc>
      </w:tr>
      <w:tr w14:paraId="4187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475261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供方与报价核查</w:t>
            </w:r>
          </w:p>
        </w:tc>
        <w:tc>
          <w:tcPr>
            <w:tcW w:w="6086" w:type="dxa"/>
            <w:vAlign w:val="center"/>
          </w:tcPr>
          <w:p w14:paraId="3DBE32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1.核查拟建设系统与公司现有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green"/>
                <w:vertAlign w:val="baseline"/>
                <w:lang w:val="en-US" w:eastAsia="zh-CN" w:bidi="ar-SA"/>
              </w:rPr>
              <w:t>硬件配置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兼容性；</w:t>
            </w:r>
          </w:p>
          <w:p w14:paraId="71B592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2.核查性能指标、权限分级、数据保密安全方案是否满足公司数据安全规范</w:t>
            </w:r>
          </w:p>
        </w:tc>
      </w:tr>
      <w:tr w14:paraId="4689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436" w:type="dxa"/>
            <w:vAlign w:val="center"/>
          </w:tcPr>
          <w:p w14:paraId="15D901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重复建设核查</w:t>
            </w:r>
          </w:p>
        </w:tc>
        <w:tc>
          <w:tcPr>
            <w:tcW w:w="6086" w:type="dxa"/>
            <w:vAlign w:val="top"/>
          </w:tcPr>
          <w:p w14:paraId="11C23E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核查集团现有系统是否已经覆盖本次业务需求，避免重复建设</w:t>
            </w:r>
          </w:p>
        </w:tc>
      </w:tr>
    </w:tbl>
    <w:p w14:paraId="27DF1E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green"/>
          <w:lang w:val="en-US" w:eastAsia="zh-CN" w:bidi="ar-SA"/>
        </w:rPr>
        <w:t>2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.1审核责任与时限</w:t>
      </w:r>
    </w:p>
    <w:p w14:paraId="5E7A7F8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终审责任人：公司IT负责人；审核时限为收到材料起2个工作日内完成。</w:t>
      </w:r>
    </w:p>
    <w:p w14:paraId="47C276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leftChars="0"/>
        <w:jc w:val="left"/>
        <w:textAlignment w:val="auto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</w:p>
    <w:bookmarkEnd w:id="0"/>
    <w:p w14:paraId="5409E22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</w:p>
    <w:p w14:paraId="33D54F6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3.采购部审核</w:t>
      </w:r>
    </w:p>
    <w:tbl>
      <w:tblPr>
        <w:tblStyle w:val="6"/>
        <w:tblpPr w:leftFromText="180" w:rightFromText="180" w:vertAnchor="text" w:horzAnchor="page" w:tblpX="1942" w:tblpY="15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6086"/>
      </w:tblGrid>
      <w:tr w14:paraId="5FC0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238210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审核模块</w:t>
            </w:r>
          </w:p>
        </w:tc>
        <w:tc>
          <w:tcPr>
            <w:tcW w:w="6086" w:type="dxa"/>
            <w:vAlign w:val="center"/>
          </w:tcPr>
          <w:p w14:paraId="23D063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具体审核要点</w:t>
            </w:r>
          </w:p>
        </w:tc>
      </w:tr>
      <w:tr w14:paraId="37B6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3FD15F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bookmarkStart w:id="2" w:name="_GoBack"/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供方与报价核查</w:t>
            </w:r>
            <w:bookmarkEnd w:id="2"/>
          </w:p>
        </w:tc>
        <w:tc>
          <w:tcPr>
            <w:tcW w:w="6086" w:type="dxa"/>
            <w:vAlign w:val="center"/>
          </w:tcPr>
          <w:p w14:paraId="645C5D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1.第三方采购项目核查供应商资质完整性；</w:t>
            </w:r>
          </w:p>
          <w:p w14:paraId="793E4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2. 核对报价构成完整性（一次性采购费、年度运维服务费、其他费用、总预算）；</w:t>
            </w:r>
          </w:p>
          <w:p w14:paraId="4F5B84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3. 校验报价市场公允性；自研项目本模块跳过</w:t>
            </w:r>
          </w:p>
        </w:tc>
      </w:tr>
      <w:tr w14:paraId="16489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04A4A9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采购流程合规性</w:t>
            </w:r>
          </w:p>
        </w:tc>
        <w:tc>
          <w:tcPr>
            <w:tcW w:w="6086" w:type="dxa"/>
            <w:vAlign w:val="center"/>
          </w:tcPr>
          <w:tbl>
            <w:tblPr>
              <w:tblStyle w:val="5"/>
              <w:tblW w:w="7500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500"/>
            </w:tblGrid>
            <w:tr w14:paraId="5E40E2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585" w:hRule="atLeast"/>
              </w:trPr>
              <w:tc>
                <w:tcPr>
                  <w:tcW w:w="7500" w:type="dxa"/>
                  <w:tcBorders>
                    <w:top w:val="single" w:color="DEE0E3" w:sz="6" w:space="0"/>
                    <w:left w:val="single" w:color="DEE0E3" w:sz="6" w:space="0"/>
                    <w:bottom w:val="single" w:color="DEE0E3" w:sz="6" w:space="0"/>
                    <w:right w:val="single" w:color="DEE0E3" w:sz="6" w:space="0"/>
                  </w:tcBorders>
                  <w:shd w:val="clear" w:color="auto" w:fill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 w14:paraId="3B10DD10">
                  <w:pPr>
                    <w:keepNext w:val="0"/>
                    <w:keepLines w:val="0"/>
                    <w:widowControl/>
                    <w:numPr>
                      <w:ilvl w:val="0"/>
                      <w:numId w:val="3"/>
                    </w:numPr>
                    <w:suppressLineNumbers w:val="0"/>
                    <w:jc w:val="left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  <w:t>评估项目是否符合公司采购制度，是否需要比价、招标；</w:t>
                  </w:r>
                </w:p>
                <w:p w14:paraId="3F0001D4">
                  <w:pPr>
                    <w:keepNext w:val="0"/>
                    <w:keepLines w:val="0"/>
                    <w:widowControl/>
                    <w:numPr>
                      <w:ilvl w:val="0"/>
                      <w:numId w:val="3"/>
                    </w:numPr>
                    <w:suppressLineNumbers w:val="0"/>
                    <w:jc w:val="left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  <w:t>核查实施、培训、售后等服务条款完整性</w:t>
                  </w:r>
                </w:p>
              </w:tc>
            </w:tr>
          </w:tbl>
          <w:p w14:paraId="225E77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041964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C4402A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3.1审核责任与时限</w:t>
      </w:r>
    </w:p>
    <w:p w14:paraId="0F330C3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终审责任人：公司采购负责人；审核时限为收到材料起5个工作日内完成。</w:t>
      </w:r>
    </w:p>
    <w:p w14:paraId="0F1192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</w:p>
    <w:p w14:paraId="71A3E33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4.财务部门审核</w:t>
      </w:r>
    </w:p>
    <w:tbl>
      <w:tblPr>
        <w:tblStyle w:val="6"/>
        <w:tblpPr w:leftFromText="180" w:rightFromText="180" w:vertAnchor="text" w:horzAnchor="page" w:tblpX="1942" w:tblpY="15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6086"/>
      </w:tblGrid>
      <w:tr w14:paraId="1ACB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0A48B5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审核模块</w:t>
            </w:r>
          </w:p>
        </w:tc>
        <w:tc>
          <w:tcPr>
            <w:tcW w:w="6086" w:type="dxa"/>
            <w:vAlign w:val="center"/>
          </w:tcPr>
          <w:p w14:paraId="0BEE97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具体审核要点</w:t>
            </w:r>
          </w:p>
        </w:tc>
      </w:tr>
      <w:tr w14:paraId="33A4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4C2809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现有业务量核查</w:t>
            </w:r>
          </w:p>
        </w:tc>
        <w:tc>
          <w:tcPr>
            <w:tcW w:w="6086" w:type="dxa"/>
            <w:vAlign w:val="center"/>
          </w:tcPr>
          <w:p w14:paraId="63CA725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申请中填报的现有业务量数据真实可靠；</w:t>
            </w:r>
          </w:p>
          <w:p w14:paraId="28A1FC0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数据与财务系统记录保持一致</w:t>
            </w:r>
          </w:p>
        </w:tc>
      </w:tr>
      <w:tr w14:paraId="66A0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76C60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预期业务量评估</w:t>
            </w:r>
          </w:p>
        </w:tc>
        <w:tc>
          <w:tcPr>
            <w:tcW w:w="6086" w:type="dxa"/>
            <w:vAlign w:val="center"/>
          </w:tcPr>
          <w:tbl>
            <w:tblPr>
              <w:tblStyle w:val="5"/>
              <w:tblW w:w="7500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500"/>
            </w:tblGrid>
            <w:tr w14:paraId="5EF12C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585" w:hRule="atLeast"/>
              </w:trPr>
              <w:tc>
                <w:tcPr>
                  <w:tcW w:w="7500" w:type="dxa"/>
                  <w:tcBorders>
                    <w:top w:val="single" w:color="DEE0E3" w:sz="6" w:space="0"/>
                    <w:left w:val="single" w:color="DEE0E3" w:sz="6" w:space="0"/>
                    <w:bottom w:val="single" w:color="DEE0E3" w:sz="6" w:space="0"/>
                    <w:right w:val="single" w:color="DEE0E3" w:sz="6" w:space="0"/>
                  </w:tcBorders>
                  <w:shd w:val="clear" w:color="auto" w:fill="auto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top"/>
                </w:tcPr>
                <w:p w14:paraId="74A53CD2">
                  <w:pPr>
                    <w:keepNext w:val="0"/>
                    <w:keepLines w:val="0"/>
                    <w:widowControl/>
                    <w:numPr>
                      <w:ilvl w:val="0"/>
                      <w:numId w:val="5"/>
                    </w:numPr>
                    <w:suppressLineNumbers w:val="0"/>
                    <w:jc w:val="both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  <w:t>预期业务量的预测依据充分（如市场分析报告、订单趋势等）；</w:t>
                  </w:r>
                </w:p>
                <w:p w14:paraId="66D4F8AC">
                  <w:pPr>
                    <w:keepNext w:val="0"/>
                    <w:keepLines w:val="0"/>
                    <w:widowControl/>
                    <w:numPr>
                      <w:ilvl w:val="0"/>
                      <w:numId w:val="5"/>
                    </w:numPr>
                    <w:suppressLineNumbers w:val="0"/>
                    <w:jc w:val="both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21"/>
                      <w:szCs w:val="21"/>
                      <w:vertAlign w:val="baseline"/>
                      <w:lang w:val="en-US" w:eastAsia="zh-CN" w:bidi="ar-SA"/>
                    </w:rPr>
                    <w:t>与公司年度经营目标匹配</w:t>
                  </w:r>
                </w:p>
              </w:tc>
            </w:tr>
          </w:tbl>
          <w:p w14:paraId="3B41F76F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FC3E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436" w:type="dxa"/>
            <w:vAlign w:val="center"/>
          </w:tcPr>
          <w:p w14:paraId="73ACDD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投资回收期测算</w:t>
            </w:r>
          </w:p>
        </w:tc>
        <w:tc>
          <w:tcPr>
            <w:tcW w:w="6086" w:type="dxa"/>
            <w:vAlign w:val="center"/>
          </w:tcPr>
          <w:p w14:paraId="30BBE1C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成本测算覆盖设备采购、安装、运维等全周期费用；</w:t>
            </w:r>
          </w:p>
          <w:p w14:paraId="57BD36F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收益测算逻辑符合业务实际；</w:t>
            </w:r>
          </w:p>
          <w:p w14:paraId="7E33757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回收期计算方式规范、结果准确</w:t>
            </w:r>
          </w:p>
        </w:tc>
      </w:tr>
    </w:tbl>
    <w:p w14:paraId="34CC2E92">
      <w:pPr>
        <w:rPr>
          <w:rFonts w:hint="default"/>
          <w:lang w:val="en-US" w:eastAsia="zh-CN"/>
        </w:rPr>
      </w:pPr>
    </w:p>
    <w:p w14:paraId="32A25D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4.1审核责任与时限</w:t>
      </w:r>
    </w:p>
    <w:p w14:paraId="4610B02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终审责任人：财务部门负责人；审核时限为收到材料起3个工作日内完成。</w:t>
      </w:r>
    </w:p>
    <w:p w14:paraId="7A4E90E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306B33F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五、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附则  </w:t>
      </w:r>
    </w:p>
    <w:p w14:paraId="1B05C33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本办法由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总经办</w:t>
      </w:r>
      <w:r>
        <w:rPr>
          <w:rFonts w:hint="eastAsia" w:ascii="宋体" w:hAnsi="宋体" w:eastAsia="宋体" w:cs="宋体"/>
          <w:sz w:val="21"/>
          <w:szCs w:val="21"/>
        </w:rPr>
        <w:t>负责解释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修订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与维护</w:t>
      </w:r>
      <w:r>
        <w:rPr>
          <w:rFonts w:hint="eastAsia" w:ascii="宋体" w:hAnsi="宋体" w:eastAsia="宋体" w:cs="宋体"/>
          <w:sz w:val="21"/>
          <w:szCs w:val="21"/>
        </w:rPr>
        <w:t xml:space="preserve">。  </w:t>
      </w:r>
    </w:p>
    <w:p w14:paraId="021243D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本办法自发布之日起实施。</w:t>
      </w:r>
    </w:p>
    <w:p w14:paraId="413B422D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3DBA202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附件：  </w:t>
      </w:r>
    </w:p>
    <w:p w14:paraId="29EEAD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《</w:t>
      </w:r>
      <w:bookmarkStart w:id="1" w:name="OLE_LINK2"/>
      <w:r>
        <w:t>软件系统项目验收模板</w:t>
      </w:r>
      <w:bookmarkEnd w:id="1"/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2026版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 xml:space="preserve">》   </w:t>
      </w:r>
    </w:p>
    <w:p w14:paraId="088F38FA">
      <w:pPr>
        <w:rPr>
          <w:rFonts w:hint="eastAsia" w:ascii="宋体" w:hAnsi="宋体" w:eastAsia="宋体" w:cs="宋体"/>
          <w:sz w:val="21"/>
          <w:szCs w:val="21"/>
        </w:rPr>
      </w:pPr>
    </w:p>
    <w:p w14:paraId="20361849">
      <w:pPr>
        <w:jc w:val="righ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编制部门：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总经办</w:t>
      </w:r>
    </w:p>
    <w:p w14:paraId="34BC0984">
      <w:pPr>
        <w:jc w:val="right"/>
        <w:rPr>
          <w:rFonts w:hint="eastAsia" w:ascii="等线" w:hAnsi="等线" w:eastAsia="等线" w:cs="等线"/>
          <w:b/>
          <w:bCs/>
          <w:sz w:val="32"/>
          <w:szCs w:val="40"/>
        </w:rPr>
      </w:pPr>
      <w:r>
        <w:rPr>
          <w:rFonts w:hint="eastAsia" w:ascii="宋体" w:hAnsi="宋体" w:eastAsia="宋体" w:cs="宋体"/>
          <w:sz w:val="21"/>
          <w:szCs w:val="21"/>
        </w:rPr>
        <w:t>发布日期：202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sz w:val="21"/>
          <w:szCs w:val="21"/>
        </w:rPr>
        <w:t>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11</w:t>
      </w:r>
      <w:r>
        <w:rPr>
          <w:rFonts w:hint="eastAsia" w:ascii="宋体" w:hAnsi="宋体" w:eastAsia="宋体" w:cs="宋体"/>
          <w:sz w:val="21"/>
          <w:szCs w:val="21"/>
        </w:rPr>
        <w:t>日</w:t>
      </w:r>
    </w:p>
    <w:p w14:paraId="6D1E20E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3AB9C1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39984C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473FE24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3442A2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7FC62F9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0203D3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2FA6B9F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64D259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247FE4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40FB2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449747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476B075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61E126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0594CD4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9EF10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26C205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008941E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3CC6AB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4BE6CF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2302D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2CCF6E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03B059E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547B2B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7C5181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222A99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6F4162A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63A96B8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7560311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EE99A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0628EF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6D8E077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4DC5EE8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20507FA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327153D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3EF4B5C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1CDD8768">
      <w:pPr>
        <w:jc w:val="center"/>
        <w:rPr>
          <w:rFonts w:ascii="等线" w:hAnsi="等线" w:eastAsia="等线" w:cs="等线"/>
          <w:b/>
          <w:bCs/>
          <w:sz w:val="32"/>
          <w:szCs w:val="40"/>
        </w:rPr>
      </w:pPr>
      <w:r>
        <w:rPr>
          <w:rFonts w:hint="eastAsia" w:ascii="等线" w:hAnsi="等线" w:eastAsia="等线" w:cs="等线"/>
          <w:b/>
          <w:bCs/>
          <w:sz w:val="32"/>
          <w:szCs w:val="40"/>
        </w:rPr>
        <w:t>上海瑛泰医疗器械</w:t>
      </w:r>
      <w:r>
        <w:rPr>
          <w:rFonts w:hint="eastAsia" w:ascii="等线" w:hAnsi="等线" w:eastAsia="等线" w:cs="等线"/>
          <w:b/>
          <w:bCs/>
          <w:sz w:val="32"/>
          <w:szCs w:val="40"/>
          <w:highlight w:val="green"/>
          <w:lang w:val="en-US" w:eastAsia="zh-CN"/>
        </w:rPr>
        <w:t>股</w:t>
      </w:r>
      <w:r>
        <w:rPr>
          <w:rFonts w:hint="eastAsia" w:ascii="等线" w:hAnsi="等线" w:eastAsia="等线" w:cs="等线"/>
          <w:b/>
          <w:bCs/>
          <w:sz w:val="32"/>
          <w:szCs w:val="40"/>
        </w:rPr>
        <w:t>份有限公司</w:t>
      </w:r>
    </w:p>
    <w:p w14:paraId="79A057B3">
      <w:pPr>
        <w:jc w:val="center"/>
        <w:rPr>
          <w:rFonts w:ascii="等线" w:hAnsi="等线" w:eastAsia="等线" w:cs="等线"/>
          <w:sz w:val="18"/>
          <w:szCs w:val="21"/>
        </w:rPr>
      </w:pPr>
      <w:r>
        <w:rPr>
          <w:rFonts w:hint="eastAsia" w:ascii="等线" w:hAnsi="等线" w:eastAsia="等线" w:cs="等线"/>
          <w:b/>
          <w:bCs/>
          <w:sz w:val="28"/>
          <w:szCs w:val="36"/>
        </w:rPr>
        <w:t xml:space="preserve">                </w:t>
      </w:r>
      <w:r>
        <w:rPr>
          <w:rFonts w:hint="eastAsia" w:ascii="等线" w:hAnsi="等线" w:eastAsia="等线" w:cs="等线"/>
          <w:b/>
          <w:bCs/>
          <w:sz w:val="28"/>
          <w:szCs w:val="36"/>
          <w:lang w:val="en-US" w:eastAsia="zh-CN"/>
        </w:rPr>
        <w:t xml:space="preserve">    </w:t>
      </w:r>
      <w:r>
        <w:rPr>
          <w:rFonts w:hint="eastAsia" w:ascii="等线" w:hAnsi="等线" w:eastAsia="等线" w:cs="等线"/>
          <w:b/>
          <w:bCs/>
          <w:sz w:val="28"/>
          <w:szCs w:val="36"/>
        </w:rPr>
        <w:t xml:space="preserve">软件系统项目验收模板             </w:t>
      </w:r>
      <w:r>
        <w:rPr>
          <w:rFonts w:hint="eastAsia" w:ascii="等线" w:hAnsi="等线" w:eastAsia="等线" w:cs="等线"/>
          <w:b/>
          <w:bCs/>
          <w:sz w:val="28"/>
          <w:szCs w:val="36"/>
          <w:lang w:val="en-US" w:eastAsia="zh-CN"/>
        </w:rPr>
        <w:t xml:space="preserve">  </w:t>
      </w:r>
      <w:r>
        <w:rPr>
          <w:rFonts w:hint="eastAsia" w:ascii="等线" w:hAnsi="等线" w:eastAsia="等线" w:cs="等线"/>
          <w:sz w:val="18"/>
          <w:szCs w:val="21"/>
        </w:rPr>
        <w:t>202</w:t>
      </w:r>
      <w:r>
        <w:rPr>
          <w:rFonts w:hint="eastAsia" w:ascii="等线" w:hAnsi="等线" w:eastAsia="等线" w:cs="等线"/>
          <w:sz w:val="18"/>
          <w:szCs w:val="21"/>
          <w:lang w:val="en-US" w:eastAsia="zh-CN"/>
        </w:rPr>
        <w:t>6</w:t>
      </w:r>
      <w:r>
        <w:rPr>
          <w:rFonts w:hint="eastAsia" w:ascii="等线" w:hAnsi="等线" w:eastAsia="等线" w:cs="等线"/>
          <w:sz w:val="18"/>
          <w:szCs w:val="21"/>
        </w:rPr>
        <w:t>版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29"/>
        <w:gridCol w:w="2131"/>
        <w:gridCol w:w="2154"/>
      </w:tblGrid>
      <w:tr w14:paraId="7E48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000" w:type="pct"/>
            <w:gridSpan w:val="4"/>
            <w:vAlign w:val="center"/>
          </w:tcPr>
          <w:p w14:paraId="77A4FC29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一、项目概要</w:t>
            </w:r>
          </w:p>
        </w:tc>
      </w:tr>
      <w:tr w14:paraId="3FE2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37" w:type="pct"/>
            <w:vAlign w:val="center"/>
          </w:tcPr>
          <w:p w14:paraId="7DAFF6EA">
            <w:pPr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项目名称</w:t>
            </w:r>
          </w:p>
        </w:tc>
        <w:tc>
          <w:tcPr>
            <w:tcW w:w="1249" w:type="pct"/>
            <w:vAlign w:val="center"/>
          </w:tcPr>
          <w:p w14:paraId="4ECEB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auto"/>
              <w:rPr>
                <w:rFonts w:ascii="等线" w:hAnsi="等线" w:eastAsia="等线" w:cs="等线"/>
              </w:rPr>
            </w:pPr>
          </w:p>
        </w:tc>
        <w:tc>
          <w:tcPr>
            <w:tcW w:w="1250" w:type="pct"/>
            <w:vAlign w:val="center"/>
          </w:tcPr>
          <w:p w14:paraId="761BE5DF">
            <w:pPr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交付内容</w:t>
            </w:r>
          </w:p>
        </w:tc>
        <w:tc>
          <w:tcPr>
            <w:tcW w:w="1263" w:type="pct"/>
            <w:vAlign w:val="center"/>
          </w:tcPr>
          <w:p w14:paraId="64BE1553">
            <w:pPr>
              <w:jc w:val="left"/>
              <w:rPr>
                <w:rFonts w:hint="eastAsia" w:ascii="宋体" w:hAnsi="宋体" w:eastAsia="宋体" w:cs="宋体"/>
                <w:i/>
                <w:iCs/>
                <w:color w:val="808080" w:themeColor="text1" w:themeTint="80"/>
                <w:kern w:val="0"/>
                <w:sz w:val="13"/>
                <w:szCs w:val="13"/>
                <w:lang w:val="en-US" w:eastAsia="zh-CN" w:bidi="ar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808080" w:themeColor="text1" w:themeTint="80"/>
                <w:kern w:val="0"/>
                <w:sz w:val="13"/>
                <w:szCs w:val="13"/>
                <w:lang w:val="en-US" w:eastAsia="zh-CN" w:bidi="ar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填写软件名称</w:t>
            </w:r>
          </w:p>
          <w:p w14:paraId="3C8B260D">
            <w:pPr>
              <w:jc w:val="left"/>
              <w:rPr>
                <w:rFonts w:hint="default" w:ascii="等线" w:hAnsi="等线" w:eastAsia="等线" w:cs="等线"/>
                <w:lang w:val="en-US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808080" w:themeColor="text1" w:themeTint="80"/>
                <w:kern w:val="0"/>
                <w:sz w:val="13"/>
                <w:szCs w:val="13"/>
                <w:lang w:val="en-US" w:eastAsia="zh-CN" w:bidi="ar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（如：电子批记录系统 2026）</w:t>
            </w:r>
          </w:p>
        </w:tc>
      </w:tr>
      <w:tr w14:paraId="576F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37" w:type="pct"/>
            <w:vAlign w:val="center"/>
          </w:tcPr>
          <w:p w14:paraId="295C5ABA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项目性质</w:t>
            </w:r>
          </w:p>
        </w:tc>
        <w:tc>
          <w:tcPr>
            <w:tcW w:w="1249" w:type="pct"/>
            <w:vAlign w:val="center"/>
          </w:tcPr>
          <w:p w14:paraId="4D0D6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auto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自制（ ）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 xml:space="preserve"> </w:t>
            </w:r>
            <w:r>
              <w:rPr>
                <w:rFonts w:hint="eastAsia" w:ascii="等线" w:hAnsi="等线" w:eastAsia="等线" w:cs="等线"/>
              </w:rPr>
              <w:t>外购（ ）</w:t>
            </w:r>
          </w:p>
        </w:tc>
        <w:tc>
          <w:tcPr>
            <w:tcW w:w="1250" w:type="pct"/>
            <w:vAlign w:val="center"/>
          </w:tcPr>
          <w:p w14:paraId="6225E2F0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投入预算（万元）</w:t>
            </w:r>
          </w:p>
        </w:tc>
        <w:tc>
          <w:tcPr>
            <w:tcW w:w="1263" w:type="pct"/>
            <w:vAlign w:val="center"/>
          </w:tcPr>
          <w:p w14:paraId="5A077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left"/>
              <w:textAlignment w:val="auto"/>
              <w:rPr>
                <w:rFonts w:hint="default" w:ascii="等线" w:hAnsi="等线" w:eastAsia="等线" w:cs="等线"/>
                <w:lang w:val="en-US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808080" w:themeColor="text1" w:themeTint="80"/>
                <w:kern w:val="0"/>
                <w:sz w:val="13"/>
                <w:szCs w:val="13"/>
                <w:lang w:val="en-US" w:eastAsia="zh-CN" w:bidi="ar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该项目一次性支付的内容及后续每年的费用预计</w:t>
            </w:r>
          </w:p>
        </w:tc>
      </w:tr>
      <w:tr w14:paraId="46D40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237" w:type="pct"/>
            <w:shd w:val="clear" w:color="auto" w:fill="auto"/>
            <w:vAlign w:val="center"/>
          </w:tcPr>
          <w:p w14:paraId="0D0DBA3A">
            <w:pPr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验收负责部门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28E5305">
            <w:pPr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7454D951">
            <w:pPr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验收负责人</w:t>
            </w:r>
          </w:p>
        </w:tc>
        <w:tc>
          <w:tcPr>
            <w:tcW w:w="1263" w:type="pct"/>
            <w:vAlign w:val="center"/>
          </w:tcPr>
          <w:p w14:paraId="50B78B3A">
            <w:pPr>
              <w:jc w:val="left"/>
              <w:rPr>
                <w:rFonts w:ascii="等线" w:hAnsi="等线" w:eastAsia="等线" w:cs="等线"/>
              </w:rPr>
            </w:pPr>
          </w:p>
        </w:tc>
      </w:tr>
      <w:tr w14:paraId="6EE6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37" w:type="pct"/>
            <w:shd w:val="clear" w:color="auto" w:fill="auto"/>
            <w:vAlign w:val="center"/>
          </w:tcPr>
          <w:p w14:paraId="79E1BA0C">
            <w:pPr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开发部门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0A5F5B2F">
            <w:pPr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0A029DF9">
            <w:pPr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开发负责人</w:t>
            </w:r>
          </w:p>
        </w:tc>
        <w:tc>
          <w:tcPr>
            <w:tcW w:w="1263" w:type="pct"/>
            <w:vAlign w:val="center"/>
          </w:tcPr>
          <w:p w14:paraId="755C955D">
            <w:pPr>
              <w:jc w:val="left"/>
              <w:rPr>
                <w:rFonts w:ascii="等线" w:hAnsi="等线" w:eastAsia="等线" w:cs="等线"/>
              </w:rPr>
            </w:pPr>
          </w:p>
        </w:tc>
      </w:tr>
      <w:tr w14:paraId="12C5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5C09C6ED">
            <w:pPr>
              <w:jc w:val="left"/>
              <w:rPr>
                <w:rFonts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二、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系统</w:t>
            </w:r>
            <w:r>
              <w:rPr>
                <w:rFonts w:hint="eastAsia" w:ascii="等线" w:hAnsi="等线" w:eastAsia="等线" w:cs="等线"/>
                <w:b/>
                <w:bCs/>
              </w:rPr>
              <w:t>简述</w:t>
            </w:r>
          </w:p>
          <w:p w14:paraId="5D75EF46">
            <w:pPr>
              <w:jc w:val="left"/>
              <w:rPr>
                <w:rFonts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项目需简要</w:t>
            </w: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说明</w:t>
            </w: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：</w:t>
            </w:r>
          </w:p>
          <w:p w14:paraId="13FF9FD2">
            <w:pPr>
              <w:jc w:val="left"/>
              <w:rPr>
                <w:rFonts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⑴</w:t>
            </w: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系统的大致功能和作用</w:t>
            </w: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；</w:t>
            </w:r>
          </w:p>
          <w:p w14:paraId="099450C5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⑵30万以上项目除以上要点之外，还需附该项目的</w:t>
            </w: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需求说明书、供应商方案/合同、调研报告</w:t>
            </w:r>
            <w:r>
              <w:rPr>
                <w:rFonts w:hint="eastAsia" w:ascii="等线" w:hAnsi="等线" w:eastAsia="等线" w:cs="等线"/>
                <w:color w:val="404040" w:themeColor="text1" w:themeTint="BF"/>
                <w:sz w:val="18"/>
                <w:szCs w:val="21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。</w:t>
            </w:r>
          </w:p>
        </w:tc>
      </w:tr>
      <w:tr w14:paraId="13DF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6F8E412A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开发</w:t>
            </w:r>
            <w:r>
              <w:rPr>
                <w:rFonts w:hint="eastAsia" w:ascii="等线" w:hAnsi="等线" w:eastAsia="等线" w:cs="等线"/>
              </w:rPr>
              <w:t>负责人意见：</w:t>
            </w:r>
          </w:p>
          <w:p w14:paraId="7A7F79FF">
            <w:pPr>
              <w:jc w:val="left"/>
              <w:rPr>
                <w:rFonts w:ascii="等线" w:hAnsi="等线" w:eastAsia="等线" w:cs="等线"/>
              </w:rPr>
            </w:pPr>
          </w:p>
          <w:p w14:paraId="78E9250B">
            <w:pPr>
              <w:jc w:val="left"/>
              <w:rPr>
                <w:rFonts w:ascii="等线" w:hAnsi="等线" w:eastAsia="等线" w:cs="等线"/>
              </w:rPr>
            </w:pPr>
          </w:p>
          <w:p w14:paraId="524BD0BF">
            <w:pPr>
              <w:jc w:val="left"/>
              <w:rPr>
                <w:rFonts w:ascii="等线" w:hAnsi="等线" w:eastAsia="等线" w:cs="等线"/>
              </w:rPr>
            </w:pPr>
          </w:p>
          <w:p w14:paraId="36A9DFAC">
            <w:pPr>
              <w:jc w:val="left"/>
              <w:rPr>
                <w:rFonts w:ascii="等线" w:hAnsi="等线" w:eastAsia="等线" w:cs="等线"/>
              </w:rPr>
            </w:pPr>
          </w:p>
          <w:p w14:paraId="71B684CE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                                       签字：             日期：</w:t>
            </w:r>
          </w:p>
        </w:tc>
      </w:tr>
      <w:tr w14:paraId="0EDC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2198170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各部门</w:t>
            </w:r>
            <w:r>
              <w:rPr>
                <w:rFonts w:hint="eastAsia" w:ascii="等线" w:hAnsi="等线" w:eastAsia="等线" w:cs="等线"/>
              </w:rPr>
              <w:t>负责人意见：</w:t>
            </w:r>
          </w:p>
          <w:p w14:paraId="4C396A8D">
            <w:pPr>
              <w:jc w:val="left"/>
              <w:rPr>
                <w:rFonts w:ascii="等线" w:hAnsi="等线" w:eastAsia="等线" w:cs="等线"/>
              </w:rPr>
            </w:pPr>
          </w:p>
          <w:p w14:paraId="5860007E">
            <w:pPr>
              <w:jc w:val="left"/>
              <w:rPr>
                <w:rFonts w:ascii="等线" w:hAnsi="等线" w:eastAsia="等线" w:cs="等线"/>
              </w:rPr>
            </w:pPr>
          </w:p>
          <w:p w14:paraId="54C8F836">
            <w:pPr>
              <w:jc w:val="left"/>
              <w:rPr>
                <w:rFonts w:ascii="等线" w:hAnsi="等线" w:eastAsia="等线" w:cs="等线"/>
              </w:rPr>
            </w:pPr>
          </w:p>
          <w:p w14:paraId="46E2A883">
            <w:pPr>
              <w:jc w:val="left"/>
              <w:rPr>
                <w:rFonts w:ascii="等线" w:hAnsi="等线" w:eastAsia="等线" w:cs="等线"/>
              </w:rPr>
            </w:pPr>
          </w:p>
          <w:p w14:paraId="39B5D476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                                       签字：             日期：</w:t>
            </w:r>
          </w:p>
        </w:tc>
      </w:tr>
      <w:tr w14:paraId="61A0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FDFFAAC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总经办负责人意见：</w:t>
            </w:r>
          </w:p>
          <w:p w14:paraId="79508C11">
            <w:pPr>
              <w:jc w:val="left"/>
              <w:rPr>
                <w:rFonts w:ascii="等线" w:hAnsi="等线" w:eastAsia="等线" w:cs="等线"/>
              </w:rPr>
            </w:pPr>
          </w:p>
          <w:p w14:paraId="1D5B8988">
            <w:pPr>
              <w:jc w:val="left"/>
              <w:rPr>
                <w:rFonts w:ascii="等线" w:hAnsi="等线" w:eastAsia="等线" w:cs="等线"/>
              </w:rPr>
            </w:pPr>
          </w:p>
          <w:p w14:paraId="7542CDFB">
            <w:pPr>
              <w:jc w:val="left"/>
              <w:rPr>
                <w:rFonts w:ascii="等线" w:hAnsi="等线" w:eastAsia="等线" w:cs="等线"/>
              </w:rPr>
            </w:pPr>
          </w:p>
          <w:p w14:paraId="14175291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 </w:t>
            </w:r>
          </w:p>
          <w:p w14:paraId="3E2E7C6C">
            <w:pPr>
              <w:jc w:val="left"/>
              <w:rPr>
                <w:rFonts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                                       签字：             日期：</w:t>
            </w:r>
          </w:p>
        </w:tc>
      </w:tr>
    </w:tbl>
    <w:p w14:paraId="28AFA4B4">
      <w:pPr>
        <w:jc w:val="left"/>
        <w:rPr>
          <w:rFonts w:ascii="等线" w:hAnsi="等线" w:eastAsia="等线" w:cs="等线"/>
          <w:sz w:val="18"/>
          <w:szCs w:val="18"/>
        </w:rPr>
      </w:pPr>
      <w:r>
        <w:rPr>
          <w:rFonts w:hint="eastAsia" w:ascii="等线" w:hAnsi="等线" w:eastAsia="等线" w:cs="等线"/>
          <w:sz w:val="18"/>
          <w:szCs w:val="18"/>
        </w:rPr>
        <w:t>填表说明：</w:t>
      </w:r>
      <w:r>
        <w:rPr>
          <w:rFonts w:hint="eastAsia" w:ascii="等线" w:hAnsi="等线" w:eastAsia="等线" w:cs="等线"/>
          <w:sz w:val="18"/>
          <w:szCs w:val="21"/>
        </w:rPr>
        <w:t>⑴</w:t>
      </w:r>
      <w:r>
        <w:rPr>
          <w:rFonts w:hint="eastAsia" w:ascii="等线" w:hAnsi="等线" w:eastAsia="等线" w:cs="等线"/>
          <w:sz w:val="18"/>
          <w:szCs w:val="18"/>
        </w:rPr>
        <w:t>本表用于</w:t>
      </w:r>
      <w:r>
        <w:rPr>
          <w:rFonts w:hint="eastAsia" w:ascii="等线" w:hAnsi="等线" w:eastAsia="等线" w:cs="等线"/>
          <w:sz w:val="18"/>
          <w:szCs w:val="18"/>
          <w:lang w:val="en-US" w:eastAsia="zh-CN"/>
        </w:rPr>
        <w:t>内部开发的软件系统项目验收</w:t>
      </w:r>
      <w:r>
        <w:rPr>
          <w:rFonts w:hint="eastAsia" w:ascii="等线" w:hAnsi="等线" w:eastAsia="等线" w:cs="等线"/>
          <w:sz w:val="18"/>
          <w:szCs w:val="18"/>
        </w:rPr>
        <w:t>；</w:t>
      </w:r>
      <w:r>
        <w:rPr>
          <w:rFonts w:hint="eastAsia" w:ascii="等线" w:hAnsi="等线" w:eastAsia="等线" w:cs="等线"/>
          <w:sz w:val="18"/>
          <w:szCs w:val="21"/>
        </w:rPr>
        <w:t xml:space="preserve">⑵ </w:t>
      </w:r>
      <w:r>
        <w:rPr>
          <w:rFonts w:hint="eastAsia" w:ascii="等线" w:hAnsi="等线" w:eastAsia="等线" w:cs="等线"/>
          <w:sz w:val="18"/>
          <w:szCs w:val="18"/>
        </w:rPr>
        <w:t>凡是投资总额超过</w:t>
      </w:r>
      <w:r>
        <w:rPr>
          <w:rFonts w:hint="eastAsia" w:ascii="等线" w:hAnsi="等线" w:eastAsia="等线" w:cs="等线"/>
          <w:sz w:val="18"/>
          <w:szCs w:val="18"/>
          <w:lang w:val="en-US" w:eastAsia="zh-CN"/>
        </w:rPr>
        <w:t>3</w:t>
      </w:r>
      <w:r>
        <w:rPr>
          <w:rFonts w:hint="eastAsia" w:ascii="等线" w:hAnsi="等线" w:eastAsia="等线" w:cs="等线"/>
          <w:sz w:val="18"/>
          <w:szCs w:val="18"/>
        </w:rPr>
        <w:t>0万元人民币</w:t>
      </w:r>
      <w:r>
        <w:rPr>
          <w:rFonts w:hint="eastAsia" w:ascii="等线" w:hAnsi="等线" w:eastAsia="等线" w:cs="等线"/>
          <w:sz w:val="18"/>
          <w:szCs w:val="18"/>
          <w:lang w:val="en-US" w:eastAsia="zh-CN"/>
        </w:rPr>
        <w:t>的</w:t>
      </w:r>
      <w:r>
        <w:rPr>
          <w:rFonts w:hint="eastAsia" w:ascii="等线" w:hAnsi="等线" w:eastAsia="等线" w:cs="等线"/>
          <w:sz w:val="18"/>
          <w:szCs w:val="18"/>
        </w:rPr>
        <w:t>项目，需经批准后才能予以实施；</w:t>
      </w:r>
      <w:r>
        <w:rPr>
          <w:rFonts w:hint="eastAsia" w:ascii="等线" w:hAnsi="等线" w:eastAsia="等线" w:cs="等线"/>
          <w:sz w:val="18"/>
          <w:szCs w:val="21"/>
        </w:rPr>
        <w:t>⑶</w:t>
      </w:r>
      <w:r>
        <w:rPr>
          <w:rFonts w:hint="eastAsia" w:ascii="等线" w:hAnsi="等线" w:eastAsia="等线" w:cs="等线"/>
          <w:sz w:val="18"/>
          <w:szCs w:val="18"/>
        </w:rPr>
        <w:t>本表可添加附件；</w:t>
      </w:r>
      <w:r>
        <w:rPr>
          <w:rFonts w:hint="eastAsia" w:ascii="等线" w:hAnsi="等线" w:eastAsia="等线" w:cs="等线"/>
          <w:sz w:val="18"/>
          <w:szCs w:val="21"/>
        </w:rPr>
        <w:t xml:space="preserve"> ⑷</w:t>
      </w:r>
      <w:r>
        <w:rPr>
          <w:rFonts w:hint="eastAsia" w:ascii="等线" w:hAnsi="等线" w:eastAsia="等线" w:cs="等线"/>
          <w:sz w:val="18"/>
          <w:szCs w:val="18"/>
        </w:rPr>
        <w:t>自202</w:t>
      </w:r>
      <w:r>
        <w:rPr>
          <w:rFonts w:hint="eastAsia" w:ascii="等线" w:hAnsi="等线" w:eastAsia="等线" w:cs="等线"/>
          <w:sz w:val="18"/>
          <w:szCs w:val="18"/>
          <w:lang w:val="en-US" w:eastAsia="zh-CN"/>
        </w:rPr>
        <w:t>6</w:t>
      </w:r>
      <w:r>
        <w:rPr>
          <w:rFonts w:hint="eastAsia" w:ascii="等线" w:hAnsi="等线" w:eastAsia="等线" w:cs="等线"/>
          <w:sz w:val="18"/>
          <w:szCs w:val="18"/>
        </w:rPr>
        <w:t>年</w:t>
      </w:r>
      <w:r>
        <w:rPr>
          <w:rFonts w:hint="eastAsia" w:ascii="等线" w:hAnsi="等线" w:eastAsia="等线" w:cs="等线"/>
          <w:sz w:val="18"/>
          <w:szCs w:val="18"/>
          <w:lang w:val="en-US" w:eastAsia="zh-CN"/>
        </w:rPr>
        <w:t>9</w:t>
      </w:r>
      <w:r>
        <w:rPr>
          <w:rFonts w:hint="eastAsia" w:ascii="等线" w:hAnsi="等线" w:eastAsia="等线" w:cs="等线"/>
          <w:sz w:val="18"/>
          <w:szCs w:val="18"/>
        </w:rPr>
        <w:t>月起，项目立项均按此表执行，之前所有版本均失效。</w:t>
      </w:r>
    </w:p>
    <w:p w14:paraId="15218A7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9241B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BE6D0"/>
    <w:multiLevelType w:val="singleLevel"/>
    <w:tmpl w:val="91FBE6D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A98D66"/>
    <w:multiLevelType w:val="singleLevel"/>
    <w:tmpl w:val="BCA98D6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44FFD14"/>
    <w:multiLevelType w:val="singleLevel"/>
    <w:tmpl w:val="C44FFD1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9DEF29F"/>
    <w:multiLevelType w:val="singleLevel"/>
    <w:tmpl w:val="C9DEF2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EA2088E"/>
    <w:multiLevelType w:val="singleLevel"/>
    <w:tmpl w:val="5EA208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D031FE3"/>
    <w:multiLevelType w:val="singleLevel"/>
    <w:tmpl w:val="7D031FE3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wODE3ZGZhYjU5OTFkODcxMjJiYTMxNDY4MTBiNTQifQ=="/>
  </w:docVars>
  <w:rsids>
    <w:rsidRoot w:val="3E626897"/>
    <w:rsid w:val="0A5C5457"/>
    <w:rsid w:val="0D5A0889"/>
    <w:rsid w:val="20FE424D"/>
    <w:rsid w:val="3E626897"/>
    <w:rsid w:val="403D3AE6"/>
    <w:rsid w:val="4CA91075"/>
    <w:rsid w:val="7FF8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1931</Words>
  <Characters>1980</Characters>
  <Lines>0</Lines>
  <Paragraphs>0</Paragraphs>
  <TotalTime>61</TotalTime>
  <ScaleCrop>false</ScaleCrop>
  <LinksUpToDate>false</LinksUpToDate>
  <CharactersWithSpaces>2197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2026-09-11T02:52:00Z</dcterms:created>
  <dc:creator>Firo 高</dc:creator>
  <cp:lastModifiedBy>zeyu</cp:lastModifiedBy>
  <dcterms:modified xsi:type="dcterms:W3CDTF">2026-09-12T05:45:13Z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A6E5571EEC18436FAC2B8544DCF2146B_11</vt:lpwstr>
  </property>
  <property fmtid="{D5CDD505-2E9C-101B-9397-08002B2CF9AE}" pid="4" name="KSOTemplateDocerSaveRecord">
    <vt:lpwstr>eyJoZGlkIjoiYjk3MGIwNGI5OWZiNjYzZmNjNzI3OTQwZThiZjU0MzAiLCJ1c2VySWQiOiI5NDczNDA4NTUifQ==</vt:lpwstr>
  </property>
</Properties>
</file>