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EF6E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技术参数及服务要求</w:t>
      </w:r>
    </w:p>
    <w:p w14:paraId="5B931705">
      <w:pPr>
        <w:rPr>
          <w:b/>
          <w:bCs/>
        </w:rPr>
      </w:pPr>
      <w:r>
        <w:rPr>
          <w:b/>
          <w:bCs/>
        </w:rPr>
        <w:t>一、采购清单</w:t>
      </w:r>
    </w:p>
    <w:p w14:paraId="6DD33E84">
      <w:r>
        <w:t>1. 采购内容如下表所示。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854"/>
        <w:gridCol w:w="756"/>
        <w:gridCol w:w="1728"/>
        <w:gridCol w:w="1728"/>
      </w:tblGrid>
      <w:tr w14:paraId="14A3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4" w:type="dxa"/>
          </w:tcPr>
          <w:p w14:paraId="6D089AF4">
            <w:pPr>
              <w:spacing w:after="0" w:line="240" w:lineRule="auto"/>
            </w:pPr>
            <w:r>
              <w:t>名称</w:t>
            </w:r>
          </w:p>
        </w:tc>
        <w:tc>
          <w:tcPr>
            <w:tcW w:w="854" w:type="dxa"/>
          </w:tcPr>
          <w:p w14:paraId="572C63EB">
            <w:pPr>
              <w:spacing w:after="0" w:line="240" w:lineRule="auto"/>
            </w:pPr>
            <w:r>
              <w:t>单位</w:t>
            </w:r>
          </w:p>
        </w:tc>
        <w:tc>
          <w:tcPr>
            <w:tcW w:w="756" w:type="dxa"/>
          </w:tcPr>
          <w:p w14:paraId="0FED436F">
            <w:pPr>
              <w:spacing w:after="0" w:line="240" w:lineRule="auto"/>
            </w:pPr>
            <w:r>
              <w:t>数量</w:t>
            </w:r>
          </w:p>
        </w:tc>
        <w:tc>
          <w:tcPr>
            <w:tcW w:w="1728" w:type="dxa"/>
          </w:tcPr>
          <w:p w14:paraId="0E659FC0">
            <w:pPr>
              <w:spacing w:after="0" w:line="240" w:lineRule="auto"/>
            </w:pPr>
            <w:r>
              <w:t>单价限价</w:t>
            </w:r>
          </w:p>
        </w:tc>
        <w:tc>
          <w:tcPr>
            <w:tcW w:w="1728" w:type="dxa"/>
          </w:tcPr>
          <w:p w14:paraId="351CE912">
            <w:pPr>
              <w:spacing w:after="0" w:line="240" w:lineRule="auto"/>
            </w:pPr>
            <w:r>
              <w:t>金额限价</w:t>
            </w:r>
          </w:p>
        </w:tc>
      </w:tr>
      <w:tr w14:paraId="708A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4" w:type="dxa"/>
          </w:tcPr>
          <w:p w14:paraId="4DB8875D">
            <w:pPr>
              <w:spacing w:after="0" w:line="240" w:lineRule="auto"/>
            </w:pPr>
            <w:r>
              <w:t>精神心理领域数据库智能分析系统</w:t>
            </w:r>
          </w:p>
        </w:tc>
        <w:tc>
          <w:tcPr>
            <w:tcW w:w="854" w:type="dxa"/>
          </w:tcPr>
          <w:p w14:paraId="729C0459">
            <w:pPr>
              <w:spacing w:after="0" w:line="240" w:lineRule="auto"/>
            </w:pPr>
            <w:r>
              <w:t>套</w:t>
            </w:r>
          </w:p>
        </w:tc>
        <w:tc>
          <w:tcPr>
            <w:tcW w:w="756" w:type="dxa"/>
          </w:tcPr>
          <w:p w14:paraId="60E450E4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3FF4A27">
            <w:pPr>
              <w:spacing w:after="0" w:line="240" w:lineRule="auto"/>
            </w:pPr>
            <w:r>
              <w:t>10万元</w:t>
            </w:r>
          </w:p>
        </w:tc>
        <w:tc>
          <w:tcPr>
            <w:tcW w:w="1728" w:type="dxa"/>
          </w:tcPr>
          <w:p w14:paraId="3C61A5DF">
            <w:pPr>
              <w:spacing w:after="0" w:line="240" w:lineRule="auto"/>
            </w:pPr>
            <w:r>
              <w:t>10万元</w:t>
            </w:r>
          </w:p>
        </w:tc>
      </w:tr>
    </w:tbl>
    <w:p w14:paraId="5DADA96D">
      <w:pPr>
        <w:rPr>
          <w:b/>
          <w:bCs/>
        </w:rPr>
      </w:pPr>
    </w:p>
    <w:p w14:paraId="0EA3A977">
      <w:pPr>
        <w:rPr>
          <w:b/>
          <w:bCs/>
        </w:rPr>
      </w:pPr>
    </w:p>
    <w:p w14:paraId="140B32C7">
      <w:pPr>
        <w:rPr>
          <w:b/>
          <w:bCs/>
        </w:rPr>
      </w:pPr>
      <w:r>
        <w:rPr>
          <w:b/>
          <w:bCs/>
        </w:rPr>
        <w:t>二、技术服务要求</w:t>
      </w:r>
    </w:p>
    <w:p w14:paraId="64BD485A">
      <w:r>
        <w:t>（一）总体目标</w:t>
      </w:r>
    </w:p>
    <w:p w14:paraId="52743966">
      <w:r>
        <w:t>1. 建设目标</w:t>
      </w:r>
    </w:p>
    <w:p w14:paraId="0277EC8A">
      <w:r>
        <w:t>在现有精神心理领域数据建设基础上，建设一套面向“文档汇聚、知识治理、智能问答、全库检索、数据安全”的一体化平台，覆盖资料上传入库、知识配置、智能检索、论文处理与专题数据采集等核心业务流程。</w:t>
      </w:r>
    </w:p>
    <w:p w14:paraId="6B37889C">
      <w:r>
        <w:t>2. 使用目标</w:t>
      </w:r>
    </w:p>
    <w:p w14:paraId="4EA5DDE7">
      <w:r>
        <w:t>系统应支持多角色协同使用，满足管理员与业务用户在同一平台内分工协作、权限可控与持续扩展的建设要求。</w:t>
      </w:r>
    </w:p>
    <w:p w14:paraId="29662353">
      <w:r>
        <w:t>（二）部署环境与基础配置要求</w:t>
      </w:r>
    </w:p>
    <w:p w14:paraId="11CB3763">
      <w:r>
        <w:t>1. 应用与访问环境</w:t>
      </w:r>
    </w:p>
    <w:p w14:paraId="41E924BC">
      <w:r>
        <w:t>支持标准化部署，具备前后端分层架构；支持主流桌面浏览器访问；支持管理员工具页签与业务页签分区使用。</w:t>
      </w:r>
    </w:p>
    <w:p w14:paraId="1C2DDDF5">
      <w:r>
        <w:t>2. 数据与文件环境</w:t>
      </w:r>
    </w:p>
    <w:p w14:paraId="3A09A411">
      <w:r>
        <w:t>支持结构化业务数据、文档文件及下载结果的分层存储；支持本地目录与共享目录的数据接入与归档；支持备份目录留存策略与历史任务追踪。</w:t>
      </w:r>
    </w:p>
    <w:p w14:paraId="14447121">
      <w:r>
        <w:t>3. 硬件配置要求</w:t>
      </w:r>
    </w:p>
    <w:p w14:paraId="6FFC4F96">
      <w:r>
        <w:t>服务器配置如下：处理器为酷睿Ultra2代，内存32G，硬盘1TB，显卡RTX5060。</w:t>
      </w:r>
    </w:p>
    <w:p w14:paraId="0638E8C5">
      <w:r>
        <w:t>（三）软件系统功能要求</w:t>
      </w:r>
    </w:p>
    <w:p w14:paraId="0028FA49">
      <w:r>
        <w:t>1. 用户与权限管理模块</w:t>
      </w:r>
    </w:p>
    <w:p w14:paraId="229F5557">
      <w:r>
        <w:t>支持用户新增、状态管理、密码重置、组织归属维护；支持权限组配置，覆盖上传、下载、删除等关键操作授权；支持账号启停控制与会话并发/空闲策略约束。</w:t>
      </w:r>
    </w:p>
    <w:p w14:paraId="7EA786FB">
      <w:r>
        <w:t>2. 知识目录与资源配置模块</w:t>
      </w:r>
    </w:p>
    <w:p w14:paraId="449F080F">
      <w:r>
        <w:t>支持知识库创建、编辑、删除与目录挂载；支持目录树新建、重命名、删除及拖拽归档管理；支持对话配置与检索配置独立维护。</w:t>
      </w:r>
    </w:p>
    <w:p w14:paraId="6CBAD963">
      <w:r>
        <w:t>3. 文档上传模块</w:t>
      </w:r>
    </w:p>
    <w:p w14:paraId="3CFAE3B4">
      <w:r>
        <w:t>支持文档与文件夹上传，支持拖拽与批量提交；支持上传格式白名单管理；支持冲突覆盖与原因记录。</w:t>
      </w:r>
    </w:p>
    <w:p w14:paraId="0AC20F02">
      <w:r>
        <w:t>4. 智能对话模块</w:t>
      </w:r>
    </w:p>
    <w:p w14:paraId="1087E678">
      <w:r>
        <w:t>支持按助手维度进行多会话管理，支持新建、重命名、删除会话；支持对话结果流式返回与逐步渲染</w:t>
      </w:r>
      <w:r>
        <w:rPr>
          <w:rFonts w:hint="eastAsia" w:eastAsia="宋体"/>
          <w:lang w:val="en-US" w:eastAsia="zh-CN"/>
        </w:rPr>
        <w:t>,</w:t>
      </w:r>
      <w:r>
        <w:t>并支持引用来源展示、文档预览与权限化下载。</w:t>
      </w:r>
    </w:p>
    <w:p w14:paraId="4CE2FC5E">
      <w:r>
        <w:t>5. 全库搜索与结果分析模块</w:t>
      </w:r>
    </w:p>
    <w:p w14:paraId="3D20E2D4">
      <w:r>
        <w:t>支持多知识库联合检索、分页查询与结果高亮；支持相似度阈值、召回数量等检索参数可配置；支持检索历史复用、结果预览、文档下载与溯源查看。</w:t>
      </w:r>
    </w:p>
    <w:p w14:paraId="1EFDFF02">
      <w:r>
        <w:t>6. 论文处理与查重模块</w:t>
      </w:r>
    </w:p>
    <w:p w14:paraId="601A6989">
      <w:r>
        <w:t>支持论文文本修改与版本留痕；支持修改前后内容对比；支持论文查重并输出重复率、相似片段定位与查重结果展示。</w:t>
      </w:r>
    </w:p>
    <w:p w14:paraId="04093732">
      <w:r>
        <w:t>7. 专题资源采集模块</w:t>
      </w:r>
    </w:p>
    <w:p w14:paraId="225A650B">
      <w:r>
        <w:t>支持论文与专利多数据源关键词采集；支持任务启动、停止、历史复查、单条/批量入库与结果删除；支持按任务配置启用自动分析并生成结构化展示，当自动分析失败时支持失败标记与错误信息展示。</w:t>
      </w:r>
    </w:p>
    <w:p w14:paraId="36135CFC">
      <w:r>
        <w:rPr>
          <w:rFonts w:hint="eastAsia" w:eastAsia="宋体"/>
          <w:lang w:val="en-US" w:eastAsia="zh-CN"/>
        </w:rPr>
        <w:t>8</w:t>
      </w:r>
      <w:r>
        <w:t>. 数据安全（内网/外网）模块</w:t>
      </w:r>
    </w:p>
    <w:p w14:paraId="1FAE23DB">
      <w:r>
        <w:t>内网模式下：系统默认采用本地处理路径，核心数据在本地环境内完成存储、检索与智能分析，按组织/用户/权限组执行分级授权，并对访问、预览、下载、导出进行边界控制；</w:t>
      </w:r>
    </w:p>
    <w:p w14:paraId="3CDE9314">
      <w:r>
        <w:t>外网模式下：在策略放行前提下执行五项安全控制，</w:t>
      </w:r>
    </w:p>
    <w:p w14:paraId="7BBA42A6">
      <w:pPr>
        <w:numPr>
          <w:ilvl w:val="0"/>
          <w:numId w:val="7"/>
        </w:numPr>
      </w:pPr>
      <w:r>
        <w:t>最小化出网，仅传输回答所必需片段，不传输整文及原始附件；</w:t>
      </w:r>
    </w:p>
    <w:p w14:paraId="1CE9B784">
      <w:pPr>
        <w:numPr>
          <w:ilvl w:val="0"/>
          <w:numId w:val="7"/>
        </w:numPr>
      </w:pPr>
      <w:r>
        <w:t>敏感分级，将内容划分为可出网、条件出网、禁止出网；</w:t>
      </w:r>
    </w:p>
    <w:p w14:paraId="68EF157F">
      <w:pPr>
        <w:numPr>
          <w:ilvl w:val="0"/>
          <w:numId w:val="7"/>
        </w:numPr>
      </w:pPr>
      <w:r>
        <w:t>自动脱敏，对姓名、电话、证件号、机构名、地址、病例标识等敏感信息进行占位替换；</w:t>
      </w:r>
    </w:p>
    <w:p w14:paraId="0D208E90">
      <w:pPr>
        <w:numPr>
          <w:ilvl w:val="0"/>
          <w:numId w:val="7"/>
        </w:numPr>
      </w:pPr>
      <w:r>
        <w:t>高敏拦截，命中高敏规则时直接拒绝外发并提示改用内网处理；</w:t>
      </w:r>
    </w:p>
    <w:p w14:paraId="365589C7">
      <w:pPr>
        <w:numPr>
          <w:ilvl w:val="0"/>
          <w:numId w:val="7"/>
        </w:numPr>
      </w:pPr>
      <w:r>
        <w:t>外部模型准入限制，仅调用</w:t>
      </w:r>
      <w:r>
        <w:rPr>
          <w:rFonts w:hint="eastAsia" w:eastAsia="宋体"/>
          <w:lang w:val="en-US" w:eastAsia="zh-CN"/>
        </w:rPr>
        <w:t>国产</w:t>
      </w:r>
      <w:r>
        <w:t>模型服务；</w:t>
      </w:r>
    </w:p>
    <w:p w14:paraId="31008FEE">
      <w:r>
        <w:t>（四）性能与效果要求</w:t>
      </w:r>
    </w:p>
    <w:p w14:paraId="15B48623">
      <w:r>
        <w:t>1. 检索参数范围</w:t>
      </w:r>
    </w:p>
    <w:p w14:paraId="3435A707">
      <w:r>
        <w:t>系统应支持智能检索分页参数配置，单次页大小支持1~500条，召回数量支持1~200条；检索阈值参数取值范围为0~1。</w:t>
      </w:r>
    </w:p>
    <w:p w14:paraId="591D61A0">
      <w:r>
        <w:t>2. 业务连续能力</w:t>
      </w:r>
    </w:p>
    <w:p w14:paraId="27807BEB">
      <w:r>
        <w:t>系统应支持文档上传入库流程连续可用；支持对话过程流式输出，并在非流式或中断场景下支持会话消息回读与上下文连续性恢复。</w:t>
      </w:r>
    </w:p>
    <w:p w14:paraId="1BEAE859">
      <w:r>
        <w:t>3. 批量处理能力</w:t>
      </w:r>
    </w:p>
    <w:p w14:paraId="3B3BDFE4">
      <w:r>
        <w:t>系统应支持批量下载、批量入库等高频操作，降低人工处理成本。</w:t>
      </w:r>
    </w:p>
    <w:p w14:paraId="5763BE69">
      <w:r>
        <w:t>4. 异常可视化能力</w:t>
      </w:r>
    </w:p>
    <w:p w14:paraId="1FED144E">
      <w:r>
        <w:t>系统应支持失败任务错误信息可视化，便于排障与运维。</w:t>
      </w:r>
    </w:p>
    <w:p w14:paraId="5CEE2C20">
      <w:r>
        <w:t>5. 权限与保密控制能力</w:t>
      </w:r>
    </w:p>
    <w:p w14:paraId="7791360D">
      <w:r>
        <w:t>系统应支持组织、用户、权限组三级权限联动控制。</w:t>
      </w:r>
    </w:p>
    <w:p w14:paraId="57A8363F">
      <w:r>
        <w:t>6. 扩展能力</w:t>
      </w:r>
    </w:p>
    <w:p w14:paraId="60434571">
      <w:r>
        <w:t>系统应具备可扩展能力，可按专题持续新增资源来源与业务工具页签。</w:t>
      </w:r>
    </w:p>
    <w:p w14:paraId="12E97335">
      <w:r>
        <w:t>三、商务要求</w:t>
      </w:r>
    </w:p>
    <w:p w14:paraId="450F14E0">
      <w:r>
        <w:t>（一）付款及结算方式</w:t>
      </w:r>
    </w:p>
    <w:p w14:paraId="064B4A69">
      <w:r>
        <w:t>1. 结算方式</w:t>
      </w:r>
    </w:p>
    <w:p w14:paraId="687D0FC1">
      <w:r>
        <w:t>系统交付并验收合格后，按合同约定与发票金额进行对公结算。</w:t>
      </w:r>
    </w:p>
    <w:p w14:paraId="761BDB65">
      <w:r>
        <w:t>（二）交付时间及地点</w:t>
      </w:r>
    </w:p>
    <w:p w14:paraId="7AAD02DB">
      <w:r>
        <w:t>1. 交付地点</w:t>
      </w:r>
    </w:p>
    <w:p w14:paraId="20CEC2A0">
      <w:r>
        <w:t>交付地点：采购人指定地点。</w:t>
      </w:r>
    </w:p>
    <w:p w14:paraId="7A3F55DA">
      <w:r>
        <w:t>2. 交付时间</w:t>
      </w:r>
    </w:p>
    <w:p w14:paraId="58B83D3F">
      <w:r>
        <w:t>交付时间：合同签订后6个月内完成部署、联调与验收。</w:t>
      </w:r>
    </w:p>
    <w:p w14:paraId="361C0AD5">
      <w:r>
        <w:t>（三）验收要求</w:t>
      </w:r>
    </w:p>
    <w:p w14:paraId="5A3C51A6">
      <w:r>
        <w:t>1. 验收原则</w:t>
      </w:r>
    </w:p>
    <w:p w14:paraId="46C4C6AC">
      <w:r>
        <w:t>按“功能可用、权限正确、</w:t>
      </w:r>
      <w:bookmarkStart w:id="0" w:name="_GoBack"/>
      <w:bookmarkEnd w:id="0"/>
      <w:r>
        <w:t>保密控制有效”原则组织验收。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FF0488"/>
    <w:multiLevelType w:val="singleLevel"/>
    <w:tmpl w:val="11FF048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2112D"/>
    <w:rsid w:val="05C375FE"/>
    <w:rsid w:val="09C11BC8"/>
    <w:rsid w:val="20C620AE"/>
    <w:rsid w:val="22747619"/>
    <w:rsid w:val="24E5595D"/>
    <w:rsid w:val="34D27A63"/>
    <w:rsid w:val="3B1825F6"/>
    <w:rsid w:val="3B467CD8"/>
    <w:rsid w:val="48756853"/>
    <w:rsid w:val="7AFC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1830</Words>
  <Characters>1891</Characters>
  <Lines>0</Lines>
  <Paragraphs>0</Paragraphs>
  <TotalTime>97</TotalTime>
  <ScaleCrop>false</ScaleCrop>
  <LinksUpToDate>false</LinksUpToDate>
  <CharactersWithSpaces>1919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2026-03-09T14:12:27Z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2423939C1EA7444E9AF3DDF3A9C8BCC8_12</vt:lpwstr>
  </property>
</Properties>
</file>