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254FF">
      <w:pPr>
        <w:jc w:val="center"/>
      </w:pPr>
      <w:r>
        <w:rPr>
          <w:rFonts w:ascii="微软雅黑" w:hAnsi="微软雅黑" w:eastAsia="微软雅黑"/>
          <w:b w:val="0"/>
          <w:i w:val="0"/>
          <w:strike w:val="0"/>
        </w:rPr>
        <w:t>﻿</w:t>
      </w:r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瑛泰医疗集团数字化与智能化</w:t>
      </w:r>
    </w:p>
    <w:p w14:paraId="0D951E27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现状与痛点</w:t>
      </w:r>
    </w:p>
    <w:p w14:paraId="21BB820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1.1 典型问题</w:t>
      </w:r>
    </w:p>
    <w:p w14:paraId="3565FA9C">
      <w:pPr>
        <w:pStyle w:val="16"/>
      </w:pPr>
      <w:r>
        <w:rPr>
          <w:b w:val="0"/>
          <w:i w:val="0"/>
        </w:rPr>
        <w:t>数据与资料分散：制度、模板、质量资料、注册资料、产品资料散落在个人电脑、共享盘、纸质文件、邮件与 Excel。</w:t>
      </w:r>
    </w:p>
    <w:p w14:paraId="61564808">
      <w:pPr>
        <w:pStyle w:val="16"/>
      </w:pPr>
      <w:r>
        <w:rPr>
          <w:b w:val="0"/>
          <w:i w:val="0"/>
        </w:rPr>
        <w:t>流程靠人盯：跨部门、跨子公司审批、归档、取证主要靠人工催办，效率低且风险高。</w:t>
      </w:r>
    </w:p>
    <w:p w14:paraId="51227AEA">
      <w:pPr>
        <w:pStyle w:val="16"/>
      </w:pPr>
      <w:r>
        <w:rPr>
          <w:b w:val="0"/>
          <w:i w:val="0"/>
        </w:rPr>
        <w:t>口径不一：组织、产品、物料、供应商、指标等主数据缺乏统一口径，集团视角对齐困难。</w:t>
      </w:r>
    </w:p>
    <w:p w14:paraId="6AB79D1E">
      <w:pPr>
        <w:pStyle w:val="16"/>
      </w:pPr>
      <w:r>
        <w:rPr>
          <w:b w:val="0"/>
          <w:i w:val="0"/>
        </w:rPr>
        <w:t>合规取证成本高：审计或检查时需要临时“找资料、对版本、补证据”，耗时且易出错。</w:t>
      </w:r>
    </w:p>
    <w:p w14:paraId="1A3486A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1.2 方向选择：数字化与智能化并行推进</w:t>
      </w:r>
    </w:p>
    <w:p w14:paraId="7AEEE82A">
      <w:pPr>
        <w:pStyle w:val="16"/>
      </w:pPr>
      <w:r>
        <w:rPr>
          <w:b w:val="0"/>
          <w:i w:val="0"/>
        </w:rPr>
        <w:t>智能助手不必等到“全量数字化完成”才开始：可以先从低风险、可控、可追溯的场景落地（例如：培训资料检索、对外口径查找、资料摘要与归档提醒）。</w:t>
      </w:r>
    </w:p>
    <w:p w14:paraId="0A5A73F1">
      <w:pPr>
        <w:pStyle w:val="16"/>
      </w:pPr>
      <w:r>
        <w:rPr>
          <w:b w:val="0"/>
          <w:i w:val="0"/>
        </w:rPr>
        <w:t>数字化的作用是把资料与流程变成“可管理资产”，从而逐步开放更深的智能能力（更强自动化、更广覆盖、更高准确率）。</w:t>
      </w:r>
    </w:p>
    <w:p w14:paraId="67E3891C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1.2.1 阶段解锁模型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0C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AAF83C5">
            <w:pPr>
              <w:spacing w:after="0" w:line="240" w:lineRule="auto"/>
            </w:pPr>
            <w:r>
              <w:rPr>
                <w:b/>
              </w:rPr>
              <w:t>数字化成熟度（用大白话描述）</w:t>
            </w:r>
          </w:p>
        </w:tc>
        <w:tc>
          <w:tcPr>
            <w:tcW w:w="2160" w:type="dxa"/>
            <w:vAlign w:val="center"/>
          </w:tcPr>
          <w:p w14:paraId="07A0C49C">
            <w:pPr>
              <w:spacing w:after="0" w:line="240" w:lineRule="auto"/>
            </w:pPr>
            <w:r>
              <w:rPr>
                <w:b/>
              </w:rPr>
              <w:t>达到条件（示例）</w:t>
            </w:r>
          </w:p>
        </w:tc>
        <w:tc>
          <w:tcPr>
            <w:tcW w:w="2160" w:type="dxa"/>
            <w:vAlign w:val="center"/>
          </w:tcPr>
          <w:p w14:paraId="70CA27F5">
            <w:pPr>
              <w:spacing w:after="0" w:line="240" w:lineRule="auto"/>
            </w:pPr>
            <w:r>
              <w:rPr>
                <w:b/>
              </w:rPr>
              <w:t>可开放的智能能力阶段</w:t>
            </w:r>
          </w:p>
        </w:tc>
        <w:tc>
          <w:tcPr>
            <w:tcW w:w="2160" w:type="dxa"/>
            <w:vAlign w:val="center"/>
          </w:tcPr>
          <w:p w14:paraId="5B5A1353">
            <w:pPr>
              <w:spacing w:after="0" w:line="240" w:lineRule="auto"/>
            </w:pPr>
            <w:r>
              <w:rPr>
                <w:b/>
              </w:rPr>
              <w:t>典型能力举例</w:t>
            </w:r>
          </w:p>
        </w:tc>
      </w:tr>
      <w:tr w14:paraId="13B5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AB02BE1">
            <w:pPr>
              <w:spacing w:after="0" w:line="240" w:lineRule="auto"/>
            </w:pPr>
            <w:r>
              <w:t>第 0 级：零散</w:t>
            </w:r>
          </w:p>
        </w:tc>
        <w:tc>
          <w:tcPr>
            <w:tcW w:w="2160" w:type="dxa"/>
            <w:vAlign w:val="center"/>
          </w:tcPr>
          <w:p w14:paraId="63CA6C18">
            <w:pPr>
              <w:spacing w:after="0" w:line="240" w:lineRule="auto"/>
            </w:pPr>
            <w:r>
              <w:t>资料分散、谁能看谁不能看不清晰、版本混乱</w:t>
            </w:r>
          </w:p>
        </w:tc>
        <w:tc>
          <w:tcPr>
            <w:tcW w:w="2160" w:type="dxa"/>
            <w:vAlign w:val="center"/>
          </w:tcPr>
          <w:p w14:paraId="778CCCE6">
            <w:pPr>
              <w:spacing w:after="0" w:line="240" w:lineRule="auto"/>
            </w:pPr>
            <w:r>
              <w:t>第 0 级：个人助手试点</w:t>
            </w:r>
          </w:p>
        </w:tc>
        <w:tc>
          <w:tcPr>
            <w:tcW w:w="2160" w:type="dxa"/>
            <w:vAlign w:val="center"/>
          </w:tcPr>
          <w:p w14:paraId="14C532A5">
            <w:pPr>
              <w:spacing w:after="0" w:line="240" w:lineRule="auto"/>
            </w:pPr>
            <w:r>
              <w:t>仅做个人效率帮助，不接入公司受控资料</w:t>
            </w:r>
          </w:p>
        </w:tc>
      </w:tr>
      <w:tr w14:paraId="3A8C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98128D1">
            <w:pPr>
              <w:spacing w:after="0" w:line="240" w:lineRule="auto"/>
            </w:pPr>
            <w:r>
              <w:t>第 1 级：可集中</w:t>
            </w:r>
          </w:p>
        </w:tc>
        <w:tc>
          <w:tcPr>
            <w:tcW w:w="2160" w:type="dxa"/>
            <w:vAlign w:val="center"/>
          </w:tcPr>
          <w:p w14:paraId="77AABCB7">
            <w:pPr>
              <w:spacing w:after="0" w:line="240" w:lineRule="auto"/>
            </w:pPr>
            <w:r>
              <w:t>资料集中归档，至少做到“谁可以看”清晰</w:t>
            </w:r>
          </w:p>
        </w:tc>
        <w:tc>
          <w:tcPr>
            <w:tcW w:w="2160" w:type="dxa"/>
            <w:vAlign w:val="center"/>
          </w:tcPr>
          <w:p w14:paraId="04B949F1">
            <w:pPr>
              <w:spacing w:after="0" w:line="240" w:lineRule="auto"/>
            </w:pPr>
            <w:r>
              <w:t>第 1 级：可追溯查询</w:t>
            </w:r>
          </w:p>
        </w:tc>
        <w:tc>
          <w:tcPr>
            <w:tcW w:w="2160" w:type="dxa"/>
            <w:vAlign w:val="center"/>
          </w:tcPr>
          <w:p w14:paraId="0F5C2D1E">
            <w:pPr>
              <w:spacing w:after="0" w:line="240" w:lineRule="auto"/>
            </w:pPr>
            <w:r>
              <w:t>能从资料中查询答案，并指出来源文件与位置</w:t>
            </w:r>
          </w:p>
        </w:tc>
      </w:tr>
      <w:tr w14:paraId="55DF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B80A7B7">
            <w:pPr>
              <w:spacing w:after="0" w:line="240" w:lineRule="auto"/>
            </w:pPr>
            <w:r>
              <w:t>第 2 级：可受控</w:t>
            </w:r>
          </w:p>
        </w:tc>
        <w:tc>
          <w:tcPr>
            <w:tcW w:w="2160" w:type="dxa"/>
            <w:vAlign w:val="center"/>
          </w:tcPr>
          <w:p w14:paraId="0FDEED9E">
            <w:pPr>
              <w:spacing w:after="0" w:line="240" w:lineRule="auto"/>
            </w:pPr>
            <w:r>
              <w:t>版本清楚、审批有记录、权限与密级明确</w:t>
            </w:r>
          </w:p>
        </w:tc>
        <w:tc>
          <w:tcPr>
            <w:tcW w:w="2160" w:type="dxa"/>
            <w:vAlign w:val="center"/>
          </w:tcPr>
          <w:p w14:paraId="54C65A96">
            <w:pPr>
              <w:spacing w:after="0" w:line="240" w:lineRule="auto"/>
            </w:pPr>
            <w:r>
              <w:t>第 2 级：可控助手</w:t>
            </w:r>
          </w:p>
        </w:tc>
        <w:tc>
          <w:tcPr>
            <w:tcW w:w="2160" w:type="dxa"/>
            <w:vAlign w:val="center"/>
          </w:tcPr>
          <w:p w14:paraId="566AEDA8">
            <w:pPr>
              <w:spacing w:after="0" w:line="240" w:lineRule="auto"/>
            </w:pPr>
            <w:r>
              <w:t>摘要与要点、归档建议、流程填写提示、检查取证辅助</w:t>
            </w:r>
          </w:p>
        </w:tc>
      </w:tr>
      <w:tr w14:paraId="3229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24BCD7B">
            <w:pPr>
              <w:spacing w:after="0" w:line="240" w:lineRule="auto"/>
            </w:pPr>
            <w:r>
              <w:t>第 3 级：可闭环</w:t>
            </w:r>
          </w:p>
        </w:tc>
        <w:tc>
          <w:tcPr>
            <w:tcW w:w="2160" w:type="dxa"/>
            <w:vAlign w:val="center"/>
          </w:tcPr>
          <w:p w14:paraId="4B518627">
            <w:pPr>
              <w:spacing w:after="0" w:line="240" w:lineRule="auto"/>
            </w:pPr>
            <w:r>
              <w:t>关键流程线上闭环，基础信息口径统一</w:t>
            </w:r>
          </w:p>
        </w:tc>
        <w:tc>
          <w:tcPr>
            <w:tcW w:w="2160" w:type="dxa"/>
            <w:vAlign w:val="center"/>
          </w:tcPr>
          <w:p w14:paraId="5AD335A8">
            <w:pPr>
              <w:spacing w:after="0" w:line="240" w:lineRule="auto"/>
            </w:pPr>
            <w:r>
              <w:t>第 3 级：业务智能</w:t>
            </w:r>
          </w:p>
        </w:tc>
        <w:tc>
          <w:tcPr>
            <w:tcW w:w="2160" w:type="dxa"/>
            <w:vAlign w:val="center"/>
          </w:tcPr>
          <w:p w14:paraId="2E0F6AC2">
            <w:pPr>
              <w:spacing w:after="0" w:line="240" w:lineRule="auto"/>
            </w:pPr>
            <w:r>
              <w:t>跨部门协同自动化、风险提示与分析辅助（在可审计前提下）</w:t>
            </w:r>
          </w:p>
        </w:tc>
      </w:tr>
    </w:tbl>
    <w:p w14:paraId="3F841F13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2. 总体目标</w:t>
      </w:r>
    </w:p>
    <w:p w14:paraId="423B47C6">
      <w:pPr>
        <w:pStyle w:val="14"/>
      </w:pPr>
      <w:r>
        <w:rPr>
          <w:b w:val="0"/>
          <w:i w:val="0"/>
        </w:rPr>
        <w:t>统一协同：总部与子公司在同一套平台与标准下协作，减少重复劳动与沟通成本。</w:t>
      </w:r>
    </w:p>
    <w:p w14:paraId="6EB23918">
      <w:pPr>
        <w:pStyle w:val="14"/>
      </w:pPr>
      <w:r>
        <w:rPr>
          <w:b w:val="0"/>
          <w:i w:val="0"/>
        </w:rPr>
        <w:t>合规可审计：版本受控、审批留痕、导出取证，满足医疗器械行业合规要求。</w:t>
      </w:r>
    </w:p>
    <w:p w14:paraId="63DBA35F">
      <w:pPr>
        <w:pStyle w:val="14"/>
      </w:pPr>
      <w:r>
        <w:rPr>
          <w:b w:val="0"/>
          <w:i w:val="0"/>
        </w:rPr>
        <w:t>组织隔离与授权共享：默认子公司隔离；需要共享时通过授权与审计实现“可控共享”。</w:t>
      </w:r>
    </w:p>
    <w:p w14:paraId="5462EB88">
      <w:pPr>
        <w:pStyle w:val="14"/>
      </w:pPr>
      <w:r>
        <w:rPr>
          <w:b w:val="0"/>
          <w:i w:val="0"/>
        </w:rPr>
        <w:t>智能回答可追溯：智能助手给出的结论必须“有来源、可定位、受权限约束、无依据可拒答”。</w:t>
      </w:r>
    </w:p>
    <w:p w14:paraId="6F3CF427">
      <w:pPr>
        <w:pStyle w:val="14"/>
      </w:pPr>
      <w:r>
        <w:rPr>
          <w:b w:val="0"/>
          <w:i w:val="0"/>
        </w:rPr>
        <w:t>双轨推进：数字化与智能能力同步迭代，按阶段逐步开放能力，不等待“一次性大系统上线”。</w:t>
      </w:r>
    </w:p>
    <w:p w14:paraId="24BC7033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3. 角色与关键诉求</w:t>
      </w:r>
    </w:p>
    <w:p w14:paraId="05877C77">
      <w:pPr>
        <w:pStyle w:val="16"/>
      </w:pPr>
      <w:r>
        <w:rPr>
          <w:b w:val="0"/>
          <w:i w:val="0"/>
        </w:rPr>
        <w:t>管理层：统一口径看数、看进度、看风险；重大事项可追溯、可问责。</w:t>
      </w:r>
    </w:p>
    <w:p w14:paraId="02069BD6">
      <w:pPr>
        <w:pStyle w:val="16"/>
      </w:pPr>
      <w:r>
        <w:rPr>
          <w:b w:val="0"/>
          <w:i w:val="0"/>
        </w:rPr>
        <w:t>质量与注册：体系文件与注册资料版本受控；审批链与证据可一键导出。</w:t>
      </w:r>
    </w:p>
    <w:p w14:paraId="09E813AE">
      <w:pPr>
        <w:pStyle w:val="16"/>
      </w:pPr>
      <w:r>
        <w:rPr>
          <w:b w:val="0"/>
          <w:i w:val="0"/>
        </w:rPr>
        <w:t>研发、工程与生产：资料统一、变更可追踪、经验可复用，减少重复犯错。</w:t>
      </w:r>
    </w:p>
    <w:p w14:paraId="4AB3FFA2">
      <w:pPr>
        <w:pStyle w:val="16"/>
      </w:pPr>
      <w:r>
        <w:rPr>
          <w:b w:val="0"/>
          <w:i w:val="0"/>
        </w:rPr>
        <w:t>市场、售后与临床支持：资料可查，常见问题可快速定位，一线反馈可闭环回流。</w:t>
      </w:r>
    </w:p>
    <w:p w14:paraId="148D3EB5">
      <w:pPr>
        <w:pStyle w:val="16"/>
      </w:pPr>
      <w:r>
        <w:rPr>
          <w:b w:val="0"/>
          <w:i w:val="0"/>
        </w:rPr>
        <w:t>信息化与安全：账号与权限统一、审计与脱敏；可运维、可扩展、可集成，避免各部门各建一套系统。</w:t>
      </w:r>
    </w:p>
    <w:p w14:paraId="2BAF08DD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4. 一期优先场景</w:t>
      </w:r>
    </w:p>
    <w:p w14:paraId="68A7458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一期限定范围</w:t>
      </w:r>
    </w:p>
    <w:p w14:paraId="46F0033A">
      <w:pPr>
        <w:pStyle w:val="16"/>
      </w:pPr>
      <w:r>
        <w:rPr>
          <w:b w:val="0"/>
          <w:i w:val="0"/>
        </w:rPr>
        <w:t>人事部门培训资料（内部）：入职培训、制度宣贯、岗位技能培训课件、题库、记录等</w:t>
      </w:r>
    </w:p>
    <w:p w14:paraId="5F23ECA6">
      <w:pPr>
        <w:pStyle w:val="16"/>
      </w:pPr>
      <w:r>
        <w:rPr>
          <w:b w:val="0"/>
          <w:i w:val="0"/>
        </w:rPr>
        <w:t>总经办对外宣传资料（外部）：公司介绍、品牌物料、宣传稿、展会与活动资料、对外发布口径等</w:t>
      </w:r>
    </w:p>
    <w:p w14:paraId="0F44B1F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场景 1：资料集中与版本管理</w:t>
      </w:r>
    </w:p>
    <w:p w14:paraId="5A496365">
      <w:pPr>
        <w:pStyle w:val="16"/>
      </w:pPr>
      <w:r>
        <w:rPr>
          <w:b w:val="0"/>
          <w:i w:val="0"/>
        </w:rPr>
        <w:t>人事部门培训资料、总经办对外宣传资料统一归档</w:t>
      </w:r>
    </w:p>
    <w:p w14:paraId="0761708A">
      <w:pPr>
        <w:pStyle w:val="16"/>
      </w:pPr>
      <w:r>
        <w:rPr>
          <w:b w:val="0"/>
          <w:i w:val="0"/>
        </w:rPr>
        <w:t>发布生效版本唯一；历史版本可回溯；变更说明与审批留痕</w:t>
      </w:r>
    </w:p>
    <w:p w14:paraId="604992E9">
      <w:pPr>
        <w:pStyle w:val="16"/>
      </w:pPr>
      <w:r>
        <w:rPr>
          <w:b w:val="0"/>
          <w:i w:val="0"/>
        </w:rPr>
        <w:t>内部资料按部门与角色授权；对外资料按“可发布版本”受控导出，并留痕</w:t>
      </w:r>
    </w:p>
    <w:p w14:paraId="3D1307A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场景 2：检查与取证的最小闭环</w:t>
      </w:r>
    </w:p>
    <w:p w14:paraId="02E1DF3E">
      <w:pPr>
        <w:pStyle w:val="16"/>
      </w:pPr>
      <w:r>
        <w:rPr>
          <w:b w:val="0"/>
          <w:i w:val="0"/>
        </w:rPr>
        <w:t>面向内审、外审、监管检查：能快速导出“版本链、审批记录、访问与导出记录、流程记录”等证据包</w:t>
      </w:r>
    </w:p>
    <w:p w14:paraId="655339F3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场景 3：两个关键流程先跑通</w:t>
      </w:r>
    </w:p>
    <w:p w14:paraId="12E104E8">
      <w:r>
        <w:rPr>
          <w:rFonts w:ascii="微软雅黑" w:hAnsi="微软雅黑" w:eastAsia="微软雅黑"/>
          <w:b w:val="0"/>
          <w:i w:val="0"/>
          <w:strike w:val="0"/>
        </w:rPr>
        <w:t>建议一期先跑通 2 个流程（可按集团实际替换）：</w:t>
      </w:r>
    </w:p>
    <w:p w14:paraId="00A9B3AE">
      <w:pPr>
        <w:pStyle w:val="16"/>
      </w:pPr>
      <w:r>
        <w:rPr>
          <w:b w:val="0"/>
          <w:i w:val="0"/>
        </w:rPr>
        <w:t>人事培训资料发布生效：提交→审批→发布→通知→归档→审计导出</w:t>
      </w:r>
    </w:p>
    <w:p w14:paraId="7D1A2B27">
      <w:pPr>
        <w:pStyle w:val="16"/>
      </w:pPr>
      <w:r>
        <w:rPr>
          <w:b w:val="0"/>
          <w:i w:val="0"/>
        </w:rPr>
        <w:t>对外宣传资料受控发布：提交→审批→发布版本锁定→导出与分发留痕→归档→审计导出</w:t>
      </w:r>
    </w:p>
    <w:p w14:paraId="32BDBA1F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场景 4：基础信息与统计口径</w:t>
      </w:r>
    </w:p>
    <w:p w14:paraId="3ECF14B5">
      <w:pPr>
        <w:pStyle w:val="16"/>
      </w:pPr>
      <w:r>
        <w:rPr>
          <w:b w:val="0"/>
          <w:i w:val="0"/>
        </w:rPr>
        <w:t>先统一：组织、角色、密级、文档分类、流程类型等基础信息口径</w:t>
      </w:r>
    </w:p>
    <w:p w14:paraId="7B6836FD">
      <w:pPr>
        <w:pStyle w:val="16"/>
      </w:pPr>
      <w:r>
        <w:rPr>
          <w:b w:val="0"/>
          <w:i w:val="0"/>
        </w:rPr>
        <w:t>指标先做“口径说明”（定义、来源、负责人、更新频率），不急于一次性上复杂报表系统</w:t>
      </w:r>
    </w:p>
    <w:p w14:paraId="29432D0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场景 5：智能助手</w:t>
      </w:r>
    </w:p>
    <w:p w14:paraId="4794AFBF">
      <w:pPr>
        <w:pStyle w:val="16"/>
      </w:pPr>
      <w:r>
        <w:rPr>
          <w:b w:val="0"/>
          <w:i w:val="0"/>
        </w:rPr>
        <w:t>第 1 阶段：可追溯的资料查询与助手（培训资料怎么找、最新对外口径与材料在哪、依据与版本是什么）</w:t>
      </w:r>
    </w:p>
    <w:p w14:paraId="5C5F2E6A">
      <w:pPr>
        <w:pStyle w:val="16"/>
      </w:pPr>
      <w:r>
        <w:rPr>
          <w:b w:val="0"/>
          <w:i w:val="0"/>
        </w:rPr>
        <w:t>第 2 阶段（在版本与审批受控后逐步开放）：摘要与要点、归档建议、流程填写提示、检查取证辅助</w:t>
      </w:r>
    </w:p>
    <w:p w14:paraId="471B0AFA">
      <w:pPr>
        <w:pStyle w:val="16"/>
      </w:pPr>
      <w:r>
        <w:rPr>
          <w:b w:val="0"/>
          <w:i w:val="0"/>
        </w:rPr>
        <w:t>约束：回答必须标注来源；只在授权范围内回答；无依据时明确拒答或提示人工确认；敏感信息不外泄</w:t>
      </w:r>
    </w:p>
    <w:p w14:paraId="51B92CA9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5. 一期交付边界</w:t>
      </w:r>
    </w:p>
    <w:p w14:paraId="3BEB93F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5.1 一期必须交付</w:t>
      </w:r>
    </w:p>
    <w:p w14:paraId="30A79A2C">
      <w:pPr>
        <w:pStyle w:val="16"/>
      </w:pPr>
      <w:r>
        <w:rPr>
          <w:b w:val="0"/>
          <w:i w:val="0"/>
        </w:rPr>
        <w:t>统一账号与权限：组织、角色、隔离、授权共享</w:t>
      </w:r>
    </w:p>
    <w:p w14:paraId="430E0E57">
      <w:pPr>
        <w:pStyle w:val="16"/>
      </w:pPr>
      <w:r>
        <w:rPr>
          <w:b w:val="0"/>
          <w:i w:val="0"/>
        </w:rPr>
        <w:t>文档与知识资产管理（有限场景）：人事培训资料 + 总经办对外宣传资料（版本、归档、分发、生效与通知）</w:t>
      </w:r>
    </w:p>
    <w:p w14:paraId="6601CDD4">
      <w:pPr>
        <w:pStyle w:val="16"/>
      </w:pPr>
      <w:r>
        <w:rPr>
          <w:b w:val="0"/>
          <w:i w:val="0"/>
        </w:rPr>
        <w:t>2 个关键流程闭环（有限场景）：发起→审批→通知与分发→归档→审计导出</w:t>
      </w:r>
    </w:p>
    <w:p w14:paraId="2AA03092">
      <w:pPr>
        <w:pStyle w:val="16"/>
      </w:pPr>
      <w:r>
        <w:rPr>
          <w:b w:val="0"/>
          <w:i w:val="0"/>
        </w:rPr>
        <w:t>运维交付：日志、诊断、备份、恢复、操作手册</w:t>
      </w:r>
    </w:p>
    <w:p w14:paraId="6B763B6F">
      <w:pPr>
        <w:pStyle w:val="16"/>
      </w:pPr>
      <w:r>
        <w:rPr>
          <w:b w:val="0"/>
          <w:i w:val="0"/>
        </w:rPr>
        <w:t>智能助手一期：仅面向“培训资料、对外宣传资料”做资料查询问答（能指出来源 + 不越权），并为后续增强预留审计与数据条件</w:t>
      </w:r>
    </w:p>
    <w:p w14:paraId="5D3E2EA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5.2 明确不做</w:t>
      </w:r>
    </w:p>
    <w:p w14:paraId="2F18D778">
      <w:pPr>
        <w:pStyle w:val="16"/>
      </w:pPr>
      <w:r>
        <w:rPr>
          <w:b w:val="0"/>
          <w:i w:val="0"/>
        </w:rPr>
        <w:t>不做“替换式”一次性全量上线各类大系统；一期以治理底座与关键流程闭环为主（可做选型与路线图）</w:t>
      </w:r>
    </w:p>
    <w:p w14:paraId="445A2218">
      <w:pPr>
        <w:pStyle w:val="16"/>
      </w:pPr>
      <w:r>
        <w:rPr>
          <w:b w:val="0"/>
          <w:i w:val="0"/>
        </w:rPr>
        <w:t>不做复杂预测与决策型智能能力（先做可追溯的资料查询与助手）</w:t>
      </w:r>
    </w:p>
    <w:p w14:paraId="2177FA05">
      <w:pPr>
        <w:pStyle w:val="16"/>
      </w:pPr>
      <w:r>
        <w:rPr>
          <w:b w:val="0"/>
          <w:i w:val="0"/>
        </w:rPr>
        <w:t>不做全集团所有流程全覆盖（先选典型流程闭环）</w:t>
      </w:r>
    </w:p>
    <w:p w14:paraId="43681055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6. 验收关注点</w:t>
      </w:r>
    </w:p>
    <w:p w14:paraId="39DD7443">
      <w:pPr>
        <w:pStyle w:val="16"/>
      </w:pPr>
      <w:r>
        <w:rPr>
          <w:b w:val="0"/>
          <w:i w:val="0"/>
        </w:rPr>
        <w:t>权限隔离正确：子公司默认隔离；共享必须授权且留痕</w:t>
      </w:r>
    </w:p>
    <w:p w14:paraId="171BFD92">
      <w:pPr>
        <w:pStyle w:val="16"/>
      </w:pPr>
      <w:r>
        <w:rPr>
          <w:b w:val="0"/>
          <w:i w:val="0"/>
        </w:rPr>
        <w:t>版本与审计：关键文档版本受控；审批链与证据可导出</w:t>
      </w:r>
    </w:p>
    <w:p w14:paraId="72000B58">
      <w:pPr>
        <w:pStyle w:val="16"/>
      </w:pPr>
      <w:r>
        <w:rPr>
          <w:b w:val="0"/>
          <w:i w:val="0"/>
        </w:rPr>
        <w:t>可追溯智能回答：回答必须带来源；无依据可拒答；不越权引用</w:t>
      </w:r>
    </w:p>
    <w:p w14:paraId="2A713D77">
      <w:pPr>
        <w:pStyle w:val="16"/>
      </w:pPr>
      <w:r>
        <w:rPr>
          <w:b w:val="0"/>
          <w:i w:val="0"/>
        </w:rPr>
        <w:t>可运维：无需开发人员在现场救火也能完成排障与导出</w:t>
      </w:r>
    </w:p>
    <w:p w14:paraId="31483387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7. 常见数字化工具清单</w:t>
      </w:r>
    </w:p>
    <w:p w14:paraId="6781FC8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7.1 集团级基础底座</w:t>
      </w:r>
    </w:p>
    <w:p w14:paraId="1F16D285">
      <w:pPr>
        <w:pStyle w:val="16"/>
      </w:pPr>
      <w:r>
        <w:rPr>
          <w:b w:val="0"/>
          <w:i w:val="0"/>
        </w:rPr>
        <w:t>统一账号登录与权限：让员工尽量“一个账号走全集团”，并能按部门与角色控制谁能看、谁能改、谁能导出</w:t>
      </w:r>
    </w:p>
    <w:p w14:paraId="367DD0CD">
      <w:pPr>
        <w:pStyle w:val="16"/>
      </w:pPr>
      <w:r>
        <w:rPr>
          <w:b w:val="0"/>
          <w:i w:val="0"/>
        </w:rPr>
        <w:t>基础信息统一：把组织、产品、物料、客户、供应商等“基础信息口径”统一，避免各部门各说各的</w:t>
      </w:r>
    </w:p>
    <w:p w14:paraId="4FA6E9C6">
      <w:pPr>
        <w:pStyle w:val="16"/>
      </w:pPr>
      <w:r>
        <w:rPr>
          <w:b w:val="0"/>
          <w:i w:val="0"/>
        </w:rPr>
        <w:t>文档资料管理：制度、模板、培训、质量、注册、工艺等资料集中归档，并做到版本清晰、可追溯</w:t>
      </w:r>
    </w:p>
    <w:p w14:paraId="36B54A48">
      <w:pPr>
        <w:pStyle w:val="16"/>
      </w:pPr>
      <w:r>
        <w:rPr>
          <w:b w:val="0"/>
          <w:i w:val="0"/>
        </w:rPr>
        <w:t>流程与审批：跨部门流程线上跑，审批有记录，结果自动归档</w:t>
      </w:r>
    </w:p>
    <w:p w14:paraId="0C2218E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7.2 研发与工程</w:t>
      </w:r>
    </w:p>
    <w:p w14:paraId="51D2D6EC">
      <w:pPr>
        <w:pStyle w:val="16"/>
      </w:pPr>
      <w:r>
        <w:rPr>
          <w:b w:val="0"/>
          <w:i w:val="0"/>
        </w:rPr>
        <w:t>产品研发资料管理：图纸与设计资料、物料清单、设计变更、版本与配置管理</w:t>
      </w:r>
    </w:p>
    <w:p w14:paraId="7CC33933">
      <w:pPr>
        <w:pStyle w:val="16"/>
      </w:pPr>
      <w:r>
        <w:rPr>
          <w:b w:val="0"/>
          <w:i w:val="0"/>
        </w:rPr>
        <w:t>研发过程管理：需求、任务、缺陷、发布节奏与协作</w:t>
      </w:r>
    </w:p>
    <w:p w14:paraId="6A51FD35">
      <w:pPr>
        <w:pStyle w:val="16"/>
      </w:pPr>
      <w:r>
        <w:rPr>
          <w:b w:val="0"/>
          <w:i w:val="0"/>
        </w:rPr>
        <w:t>项目管理：项目里程碑、资源与风险跟踪</w:t>
      </w:r>
    </w:p>
    <w:p w14:paraId="2AADCBD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7.3 生产制造与工厂</w:t>
      </w:r>
    </w:p>
    <w:p w14:paraId="5B36BAD3">
      <w:pPr>
        <w:pStyle w:val="16"/>
      </w:pPr>
      <w:r>
        <w:rPr>
          <w:b w:val="0"/>
          <w:i w:val="0"/>
        </w:rPr>
        <w:t>生产过程管理：工单、工艺、过程数据采集、追溯、在制品与报工</w:t>
      </w:r>
    </w:p>
    <w:p w14:paraId="72F91F5B">
      <w:pPr>
        <w:pStyle w:val="16"/>
      </w:pPr>
      <w:r>
        <w:rPr>
          <w:b w:val="0"/>
          <w:i w:val="0"/>
        </w:rPr>
        <w:t>仓储管理：入库出库、批次与效期、盘点、条码或电子标签</w:t>
      </w:r>
    </w:p>
    <w:p w14:paraId="51CB2ECF">
      <w:pPr>
        <w:pStyle w:val="16"/>
      </w:pPr>
      <w:r>
        <w:rPr>
          <w:b w:val="0"/>
          <w:i w:val="0"/>
        </w:rPr>
        <w:t>质量管理：检验、偏差、纠正预防措施、投诉、不合格品与审计（可与研发与生产系统联动）</w:t>
      </w:r>
    </w:p>
    <w:p w14:paraId="5FA27C66">
      <w:pPr>
        <w:pStyle w:val="16"/>
      </w:pPr>
      <w:r>
        <w:rPr>
          <w:b w:val="0"/>
          <w:i w:val="0"/>
        </w:rPr>
        <w:t>设备管理：设备台账、点检保养、维修与备件</w:t>
      </w:r>
    </w:p>
    <w:p w14:paraId="2DFAA623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7.4 供应链、采购与计划</w:t>
      </w:r>
    </w:p>
    <w:p w14:paraId="5F338921">
      <w:pPr>
        <w:pStyle w:val="16"/>
      </w:pPr>
      <w:r>
        <w:rPr>
          <w:b w:val="0"/>
          <w:i w:val="0"/>
        </w:rPr>
        <w:t>采购库存财务一体化管理：采购、库存、财务、成本、计划与基础数据</w:t>
      </w:r>
    </w:p>
    <w:p w14:paraId="4D03C750">
      <w:pPr>
        <w:pStyle w:val="16"/>
      </w:pPr>
      <w:r>
        <w:rPr>
          <w:b w:val="0"/>
          <w:i w:val="0"/>
        </w:rPr>
        <w:t>供应商管理：准入、评价、合同与协同</w:t>
      </w:r>
    </w:p>
    <w:p w14:paraId="20EB3F10">
      <w:pPr>
        <w:pStyle w:val="16"/>
      </w:pPr>
      <w:r>
        <w:rPr>
          <w:b w:val="0"/>
          <w:i w:val="0"/>
        </w:rPr>
        <w:t>高级排产（可选）：在数据基础更扎实时，再做产能与排程优化</w:t>
      </w:r>
    </w:p>
    <w:p w14:paraId="5FB833A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7.5 质量与注册法规</w:t>
      </w:r>
    </w:p>
    <w:p w14:paraId="414B0513">
      <w:pPr>
        <w:pStyle w:val="16"/>
      </w:pPr>
      <w:r>
        <w:rPr>
          <w:b w:val="0"/>
          <w:i w:val="0"/>
        </w:rPr>
        <w:t>质量体系管理：体系文件、记录、纠正预防措施、审计留痕（与文档资料管理强绑定）</w:t>
      </w:r>
    </w:p>
    <w:p w14:paraId="5C788079">
      <w:pPr>
        <w:pStyle w:val="16"/>
      </w:pPr>
      <w:r>
        <w:rPr>
          <w:b w:val="0"/>
          <w:i w:val="0"/>
        </w:rPr>
        <w:t>注册资料管理：资料流转、提交版本锁定、证据归档（前期可先用“文档资料管理 + 流程审批”跑通最小闭环）</w:t>
      </w:r>
    </w:p>
    <w:p w14:paraId="38CC236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7.6 市场、销售与售后</w:t>
      </w:r>
    </w:p>
    <w:p w14:paraId="364C830D">
      <w:pPr>
        <w:pStyle w:val="16"/>
      </w:pPr>
      <w:r>
        <w:rPr>
          <w:b w:val="0"/>
          <w:i w:val="0"/>
        </w:rPr>
        <w:t>客户与销售管理：客户、商机、合同、渠道、回款（可与财务系统对接）</w:t>
      </w:r>
    </w:p>
    <w:p w14:paraId="1DE2BF95">
      <w:pPr>
        <w:pStyle w:val="16"/>
      </w:pPr>
      <w:r>
        <w:rPr>
          <w:b w:val="0"/>
          <w:i w:val="0"/>
        </w:rPr>
        <w:t>售后与现场服务工单：装机、维修、投诉、现场服务记录（可与质量系统联动）</w:t>
      </w:r>
    </w:p>
    <w:p w14:paraId="3686D375">
      <w:pPr>
        <w:pStyle w:val="16"/>
      </w:pPr>
      <w:r>
        <w:rPr>
          <w:b w:val="0"/>
          <w:i w:val="0"/>
        </w:rPr>
        <w:t>培训与内容管理：产品培训资料、考试与认证（前期可先用文档资料管理与知识库支持）</w:t>
      </w:r>
    </w:p>
    <w:p w14:paraId="45D9155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7.7 集团职能</w:t>
      </w:r>
    </w:p>
    <w:p w14:paraId="64FB238B">
      <w:pPr>
        <w:pStyle w:val="16"/>
      </w:pPr>
      <w:r>
        <w:rPr>
          <w:b w:val="0"/>
          <w:i w:val="0"/>
        </w:rPr>
        <w:t>财务：总账、应收应付、成本与预算</w:t>
      </w:r>
    </w:p>
    <w:p w14:paraId="0F25A2CD">
      <w:pPr>
        <w:pStyle w:val="16"/>
      </w:pPr>
      <w:r>
        <w:rPr>
          <w:b w:val="0"/>
          <w:i w:val="0"/>
        </w:rPr>
        <w:t>人力资源：组织、人事、薪酬与绩效（可与统一账号登录对接）</w:t>
      </w:r>
    </w:p>
    <w:p w14:paraId="3B549A26">
      <w:pPr>
        <w:pStyle w:val="16"/>
      </w:pPr>
      <w:r>
        <w:rPr>
          <w:b w:val="0"/>
          <w:i w:val="0"/>
        </w:rPr>
        <w:t>行政协同：公告、流程、资产与会议（与流程审批打通，避免重复建设）</w:t>
      </w:r>
    </w:p>
    <w:p w14:paraId="737FD9B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7.8 智能能力的落地位置</w:t>
      </w:r>
      <w:bookmarkStart w:id="0" w:name="_GoBack"/>
      <w:bookmarkEnd w:id="0"/>
    </w:p>
    <w:p w14:paraId="784C4F0E">
      <w:pPr>
        <w:pStyle w:val="16"/>
      </w:pPr>
      <w:r>
        <w:rPr>
          <w:b w:val="0"/>
          <w:i w:val="0"/>
        </w:rPr>
        <w:t>基于资料引用的问答：对培训资料、对外口径、制度等做“可追溯的问答”（能指出答案来自哪个文件的哪一段）</w:t>
      </w:r>
    </w:p>
    <w:p w14:paraId="2848E3CA">
      <w:pPr>
        <w:pStyle w:val="16"/>
      </w:pPr>
      <w:r>
        <w:rPr>
          <w:b w:val="0"/>
          <w:i w:val="0"/>
        </w:rPr>
        <w:t>助手与自动化：摘要、要点提取、资料归档建议、流程填写提示、检查取证辅助</w:t>
      </w:r>
    </w:p>
    <w:p w14:paraId="0214ED68">
      <w:pPr>
        <w:pStyle w:val="16"/>
      </w:pPr>
      <w:r>
        <w:rPr>
          <w:b w:val="0"/>
          <w:i w:val="0"/>
        </w:rPr>
        <w:t>原则：必须受权限约束；必须可追溯引用；无依据可拒答或提示人工确认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09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3019</Words>
  <Characters>3059</Characters>
  <Lines>0</Lines>
  <Paragraphs>0</Paragraphs>
  <TotalTime>0</TotalTime>
  <ScaleCrop>false</ScaleCrop>
  <LinksUpToDate>false</LinksUpToDate>
  <CharactersWithSpaces>3115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3FE0377D6F334B4E93170386FBA37573_12</vt:lpwstr>
  </property>
</Properties>
</file>