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C0655">
      <w:pPr>
        <w:jc w:val="center"/>
        <w:rPr>
          <w:rFonts w:hint="eastAsia" w:ascii="微软雅黑" w:hAnsi="微软雅黑" w:eastAsia="微软雅黑"/>
          <w:b/>
          <w:bCs/>
          <w:i w:val="0"/>
          <w:strike w:val="0"/>
          <w:sz w:val="52"/>
          <w:szCs w:val="52"/>
          <w:lang w:val="en-US" w:eastAsia="zh-CN"/>
        </w:rPr>
      </w:pPr>
      <w:bookmarkStart w:id="0" w:name="_GoBack"/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﻿系统详细设计</w:t>
      </w:r>
    </w:p>
    <w:bookmarkEnd w:id="0"/>
    <w:p w14:paraId="790BD2D8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1. 需求对齐（SR → DD）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CA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87DE133">
            <w:pPr>
              <w:spacing w:after="0" w:line="240" w:lineRule="auto"/>
            </w:pPr>
            <w:r>
              <w:rPr>
                <w:b/>
              </w:rPr>
              <w:t>系统需求（SR）</w:t>
            </w:r>
          </w:p>
        </w:tc>
        <w:tc>
          <w:tcPr>
            <w:tcW w:w="4320" w:type="dxa"/>
            <w:vAlign w:val="center"/>
          </w:tcPr>
          <w:p w14:paraId="1C88C8FB">
            <w:pPr>
              <w:spacing w:after="0" w:line="240" w:lineRule="auto"/>
            </w:pPr>
            <w:r>
              <w:rPr>
                <w:b/>
              </w:rPr>
              <w:t>对应详细设计条目（DD）</w:t>
            </w:r>
          </w:p>
        </w:tc>
      </w:tr>
      <w:tr w14:paraId="5C107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CAA0A4E">
            <w:pPr>
              <w:spacing w:after="0" w:line="240" w:lineRule="auto"/>
            </w:pPr>
            <w:r>
              <w:t>SR-1 场景与范围</w:t>
            </w:r>
          </w:p>
        </w:tc>
        <w:tc>
          <w:tcPr>
            <w:tcW w:w="4320" w:type="dxa"/>
            <w:vAlign w:val="center"/>
          </w:tcPr>
          <w:p w14:paraId="32F9C0B8">
            <w:pPr>
              <w:spacing w:after="0" w:line="240" w:lineRule="auto"/>
            </w:pPr>
            <w:r>
              <w:t>DD-1、DD-5、DD-11</w:t>
            </w:r>
          </w:p>
        </w:tc>
      </w:tr>
      <w:tr w14:paraId="2516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EEA23FC">
            <w:pPr>
              <w:spacing w:after="0" w:line="240" w:lineRule="auto"/>
            </w:pPr>
            <w:r>
              <w:t>SR-2 站点与路线</w:t>
            </w:r>
          </w:p>
        </w:tc>
        <w:tc>
          <w:tcPr>
            <w:tcW w:w="4320" w:type="dxa"/>
            <w:vAlign w:val="center"/>
          </w:tcPr>
          <w:p w14:paraId="690C6A6F">
            <w:pPr>
              <w:spacing w:after="0" w:line="240" w:lineRule="auto"/>
            </w:pPr>
            <w:r>
              <w:t>DD-5、DD-6、DD-12</w:t>
            </w:r>
          </w:p>
        </w:tc>
      </w:tr>
      <w:tr w14:paraId="46DE8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11E6032">
            <w:pPr>
              <w:spacing w:after="0" w:line="240" w:lineRule="auto"/>
            </w:pPr>
            <w:r>
              <w:t>SR-3 移动与到站能力</w:t>
            </w:r>
          </w:p>
        </w:tc>
        <w:tc>
          <w:tcPr>
            <w:tcW w:w="4320" w:type="dxa"/>
            <w:vAlign w:val="center"/>
          </w:tcPr>
          <w:p w14:paraId="54AE99F2">
            <w:pPr>
              <w:spacing w:after="0" w:line="240" w:lineRule="auto"/>
            </w:pPr>
            <w:r>
              <w:t>DD-6、DD-7、DD-12</w:t>
            </w:r>
          </w:p>
        </w:tc>
      </w:tr>
      <w:tr w14:paraId="0B8B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995B61A">
            <w:pPr>
              <w:spacing w:after="0" w:line="240" w:lineRule="auto"/>
            </w:pPr>
            <w:r>
              <w:t>SR-4 安全与人机提示</w:t>
            </w:r>
          </w:p>
        </w:tc>
        <w:tc>
          <w:tcPr>
            <w:tcW w:w="4320" w:type="dxa"/>
            <w:vAlign w:val="center"/>
          </w:tcPr>
          <w:p w14:paraId="1FA73B6F">
            <w:pPr>
              <w:spacing w:after="0" w:line="240" w:lineRule="auto"/>
            </w:pPr>
            <w:r>
              <w:t>DD-7、DD-8、DD-12</w:t>
            </w:r>
          </w:p>
        </w:tc>
      </w:tr>
      <w:tr w14:paraId="6754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FA7D2D8">
            <w:pPr>
              <w:spacing w:after="0" w:line="240" w:lineRule="auto"/>
            </w:pPr>
            <w:r>
              <w:t>SR-5 语音输入</w:t>
            </w:r>
          </w:p>
        </w:tc>
        <w:tc>
          <w:tcPr>
            <w:tcW w:w="4320" w:type="dxa"/>
            <w:vAlign w:val="center"/>
          </w:tcPr>
          <w:p w14:paraId="4297A0E3">
            <w:pPr>
              <w:spacing w:after="0" w:line="240" w:lineRule="auto"/>
            </w:pPr>
            <w:r>
              <w:t>DD-9、DD-12</w:t>
            </w:r>
          </w:p>
        </w:tc>
      </w:tr>
      <w:tr w14:paraId="4ABA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51E0544">
            <w:pPr>
              <w:spacing w:after="0" w:line="240" w:lineRule="auto"/>
            </w:pPr>
            <w:r>
              <w:t>SR-6 语音输出</w:t>
            </w:r>
          </w:p>
        </w:tc>
        <w:tc>
          <w:tcPr>
            <w:tcW w:w="4320" w:type="dxa"/>
            <w:vAlign w:val="center"/>
          </w:tcPr>
          <w:p w14:paraId="11F96BF1">
            <w:pPr>
              <w:spacing w:after="0" w:line="240" w:lineRule="auto"/>
            </w:pPr>
            <w:r>
              <w:t>DD-9、DD-12</w:t>
            </w:r>
          </w:p>
        </w:tc>
      </w:tr>
      <w:tr w14:paraId="242B1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EB1EAC2">
            <w:pPr>
              <w:spacing w:after="0" w:line="240" w:lineRule="auto"/>
            </w:pPr>
            <w:r>
              <w:t>SR-7 计算与系统环境</w:t>
            </w:r>
          </w:p>
        </w:tc>
        <w:tc>
          <w:tcPr>
            <w:tcW w:w="4320" w:type="dxa"/>
            <w:vAlign w:val="center"/>
          </w:tcPr>
          <w:p w14:paraId="52798D1D">
            <w:pPr>
              <w:spacing w:after="0" w:line="240" w:lineRule="auto"/>
            </w:pPr>
            <w:r>
              <w:t>DD-2、DD-10、DD-12</w:t>
            </w:r>
          </w:p>
        </w:tc>
      </w:tr>
      <w:tr w14:paraId="7B7C5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286C73B">
            <w:pPr>
              <w:spacing w:after="0" w:line="240" w:lineRule="auto"/>
            </w:pPr>
            <w:r>
              <w:t>SR-8 结构与安装（机械结构）</w:t>
            </w:r>
          </w:p>
        </w:tc>
        <w:tc>
          <w:tcPr>
            <w:tcW w:w="4320" w:type="dxa"/>
            <w:vAlign w:val="center"/>
          </w:tcPr>
          <w:p w14:paraId="0935CB17">
            <w:pPr>
              <w:spacing w:after="0" w:line="240" w:lineRule="auto"/>
            </w:pPr>
            <w:r>
              <w:t>DD-3</w:t>
            </w:r>
          </w:p>
        </w:tc>
      </w:tr>
      <w:tr w14:paraId="5ED8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178A68E">
            <w:pPr>
              <w:spacing w:after="0" w:line="240" w:lineRule="auto"/>
            </w:pPr>
            <w:r>
              <w:t>SR-9 工业设计（结构与功能工业设计）</w:t>
            </w:r>
          </w:p>
        </w:tc>
        <w:tc>
          <w:tcPr>
            <w:tcW w:w="4320" w:type="dxa"/>
            <w:vAlign w:val="center"/>
          </w:tcPr>
          <w:p w14:paraId="10CB3612">
            <w:pPr>
              <w:spacing w:after="0" w:line="240" w:lineRule="auto"/>
            </w:pPr>
            <w:r>
              <w:t>DD-3</w:t>
            </w:r>
          </w:p>
        </w:tc>
      </w:tr>
      <w:tr w14:paraId="231F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D475FA7">
            <w:pPr>
              <w:spacing w:after="0" w:line="240" w:lineRule="auto"/>
            </w:pPr>
            <w:r>
              <w:t>SR-10 网络与外部依赖</w:t>
            </w:r>
          </w:p>
        </w:tc>
        <w:tc>
          <w:tcPr>
            <w:tcW w:w="4320" w:type="dxa"/>
            <w:vAlign w:val="center"/>
          </w:tcPr>
          <w:p w14:paraId="29A677E7">
            <w:pPr>
              <w:spacing w:after="0" w:line="240" w:lineRule="auto"/>
            </w:pPr>
            <w:r>
              <w:t>DD-4、DD-10、DD-11</w:t>
            </w:r>
          </w:p>
        </w:tc>
      </w:tr>
      <w:tr w14:paraId="02E3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DEDBDF8">
            <w:pPr>
              <w:spacing w:after="0" w:line="240" w:lineRule="auto"/>
            </w:pPr>
            <w:r>
              <w:t>SR-11 运维与可观测性</w:t>
            </w:r>
          </w:p>
        </w:tc>
        <w:tc>
          <w:tcPr>
            <w:tcW w:w="4320" w:type="dxa"/>
            <w:vAlign w:val="center"/>
          </w:tcPr>
          <w:p w14:paraId="77803BB9">
            <w:pPr>
              <w:spacing w:after="0" w:line="240" w:lineRule="auto"/>
            </w:pPr>
            <w:r>
              <w:t>DD-10、DD-12</w:t>
            </w:r>
          </w:p>
        </w:tc>
      </w:tr>
      <w:tr w14:paraId="2ED9C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C46D2F4">
            <w:pPr>
              <w:spacing w:after="0" w:line="240" w:lineRule="auto"/>
            </w:pPr>
            <w:r>
              <w:t>SR-12 容错与降级</w:t>
            </w:r>
          </w:p>
        </w:tc>
        <w:tc>
          <w:tcPr>
            <w:tcW w:w="4320" w:type="dxa"/>
            <w:vAlign w:val="center"/>
          </w:tcPr>
          <w:p w14:paraId="1291E8C5">
            <w:pPr>
              <w:spacing w:after="0" w:line="240" w:lineRule="auto"/>
            </w:pPr>
            <w:r>
              <w:t>DD-11、DD-12</w:t>
            </w:r>
          </w:p>
        </w:tc>
      </w:tr>
      <w:tr w14:paraId="6B4C0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1B35F86">
            <w:pPr>
              <w:spacing w:after="0" w:line="240" w:lineRule="auto"/>
            </w:pPr>
            <w:r>
              <w:t>SR-13 数据与隐私</w:t>
            </w:r>
          </w:p>
        </w:tc>
        <w:tc>
          <w:tcPr>
            <w:tcW w:w="4320" w:type="dxa"/>
            <w:vAlign w:val="center"/>
          </w:tcPr>
          <w:p w14:paraId="37D06AB9">
            <w:pPr>
              <w:spacing w:after="0" w:line="240" w:lineRule="auto"/>
            </w:pPr>
            <w:r>
              <w:t>DD-10、DD-11</w:t>
            </w:r>
          </w:p>
        </w:tc>
      </w:tr>
      <w:tr w14:paraId="2E390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A626CE6">
            <w:pPr>
              <w:spacing w:after="0" w:line="240" w:lineRule="auto"/>
            </w:pPr>
            <w:r>
              <w:t>SR-14 交付物与文档</w:t>
            </w:r>
          </w:p>
        </w:tc>
        <w:tc>
          <w:tcPr>
            <w:tcW w:w="4320" w:type="dxa"/>
            <w:vAlign w:val="center"/>
          </w:tcPr>
          <w:p w14:paraId="70688B62">
            <w:pPr>
              <w:spacing w:after="0" w:line="240" w:lineRule="auto"/>
            </w:pPr>
            <w:r>
              <w:t>DD-12</w:t>
            </w:r>
          </w:p>
        </w:tc>
      </w:tr>
      <w:tr w14:paraId="696C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901A5B5">
            <w:pPr>
              <w:spacing w:after="0" w:line="240" w:lineRule="auto"/>
            </w:pPr>
            <w:r>
              <w:t>SR-15 实施计划与人力投入</w:t>
            </w:r>
          </w:p>
        </w:tc>
        <w:tc>
          <w:tcPr>
            <w:tcW w:w="4320" w:type="dxa"/>
            <w:vAlign w:val="center"/>
          </w:tcPr>
          <w:p w14:paraId="6227F64B">
            <w:pPr>
              <w:spacing w:after="0" w:line="240" w:lineRule="auto"/>
            </w:pPr>
            <w:r>
              <w:t>DD-13</w:t>
            </w:r>
          </w:p>
        </w:tc>
      </w:tr>
    </w:tbl>
    <w:p w14:paraId="4A6B0C0A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DD-1 场景与范围落地（对应 SR-1）</w:t>
      </w:r>
    </w:p>
    <w:p w14:paraId="631F8A23">
      <w:pPr>
        <w:pStyle w:val="16"/>
      </w:pPr>
      <w:r>
        <w:rPr>
          <w:b w:val="0"/>
          <w:i w:val="0"/>
        </w:rPr>
        <w:t>场地假设：单房间、路线固定；站点数量建议 3~10 个。</w:t>
      </w:r>
    </w:p>
    <w:p w14:paraId="32D2E02D">
      <w:pPr>
        <w:pStyle w:val="16"/>
      </w:pPr>
      <w:r>
        <w:rPr>
          <w:b w:val="0"/>
          <w:i w:val="0"/>
        </w:rPr>
        <w:t>交付关注点：稳定“到站→讲解”，并支持“打断→停止移动/停止播报→问答→恢复”。</w:t>
      </w:r>
    </w:p>
    <w:p w14:paraId="07C897D5">
      <w:pPr>
        <w:pStyle w:val="16"/>
      </w:pPr>
      <w:r>
        <w:rPr>
          <w:b w:val="0"/>
          <w:i w:val="0"/>
        </w:rPr>
        <w:t>不做项落实：不做自主建图/复杂重定位；不做人脸/身份识别；不引入多语种/大屏联动/统计分析。</w:t>
      </w:r>
    </w:p>
    <w:p w14:paraId="228E8CB0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DD-2 硬件与物料清单（BOM，SR-7/SR-4/SR-5/SR-6）</w:t>
      </w:r>
    </w:p>
    <w:p w14:paraId="7CEC05A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DD-2.1 必选物料（P0）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ED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96714BD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  <w:vAlign w:val="center"/>
          </w:tcPr>
          <w:p w14:paraId="135DBE25">
            <w:pPr>
              <w:spacing w:after="0" w:line="240" w:lineRule="auto"/>
              <w:jc w:val="right"/>
            </w:pPr>
            <w:r>
              <w:rPr>
                <w:b/>
              </w:rPr>
              <w:t>数量</w:t>
            </w:r>
          </w:p>
        </w:tc>
        <w:tc>
          <w:tcPr>
            <w:tcW w:w="2160" w:type="dxa"/>
            <w:vAlign w:val="center"/>
          </w:tcPr>
          <w:p w14:paraId="65D9CB15">
            <w:pPr>
              <w:spacing w:after="0" w:line="240" w:lineRule="auto"/>
            </w:pPr>
            <w:r>
              <w:rPr>
                <w:b/>
              </w:rPr>
              <w:t>关键指标（必须满足）</w:t>
            </w:r>
          </w:p>
        </w:tc>
        <w:tc>
          <w:tcPr>
            <w:tcW w:w="2160" w:type="dxa"/>
            <w:vAlign w:val="center"/>
          </w:tcPr>
          <w:p w14:paraId="0430D12F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0669B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2AC78F5">
            <w:pPr>
              <w:spacing w:after="0" w:line="240" w:lineRule="auto"/>
            </w:pPr>
            <w:r>
              <w:t>室内移动底盘</w:t>
            </w:r>
          </w:p>
        </w:tc>
        <w:tc>
          <w:tcPr>
            <w:tcW w:w="2160" w:type="dxa"/>
            <w:vAlign w:val="center"/>
          </w:tcPr>
          <w:p w14:paraId="064AC0A4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1984D6FA">
            <w:pPr>
              <w:spacing w:after="0" w:line="240" w:lineRule="auto"/>
            </w:pPr>
            <w:r>
              <w:t>支持室内点位到达；具备避障/碰撞保护；支持急停；可提供移动状态</w:t>
            </w:r>
          </w:p>
        </w:tc>
        <w:tc>
          <w:tcPr>
            <w:tcW w:w="2160" w:type="dxa"/>
            <w:vAlign w:val="center"/>
          </w:tcPr>
          <w:p w14:paraId="5F21538A">
            <w:pPr>
              <w:spacing w:after="0" w:line="240" w:lineRule="auto"/>
            </w:pPr>
            <w:r>
              <w:t>底盘能力决定“到站是否可靠”</w:t>
            </w:r>
          </w:p>
        </w:tc>
      </w:tr>
      <w:tr w14:paraId="331DE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BA034F9">
            <w:pPr>
              <w:spacing w:after="0" w:line="240" w:lineRule="auto"/>
            </w:pPr>
            <w:r>
              <w:t>工控机/主机</w:t>
            </w:r>
          </w:p>
        </w:tc>
        <w:tc>
          <w:tcPr>
            <w:tcW w:w="2160" w:type="dxa"/>
            <w:vAlign w:val="center"/>
          </w:tcPr>
          <w:p w14:paraId="0E737861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1211354B">
            <w:pPr>
              <w:spacing w:after="0" w:line="240" w:lineRule="auto"/>
            </w:pPr>
            <w:r>
              <w:t>可运行控制界面与业务服务；建议 x86_64、≥8GB 内存、≥256GB SSD；USB+网口齐全</w:t>
            </w:r>
          </w:p>
        </w:tc>
        <w:tc>
          <w:tcPr>
            <w:tcW w:w="2160" w:type="dxa"/>
            <w:vAlign w:val="center"/>
          </w:tcPr>
          <w:p w14:paraId="4FCBC5DE">
            <w:pPr>
              <w:spacing w:after="0" w:line="240" w:lineRule="auto"/>
            </w:pPr>
            <w:r>
              <w:t>Windows/Linux 均可</w:t>
            </w:r>
          </w:p>
        </w:tc>
      </w:tr>
      <w:tr w14:paraId="3AFF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0477971">
            <w:pPr>
              <w:spacing w:after="0" w:line="240" w:lineRule="auto"/>
            </w:pPr>
            <w:r>
              <w:t>麦克风</w:t>
            </w:r>
          </w:p>
        </w:tc>
        <w:tc>
          <w:tcPr>
            <w:tcW w:w="2160" w:type="dxa"/>
            <w:vAlign w:val="center"/>
          </w:tcPr>
          <w:p w14:paraId="40828970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35D04418">
            <w:pPr>
              <w:spacing w:after="0" w:line="240" w:lineRule="auto"/>
            </w:pPr>
            <w:r>
              <w:t>语音采集稳定；建议 AEC/降噪；可统一到 16k mono</w:t>
            </w:r>
          </w:p>
        </w:tc>
        <w:tc>
          <w:tcPr>
            <w:tcW w:w="2160" w:type="dxa"/>
            <w:vAlign w:val="center"/>
          </w:tcPr>
          <w:p w14:paraId="14B03259">
            <w:pPr>
              <w:spacing w:after="0" w:line="240" w:lineRule="auto"/>
            </w:pPr>
            <w:r>
              <w:t>USB 麦克风/阵列均可</w:t>
            </w:r>
          </w:p>
        </w:tc>
      </w:tr>
      <w:tr w14:paraId="090B8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2B0A029">
            <w:pPr>
              <w:spacing w:after="0" w:line="240" w:lineRule="auto"/>
            </w:pPr>
            <w:r>
              <w:t>扬声器/功放</w:t>
            </w:r>
          </w:p>
        </w:tc>
        <w:tc>
          <w:tcPr>
            <w:tcW w:w="2160" w:type="dxa"/>
            <w:vAlign w:val="center"/>
          </w:tcPr>
          <w:p w14:paraId="727EAD88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78A80448">
            <w:pPr>
              <w:spacing w:after="0" w:line="240" w:lineRule="auto"/>
            </w:pPr>
            <w:r>
              <w:t>音量足够、失真低；连续播报稳定</w:t>
            </w:r>
          </w:p>
        </w:tc>
        <w:tc>
          <w:tcPr>
            <w:tcW w:w="2160" w:type="dxa"/>
            <w:vAlign w:val="center"/>
          </w:tcPr>
          <w:p w14:paraId="1EE8D10C">
            <w:pPr>
              <w:spacing w:after="0" w:line="240" w:lineRule="auto"/>
            </w:pPr>
            <w:r>
              <w:t>无源需配功放</w:t>
            </w:r>
          </w:p>
        </w:tc>
      </w:tr>
      <w:tr w14:paraId="1AEBE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9CA3600">
            <w:pPr>
              <w:spacing w:after="0" w:line="240" w:lineRule="auto"/>
            </w:pPr>
            <w:r>
              <w:t>物理急停（E‑Stop）</w:t>
            </w:r>
          </w:p>
        </w:tc>
        <w:tc>
          <w:tcPr>
            <w:tcW w:w="2160" w:type="dxa"/>
            <w:vAlign w:val="center"/>
          </w:tcPr>
          <w:p w14:paraId="22A47817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77F9042A">
            <w:pPr>
              <w:spacing w:after="0" w:line="240" w:lineRule="auto"/>
            </w:pPr>
            <w:r>
              <w:t>触发后立即停止移动并进入安全状态</w:t>
            </w:r>
          </w:p>
        </w:tc>
        <w:tc>
          <w:tcPr>
            <w:tcW w:w="2160" w:type="dxa"/>
            <w:vAlign w:val="center"/>
          </w:tcPr>
          <w:p w14:paraId="4D770EBF">
            <w:pPr>
              <w:spacing w:after="0" w:line="240" w:lineRule="auto"/>
            </w:pPr>
            <w:r>
              <w:t>底盘自带优先</w:t>
            </w:r>
          </w:p>
        </w:tc>
      </w:tr>
      <w:tr w14:paraId="4037A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CAF9EE6">
            <w:pPr>
              <w:spacing w:after="0" w:line="240" w:lineRule="auto"/>
            </w:pPr>
            <w:r>
              <w:t>指示灯或小屏</w:t>
            </w:r>
          </w:p>
        </w:tc>
        <w:tc>
          <w:tcPr>
            <w:tcW w:w="2160" w:type="dxa"/>
            <w:vAlign w:val="center"/>
          </w:tcPr>
          <w:p w14:paraId="65C13C4B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5FD62EB6">
            <w:pPr>
              <w:spacing w:after="0" w:line="240" w:lineRule="auto"/>
            </w:pPr>
            <w:r>
              <w:t>至少可显示：移动/讲解/听取/异常</w:t>
            </w:r>
          </w:p>
        </w:tc>
        <w:tc>
          <w:tcPr>
            <w:tcW w:w="2160" w:type="dxa"/>
            <w:vAlign w:val="center"/>
          </w:tcPr>
          <w:p w14:paraId="22DD4057">
            <w:pPr>
              <w:spacing w:after="0" w:line="240" w:lineRule="auto"/>
            </w:pPr>
            <w:r>
              <w:t>3 色灯或小屏均可</w:t>
            </w:r>
          </w:p>
        </w:tc>
      </w:tr>
      <w:tr w14:paraId="1C676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7458550">
            <w:pPr>
              <w:spacing w:after="0" w:line="240" w:lineRule="auto"/>
            </w:pPr>
            <w:r>
              <w:t>电池与充电</w:t>
            </w:r>
          </w:p>
        </w:tc>
        <w:tc>
          <w:tcPr>
            <w:tcW w:w="2160" w:type="dxa"/>
            <w:vAlign w:val="center"/>
          </w:tcPr>
          <w:p w14:paraId="64694F16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7FAD60ED">
            <w:pPr>
              <w:spacing w:after="0" w:line="240" w:lineRule="auto"/>
            </w:pPr>
            <w:r>
              <w:t>续航建议 ≥4h；低电量提示；安全充电方案</w:t>
            </w:r>
          </w:p>
        </w:tc>
        <w:tc>
          <w:tcPr>
            <w:tcW w:w="2160" w:type="dxa"/>
            <w:vAlign w:val="center"/>
          </w:tcPr>
          <w:p w14:paraId="44B4ADDC">
            <w:pPr>
              <w:spacing w:after="0" w:line="240" w:lineRule="auto"/>
            </w:pPr>
            <w:r>
              <w:t>自动回充可选</w:t>
            </w:r>
          </w:p>
        </w:tc>
      </w:tr>
      <w:tr w14:paraId="50C8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8AF5279">
            <w:pPr>
              <w:spacing w:after="0" w:line="240" w:lineRule="auto"/>
            </w:pPr>
            <w:r>
              <w:t>网络</w:t>
            </w:r>
          </w:p>
        </w:tc>
        <w:tc>
          <w:tcPr>
            <w:tcW w:w="2160" w:type="dxa"/>
            <w:vAlign w:val="center"/>
          </w:tcPr>
          <w:p w14:paraId="2ACD82AC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6F6F1099">
            <w:pPr>
              <w:spacing w:after="0" w:line="240" w:lineRule="auto"/>
            </w:pPr>
            <w:r>
              <w:t>有线或稳定 Wi‑Fi；与底盘同网段可通信</w:t>
            </w:r>
          </w:p>
        </w:tc>
        <w:tc>
          <w:tcPr>
            <w:tcW w:w="2160" w:type="dxa"/>
            <w:vAlign w:val="center"/>
          </w:tcPr>
          <w:p w14:paraId="5AD94712">
            <w:pPr>
              <w:spacing w:after="0" w:line="240" w:lineRule="auto"/>
            </w:pPr>
            <w:r>
              <w:t>建议保留有线口</w:t>
            </w:r>
          </w:p>
        </w:tc>
      </w:tr>
    </w:tbl>
    <w:p w14:paraId="1B5F6F05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DD-2.2 可选物料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6A8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vAlign w:val="center"/>
          </w:tcPr>
          <w:p w14:paraId="039347BD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  <w:vAlign w:val="center"/>
          </w:tcPr>
          <w:p w14:paraId="2450EA62">
            <w:pPr>
              <w:spacing w:after="0" w:line="240" w:lineRule="auto"/>
              <w:jc w:val="right"/>
            </w:pPr>
            <w:r>
              <w:rPr>
                <w:b/>
              </w:rPr>
              <w:t>数量</w:t>
            </w:r>
          </w:p>
        </w:tc>
        <w:tc>
          <w:tcPr>
            <w:tcW w:w="2880" w:type="dxa"/>
            <w:vAlign w:val="center"/>
          </w:tcPr>
          <w:p w14:paraId="38425280"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</w:tr>
      <w:tr w14:paraId="510E3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9E112FF">
            <w:pPr>
              <w:spacing w:after="0" w:line="240" w:lineRule="auto"/>
            </w:pPr>
            <w:r>
              <w:t>扩声音箱</w:t>
            </w:r>
          </w:p>
        </w:tc>
        <w:tc>
          <w:tcPr>
            <w:tcW w:w="2880" w:type="dxa"/>
            <w:vAlign w:val="center"/>
          </w:tcPr>
          <w:p w14:paraId="7883BC77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02D1DCF5">
            <w:pPr>
              <w:spacing w:after="0" w:line="240" w:lineRule="auto"/>
            </w:pPr>
            <w:r>
              <w:t>嘈杂环境提升可听性</w:t>
            </w:r>
          </w:p>
        </w:tc>
      </w:tr>
      <w:tr w14:paraId="2E72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E2D9A03">
            <w:pPr>
              <w:spacing w:after="0" w:line="240" w:lineRule="auto"/>
            </w:pPr>
            <w:r>
              <w:t>充电桩（自动回充）</w:t>
            </w:r>
          </w:p>
        </w:tc>
        <w:tc>
          <w:tcPr>
            <w:tcW w:w="2880" w:type="dxa"/>
            <w:vAlign w:val="center"/>
          </w:tcPr>
          <w:p w14:paraId="59302402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5D96F0ED">
            <w:pPr>
              <w:spacing w:after="0" w:line="240" w:lineRule="auto"/>
            </w:pPr>
            <w:r>
              <w:t>长时间无人值守运行</w:t>
            </w:r>
          </w:p>
        </w:tc>
      </w:tr>
      <w:tr w14:paraId="04B9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8CD5688">
            <w:pPr>
              <w:spacing w:after="0" w:line="240" w:lineRule="auto"/>
            </w:pPr>
            <w:r>
              <w:t>避障传感器补强</w:t>
            </w:r>
          </w:p>
        </w:tc>
        <w:tc>
          <w:tcPr>
            <w:tcW w:w="2880" w:type="dxa"/>
            <w:vAlign w:val="center"/>
          </w:tcPr>
          <w:p w14:paraId="1CCC16C8">
            <w:pPr>
              <w:spacing w:after="0" w:line="240" w:lineRule="auto"/>
              <w:jc w:val="right"/>
            </w:pPr>
            <w:r>
              <w:t>1</w:t>
            </w:r>
          </w:p>
        </w:tc>
        <w:tc>
          <w:tcPr>
            <w:tcW w:w="2880" w:type="dxa"/>
            <w:vAlign w:val="center"/>
          </w:tcPr>
          <w:p w14:paraId="0EC4F7DE">
            <w:pPr>
              <w:spacing w:after="0" w:line="240" w:lineRule="auto"/>
            </w:pPr>
            <w:r>
              <w:t>人群密集/通道窄时加强安全</w:t>
            </w:r>
          </w:p>
        </w:tc>
      </w:tr>
    </w:tbl>
    <w:p w14:paraId="0ECDEC3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DD-2.3 辅料与安装件</w:t>
      </w:r>
    </w:p>
    <w:p w14:paraId="1881F095">
      <w:pPr>
        <w:pStyle w:val="16"/>
      </w:pPr>
      <w:r>
        <w:rPr>
          <w:b w:val="0"/>
          <w:i w:val="0"/>
        </w:rPr>
        <w:t>线材：网线、USB 延长线（带屏蔽）、音频线（若外接功放/音箱）、电源线与理线耗材</w:t>
      </w:r>
    </w:p>
    <w:p w14:paraId="170B881C">
      <w:pPr>
        <w:pStyle w:val="16"/>
      </w:pPr>
      <w:r>
        <w:rPr>
          <w:b w:val="0"/>
          <w:i w:val="0"/>
        </w:rPr>
        <w:t>固定件：工控机支架、麦克风支架/减震垫、扬声器支架</w:t>
      </w:r>
    </w:p>
    <w:p w14:paraId="7D00869B">
      <w:pPr>
        <w:pStyle w:val="16"/>
      </w:pPr>
      <w:r>
        <w:rPr>
          <w:b w:val="0"/>
          <w:i w:val="0"/>
        </w:rPr>
        <w:t>结构件：安装底板/支架、线缆固定与应力释放件、必要的外壳/防护罩（若底盘本体不含上装结构）</w:t>
      </w:r>
    </w:p>
    <w:p w14:paraId="0CD4CCA2">
      <w:pPr>
        <w:pStyle w:val="16"/>
      </w:pPr>
      <w:r>
        <w:rPr>
          <w:b w:val="0"/>
          <w:i w:val="0"/>
        </w:rPr>
        <w:t>现场标识：站点标识牌/地贴（引导参观者与现场复核）</w:t>
      </w:r>
    </w:p>
    <w:p w14:paraId="4A7372C7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DD-3 工业设计（结构与功能工业设计，对应 SR-8/SR-9）</w:t>
      </w:r>
    </w:p>
    <w:p w14:paraId="21E177E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DD-3.1 工业设计需求对应表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4D1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4FE9163">
            <w:pPr>
              <w:spacing w:after="0" w:line="240" w:lineRule="auto"/>
            </w:pPr>
            <w:r>
              <w:rPr>
                <w:b/>
              </w:rPr>
              <w:t>需求描述</w:t>
            </w:r>
          </w:p>
        </w:tc>
        <w:tc>
          <w:tcPr>
            <w:tcW w:w="1440" w:type="dxa"/>
            <w:vAlign w:val="center"/>
          </w:tcPr>
          <w:p w14:paraId="469F9A51">
            <w:pPr>
              <w:spacing w:after="0" w:line="240" w:lineRule="auto"/>
            </w:pPr>
            <w:r>
              <w:rPr>
                <w:b/>
              </w:rPr>
              <w:t>技术指标（建议验收口径）</w:t>
            </w:r>
          </w:p>
        </w:tc>
        <w:tc>
          <w:tcPr>
            <w:tcW w:w="1440" w:type="dxa"/>
            <w:vAlign w:val="center"/>
          </w:tcPr>
          <w:p w14:paraId="490C7362">
            <w:pPr>
              <w:spacing w:after="0" w:line="240" w:lineRule="auto"/>
            </w:pPr>
            <w:r>
              <w:rPr>
                <w:b/>
              </w:rPr>
              <w:t>实现方式（具体硬件/工艺）</w:t>
            </w:r>
          </w:p>
        </w:tc>
        <w:tc>
          <w:tcPr>
            <w:tcW w:w="1440" w:type="dxa"/>
            <w:vAlign w:val="center"/>
          </w:tcPr>
          <w:p w14:paraId="394E4F75">
            <w:pPr>
              <w:spacing w:after="0" w:line="240" w:lineRule="auto"/>
            </w:pPr>
            <w:r>
              <w:rPr>
                <w:b/>
              </w:rPr>
              <w:t>实现原理</w:t>
            </w:r>
          </w:p>
        </w:tc>
        <w:tc>
          <w:tcPr>
            <w:tcW w:w="1440" w:type="dxa"/>
            <w:vAlign w:val="center"/>
          </w:tcPr>
          <w:p w14:paraId="390C46A1">
            <w:pPr>
              <w:spacing w:after="0" w:line="240" w:lineRule="auto"/>
              <w:jc w:val="right"/>
            </w:pPr>
            <w:r>
              <w:rPr>
                <w:b/>
              </w:rPr>
              <w:t>物料预算（参考）</w:t>
            </w:r>
          </w:p>
        </w:tc>
        <w:tc>
          <w:tcPr>
            <w:tcW w:w="1440" w:type="dxa"/>
            <w:vAlign w:val="center"/>
          </w:tcPr>
          <w:p w14:paraId="2ACF2D72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6205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75FDF49">
            <w:pPr>
              <w:spacing w:after="0" w:line="240" w:lineRule="auto"/>
            </w:pPr>
            <w:r>
              <w:t>外观与品牌一致性</w:t>
            </w:r>
          </w:p>
        </w:tc>
        <w:tc>
          <w:tcPr>
            <w:tcW w:w="1440" w:type="dxa"/>
            <w:vAlign w:val="center"/>
          </w:tcPr>
          <w:p w14:paraId="6C1A5335">
            <w:pPr>
              <w:spacing w:after="0" w:line="240" w:lineRule="auto"/>
            </w:pPr>
            <w:r>
              <w:t>外观统一、便于清洁；标识位预留；说明贴/导视清晰</w:t>
            </w:r>
          </w:p>
        </w:tc>
        <w:tc>
          <w:tcPr>
            <w:tcW w:w="1440" w:type="dxa"/>
            <w:vAlign w:val="center"/>
          </w:tcPr>
          <w:p w14:paraId="10A951F6">
            <w:pPr>
              <w:spacing w:after="0" w:line="240" w:lineRule="auto"/>
            </w:pPr>
            <w:r>
              <w:t>工业设计外观方案（配色/材质/贴纸/标牌）；可更换面板/贴纸</w:t>
            </w:r>
          </w:p>
        </w:tc>
        <w:tc>
          <w:tcPr>
            <w:tcW w:w="1440" w:type="dxa"/>
            <w:vAlign w:val="center"/>
          </w:tcPr>
          <w:p w14:paraId="1D168B90">
            <w:pPr>
              <w:spacing w:after="0" w:line="240" w:lineRule="auto"/>
            </w:pPr>
            <w:r>
              <w:t>通过统一视觉语言与导视提升展厅一致性与可用性</w:t>
            </w:r>
          </w:p>
        </w:tc>
        <w:tc>
          <w:tcPr>
            <w:tcW w:w="1440" w:type="dxa"/>
            <w:vAlign w:val="center"/>
          </w:tcPr>
          <w:p w14:paraId="0438D8AC">
            <w:pPr>
              <w:spacing w:after="0" w:line="240" w:lineRule="auto"/>
              <w:jc w:val="right"/>
            </w:pPr>
            <w:r>
              <w:t>200~800</w:t>
            </w:r>
          </w:p>
        </w:tc>
        <w:tc>
          <w:tcPr>
            <w:tcW w:w="1440" w:type="dxa"/>
            <w:vAlign w:val="center"/>
          </w:tcPr>
          <w:p w14:paraId="055CD00C">
            <w:pPr>
              <w:spacing w:after="0" w:line="240" w:lineRule="auto"/>
            </w:pPr>
            <w:r>
              <w:t>以贴纸/标牌为主，避免大幅改造底盘本体</w:t>
            </w:r>
          </w:p>
        </w:tc>
      </w:tr>
      <w:tr w14:paraId="7378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3EAECB4">
            <w:pPr>
              <w:spacing w:after="0" w:line="240" w:lineRule="auto"/>
            </w:pPr>
            <w:r>
              <w:t>外壳打样（小批试制）</w:t>
            </w:r>
          </w:p>
        </w:tc>
        <w:tc>
          <w:tcPr>
            <w:tcW w:w="1440" w:type="dxa"/>
            <w:vAlign w:val="center"/>
          </w:tcPr>
          <w:p w14:paraId="30D3B136">
            <w:pPr>
              <w:spacing w:after="0" w:line="240" w:lineRule="auto"/>
            </w:pPr>
            <w:r>
              <w:t>1~2 套外壳打样可装配；外观与安装位一致；打样后可用于现场展示/验收</w:t>
            </w:r>
          </w:p>
        </w:tc>
        <w:tc>
          <w:tcPr>
            <w:tcW w:w="1440" w:type="dxa"/>
            <w:vAlign w:val="center"/>
          </w:tcPr>
          <w:p w14:paraId="718749D2">
            <w:pPr>
              <w:spacing w:after="0" w:line="240" w:lineRule="auto"/>
            </w:pPr>
            <w:r>
              <w:t>3D 打印/真空复模/钣金打样（喷涂/丝印）；关键安装位实测校核</w:t>
            </w:r>
          </w:p>
        </w:tc>
        <w:tc>
          <w:tcPr>
            <w:tcW w:w="1440" w:type="dxa"/>
            <w:vAlign w:val="center"/>
          </w:tcPr>
          <w:p w14:paraId="707E18C0">
            <w:pPr>
              <w:spacing w:after="0" w:line="240" w:lineRule="auto"/>
            </w:pPr>
            <w:r>
              <w:t>通过低批量试制验证外观、装配、维护开口与走线合理性，降低量产风险</w:t>
            </w:r>
          </w:p>
        </w:tc>
        <w:tc>
          <w:tcPr>
            <w:tcW w:w="1440" w:type="dxa"/>
            <w:vAlign w:val="center"/>
          </w:tcPr>
          <w:p w14:paraId="30107CB6">
            <w:pPr>
              <w:spacing w:after="0" w:line="240" w:lineRule="auto"/>
              <w:jc w:val="right"/>
            </w:pPr>
            <w:r>
              <w:t>30000</w:t>
            </w:r>
          </w:p>
        </w:tc>
        <w:tc>
          <w:tcPr>
            <w:tcW w:w="1440" w:type="dxa"/>
            <w:vAlign w:val="center"/>
          </w:tcPr>
          <w:p w14:paraId="7B057AB4">
            <w:pPr>
              <w:spacing w:after="0" w:line="240" w:lineRule="auto"/>
            </w:pPr>
            <w:r>
              <w:t>适用于仅做 1~2 套；若开模量产需另行报价</w:t>
            </w:r>
          </w:p>
        </w:tc>
      </w:tr>
      <w:tr w14:paraId="27699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F24AD58">
            <w:pPr>
              <w:spacing w:after="0" w:line="240" w:lineRule="auto"/>
            </w:pPr>
            <w:r>
              <w:t>外观与基础防护（结构）</w:t>
            </w:r>
          </w:p>
        </w:tc>
        <w:tc>
          <w:tcPr>
            <w:tcW w:w="1440" w:type="dxa"/>
            <w:vAlign w:val="center"/>
          </w:tcPr>
          <w:p w14:paraId="05EC4289">
            <w:pPr>
              <w:spacing w:after="0" w:line="240" w:lineRule="auto"/>
            </w:pPr>
            <w:r>
              <w:t>外露尖角为 0；边角倒圆/包边；可遮挡内部线束与电气</w:t>
            </w:r>
          </w:p>
        </w:tc>
        <w:tc>
          <w:tcPr>
            <w:tcW w:w="1440" w:type="dxa"/>
            <w:vAlign w:val="center"/>
          </w:tcPr>
          <w:p w14:paraId="255F6DAB">
            <w:pPr>
              <w:spacing w:after="0" w:line="240" w:lineRule="auto"/>
            </w:pPr>
            <w:r>
              <w:t>ABS/PC 外壳或钣金罩壳；边缘包胶；检修门（带锁扣）</w:t>
            </w:r>
          </w:p>
        </w:tc>
        <w:tc>
          <w:tcPr>
            <w:tcW w:w="1440" w:type="dxa"/>
            <w:vAlign w:val="center"/>
          </w:tcPr>
          <w:p w14:paraId="24C8D740">
            <w:pPr>
              <w:spacing w:after="0" w:line="240" w:lineRule="auto"/>
            </w:pPr>
            <w:r>
              <w:t>通过包边与罩壳隔离尖角与电气，降低刮碰与误触风险</w:t>
            </w:r>
          </w:p>
        </w:tc>
        <w:tc>
          <w:tcPr>
            <w:tcW w:w="1440" w:type="dxa"/>
            <w:vAlign w:val="center"/>
          </w:tcPr>
          <w:p w14:paraId="18D83219">
            <w:pPr>
              <w:spacing w:after="0" w:line="240" w:lineRule="auto"/>
              <w:jc w:val="right"/>
            </w:pPr>
            <w:r>
              <w:t>1500~4000</w:t>
            </w:r>
          </w:p>
        </w:tc>
        <w:tc>
          <w:tcPr>
            <w:tcW w:w="1440" w:type="dxa"/>
            <w:vAlign w:val="center"/>
          </w:tcPr>
          <w:p w14:paraId="0CB16816">
            <w:pPr>
              <w:spacing w:after="0" w:line="240" w:lineRule="auto"/>
            </w:pPr>
            <w:r>
              <w:t>若底盘自带上装外壳，可仅做补强</w:t>
            </w:r>
          </w:p>
        </w:tc>
      </w:tr>
      <w:tr w14:paraId="00BA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8C14946">
            <w:pPr>
              <w:spacing w:after="0" w:line="240" w:lineRule="auto"/>
            </w:pPr>
            <w:r>
              <w:t>功能布局与人因（可达/可见）</w:t>
            </w:r>
          </w:p>
        </w:tc>
        <w:tc>
          <w:tcPr>
            <w:tcW w:w="1440" w:type="dxa"/>
            <w:vAlign w:val="center"/>
          </w:tcPr>
          <w:p w14:paraId="40A4645D">
            <w:pPr>
              <w:spacing w:after="0" w:line="240" w:lineRule="auto"/>
            </w:pPr>
            <w:r>
              <w:t>急停按钮可达；状态指示在主要视角可见；接口/维护开口可达</w:t>
            </w:r>
          </w:p>
        </w:tc>
        <w:tc>
          <w:tcPr>
            <w:tcW w:w="1440" w:type="dxa"/>
            <w:vAlign w:val="center"/>
          </w:tcPr>
          <w:p w14:paraId="49A5F315">
            <w:pPr>
              <w:spacing w:after="0" w:line="240" w:lineRule="auto"/>
            </w:pPr>
            <w:r>
              <w:t>E-Stop 外置或引出；指示灯/小屏上置；接口面板集中布置；关键位置标识</w:t>
            </w:r>
          </w:p>
        </w:tc>
        <w:tc>
          <w:tcPr>
            <w:tcW w:w="1440" w:type="dxa"/>
            <w:vAlign w:val="center"/>
          </w:tcPr>
          <w:p w14:paraId="303F517A">
            <w:pPr>
              <w:spacing w:after="0" w:line="240" w:lineRule="auto"/>
            </w:pPr>
            <w:r>
              <w:t>降低紧急操作与日常维护的路径成本，减少误操作</w:t>
            </w:r>
          </w:p>
        </w:tc>
        <w:tc>
          <w:tcPr>
            <w:tcW w:w="1440" w:type="dxa"/>
            <w:vAlign w:val="center"/>
          </w:tcPr>
          <w:p w14:paraId="5C35F407">
            <w:pPr>
              <w:spacing w:after="0" w:line="240" w:lineRule="auto"/>
              <w:jc w:val="right"/>
            </w:pPr>
            <w:r>
              <w:t>200~800</w:t>
            </w:r>
          </w:p>
        </w:tc>
        <w:tc>
          <w:tcPr>
            <w:tcW w:w="1440" w:type="dxa"/>
            <w:vAlign w:val="center"/>
          </w:tcPr>
          <w:p w14:paraId="2C3CA54C">
            <w:pPr>
              <w:spacing w:after="0" w:line="240" w:lineRule="auto"/>
            </w:pPr>
            <w:r>
              <w:t>与 DD-7.3 的提示规范一致</w:t>
            </w:r>
          </w:p>
        </w:tc>
      </w:tr>
      <w:tr w14:paraId="05D8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78A4106">
            <w:pPr>
              <w:spacing w:after="0" w:line="240" w:lineRule="auto"/>
            </w:pPr>
            <w:r>
              <w:t>稳定性与抗倾倒</w:t>
            </w:r>
          </w:p>
        </w:tc>
        <w:tc>
          <w:tcPr>
            <w:tcW w:w="1440" w:type="dxa"/>
            <w:vAlign w:val="center"/>
          </w:tcPr>
          <w:p w14:paraId="5812FD83">
            <w:pPr>
              <w:spacing w:after="0" w:line="240" w:lineRule="auto"/>
            </w:pPr>
            <w:r>
              <w:t>正常运行与急停/轻推下不易倾倒；部件安装后重心可控</w:t>
            </w:r>
          </w:p>
        </w:tc>
        <w:tc>
          <w:tcPr>
            <w:tcW w:w="1440" w:type="dxa"/>
            <w:vAlign w:val="center"/>
          </w:tcPr>
          <w:p w14:paraId="716C74A0">
            <w:pPr>
              <w:spacing w:after="0" w:line="240" w:lineRule="auto"/>
            </w:pPr>
            <w:r>
              <w:t>重件（电池/工控机）下置；立柱与底座加固；必要时加配重块/防倾支撑</w:t>
            </w:r>
          </w:p>
        </w:tc>
        <w:tc>
          <w:tcPr>
            <w:tcW w:w="1440" w:type="dxa"/>
            <w:vAlign w:val="center"/>
          </w:tcPr>
          <w:p w14:paraId="48B75D7E">
            <w:pPr>
              <w:spacing w:after="0" w:line="240" w:lineRule="auto"/>
            </w:pPr>
            <w:r>
              <w:t>通过降低重心与增大支撑面，提高静/动态稳定裕度</w:t>
            </w:r>
          </w:p>
        </w:tc>
        <w:tc>
          <w:tcPr>
            <w:tcW w:w="1440" w:type="dxa"/>
            <w:vAlign w:val="center"/>
          </w:tcPr>
          <w:p w14:paraId="4F70F785">
            <w:pPr>
              <w:spacing w:after="0" w:line="240" w:lineRule="auto"/>
              <w:jc w:val="right"/>
            </w:pPr>
            <w:r>
              <w:t>0~1500</w:t>
            </w:r>
          </w:p>
        </w:tc>
        <w:tc>
          <w:tcPr>
            <w:tcW w:w="1440" w:type="dxa"/>
            <w:vAlign w:val="center"/>
          </w:tcPr>
          <w:p w14:paraId="57BB1D45">
            <w:pPr>
              <w:spacing w:after="0" w:line="240" w:lineRule="auto"/>
            </w:pPr>
            <w:r>
              <w:t>具体取决于底盘结构与载荷余量</w:t>
            </w:r>
          </w:p>
        </w:tc>
      </w:tr>
      <w:tr w14:paraId="3B632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667C350">
            <w:pPr>
              <w:spacing w:after="0" w:line="240" w:lineRule="auto"/>
            </w:pPr>
            <w:r>
              <w:t>安装与可维护性</w:t>
            </w:r>
          </w:p>
        </w:tc>
        <w:tc>
          <w:tcPr>
            <w:tcW w:w="1440" w:type="dxa"/>
            <w:vAlign w:val="center"/>
          </w:tcPr>
          <w:p w14:paraId="5B7BF97C">
            <w:pPr>
              <w:spacing w:after="0" w:line="240" w:lineRule="auto"/>
            </w:pPr>
            <w:r>
              <w:t>常用维护可在 ≤10 分钟完成（开盖/换线/更换模块）</w:t>
            </w:r>
          </w:p>
        </w:tc>
        <w:tc>
          <w:tcPr>
            <w:tcW w:w="1440" w:type="dxa"/>
            <w:vAlign w:val="center"/>
          </w:tcPr>
          <w:p w14:paraId="58E607B2">
            <w:pPr>
              <w:spacing w:after="0" w:line="240" w:lineRule="auto"/>
            </w:pPr>
            <w:r>
              <w:t>模块化安装底板（铝型材/钢板）；快拆螺丝/手拧件；预留检修开口</w:t>
            </w:r>
          </w:p>
        </w:tc>
        <w:tc>
          <w:tcPr>
            <w:tcW w:w="1440" w:type="dxa"/>
            <w:vAlign w:val="center"/>
          </w:tcPr>
          <w:p w14:paraId="579A8D65">
            <w:pPr>
              <w:spacing w:after="0" w:line="240" w:lineRule="auto"/>
            </w:pPr>
            <w:r>
              <w:t>通过模块化与快拆减少拆装路径，降低维护时间与误装风险</w:t>
            </w:r>
          </w:p>
        </w:tc>
        <w:tc>
          <w:tcPr>
            <w:tcW w:w="1440" w:type="dxa"/>
            <w:vAlign w:val="center"/>
          </w:tcPr>
          <w:p w14:paraId="28DF9AE9">
            <w:pPr>
              <w:spacing w:after="0" w:line="240" w:lineRule="auto"/>
              <w:jc w:val="right"/>
            </w:pPr>
            <w:r>
              <w:t>500~2000</w:t>
            </w:r>
          </w:p>
        </w:tc>
        <w:tc>
          <w:tcPr>
            <w:tcW w:w="1440" w:type="dxa"/>
            <w:vAlign w:val="center"/>
          </w:tcPr>
          <w:p w14:paraId="3C53CEAA">
            <w:pPr>
              <w:spacing w:after="0" w:line="240" w:lineRule="auto"/>
            </w:pPr>
            <w:r>
              <w:t>交付需给出拆装步骤与工具清单</w:t>
            </w:r>
          </w:p>
        </w:tc>
      </w:tr>
      <w:tr w14:paraId="3413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7955FDE">
            <w:pPr>
              <w:spacing w:after="0" w:line="240" w:lineRule="auto"/>
            </w:pPr>
            <w:r>
              <w:t>线缆管理与应力释放</w:t>
            </w:r>
          </w:p>
        </w:tc>
        <w:tc>
          <w:tcPr>
            <w:tcW w:w="1440" w:type="dxa"/>
            <w:vAlign w:val="center"/>
          </w:tcPr>
          <w:p w14:paraId="37595AE6">
            <w:pPr>
              <w:spacing w:after="0" w:line="240" w:lineRule="auto"/>
            </w:pPr>
            <w:r>
              <w:t>线束固定、无拖地；连接器不易松脱；关键线有应力释放</w:t>
            </w:r>
          </w:p>
        </w:tc>
        <w:tc>
          <w:tcPr>
            <w:tcW w:w="1440" w:type="dxa"/>
            <w:vAlign w:val="center"/>
          </w:tcPr>
          <w:p w14:paraId="080DBEDA">
            <w:pPr>
              <w:spacing w:after="0" w:line="240" w:lineRule="auto"/>
            </w:pPr>
            <w:r>
              <w:t>线槽/波纹管/编织网管；扎带座；理线夹；电源线/USB/音频线分区走线</w:t>
            </w:r>
          </w:p>
        </w:tc>
        <w:tc>
          <w:tcPr>
            <w:tcW w:w="1440" w:type="dxa"/>
            <w:vAlign w:val="center"/>
          </w:tcPr>
          <w:p w14:paraId="6A72E11E">
            <w:pPr>
              <w:spacing w:after="0" w:line="240" w:lineRule="auto"/>
            </w:pPr>
            <w:r>
              <w:t>固定与分区走线降低磨损/缠绕与电磁串扰概率，避免行走拉扯</w:t>
            </w:r>
          </w:p>
        </w:tc>
        <w:tc>
          <w:tcPr>
            <w:tcW w:w="1440" w:type="dxa"/>
            <w:vAlign w:val="center"/>
          </w:tcPr>
          <w:p w14:paraId="5883F9F3">
            <w:pPr>
              <w:spacing w:after="0" w:line="240" w:lineRule="auto"/>
              <w:jc w:val="right"/>
            </w:pPr>
            <w:r>
              <w:t>200~800</w:t>
            </w:r>
          </w:p>
        </w:tc>
        <w:tc>
          <w:tcPr>
            <w:tcW w:w="1440" w:type="dxa"/>
            <w:vAlign w:val="center"/>
          </w:tcPr>
          <w:p w14:paraId="1B2FE373">
            <w:pPr>
              <w:spacing w:after="0" w:line="240" w:lineRule="auto"/>
            </w:pPr>
            <w:r>
              <w:t>与 DD-4.3 “布线与固定”一致</w:t>
            </w:r>
          </w:p>
        </w:tc>
      </w:tr>
      <w:tr w14:paraId="25D14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11703E6">
            <w:pPr>
              <w:spacing w:after="0" w:line="240" w:lineRule="auto"/>
            </w:pPr>
            <w:r>
              <w:t>散热与噪声控制（上装）</w:t>
            </w:r>
          </w:p>
        </w:tc>
        <w:tc>
          <w:tcPr>
            <w:tcW w:w="1440" w:type="dxa"/>
            <w:vAlign w:val="center"/>
          </w:tcPr>
          <w:p w14:paraId="3BD6DA45">
            <w:pPr>
              <w:spacing w:after="0" w:line="240" w:lineRule="auto"/>
            </w:pPr>
            <w:r>
              <w:t>设备表面不过热；风扇噪声不影响讲解（室内可接受）</w:t>
            </w:r>
          </w:p>
        </w:tc>
        <w:tc>
          <w:tcPr>
            <w:tcW w:w="1440" w:type="dxa"/>
            <w:vAlign w:val="center"/>
          </w:tcPr>
          <w:p w14:paraId="5D755286">
            <w:pPr>
              <w:spacing w:after="0" w:line="240" w:lineRule="auto"/>
            </w:pPr>
            <w:r>
              <w:t>预留进出风通道；防尘网；必要时低噪风扇（含防护罩）</w:t>
            </w:r>
          </w:p>
        </w:tc>
        <w:tc>
          <w:tcPr>
            <w:tcW w:w="1440" w:type="dxa"/>
            <w:vAlign w:val="center"/>
          </w:tcPr>
          <w:p w14:paraId="37E031B1">
            <w:pPr>
              <w:spacing w:after="0" w:line="240" w:lineRule="auto"/>
            </w:pPr>
            <w:r>
              <w:t>保证换气通道，降低热堆积；防尘网便于清洁维护</w:t>
            </w:r>
          </w:p>
        </w:tc>
        <w:tc>
          <w:tcPr>
            <w:tcW w:w="1440" w:type="dxa"/>
            <w:vAlign w:val="center"/>
          </w:tcPr>
          <w:p w14:paraId="3E12497F">
            <w:pPr>
              <w:spacing w:after="0" w:line="240" w:lineRule="auto"/>
              <w:jc w:val="right"/>
            </w:pPr>
            <w:r>
              <w:t>0~600</w:t>
            </w:r>
          </w:p>
        </w:tc>
        <w:tc>
          <w:tcPr>
            <w:tcW w:w="1440" w:type="dxa"/>
            <w:vAlign w:val="center"/>
          </w:tcPr>
          <w:p w14:paraId="2A3457AD">
            <w:pPr>
              <w:spacing w:after="0" w:line="240" w:lineRule="auto"/>
            </w:pPr>
            <w:r>
              <w:t>若工控机为无风扇方案可为 0</w:t>
            </w:r>
          </w:p>
        </w:tc>
      </w:tr>
      <w:tr w14:paraId="39F0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5E69AC1">
            <w:pPr>
              <w:spacing w:after="0" w:line="240" w:lineRule="auto"/>
            </w:pPr>
            <w:r>
              <w:t>走线与接口可达性</w:t>
            </w:r>
          </w:p>
        </w:tc>
        <w:tc>
          <w:tcPr>
            <w:tcW w:w="1440" w:type="dxa"/>
            <w:vAlign w:val="center"/>
          </w:tcPr>
          <w:p w14:paraId="7273C298">
            <w:pPr>
              <w:spacing w:after="0" w:line="240" w:lineRule="auto"/>
            </w:pPr>
            <w:r>
              <w:t>USB/网口/电源插拔便利；关键接口可标识</w:t>
            </w:r>
          </w:p>
        </w:tc>
        <w:tc>
          <w:tcPr>
            <w:tcW w:w="1440" w:type="dxa"/>
            <w:vAlign w:val="center"/>
          </w:tcPr>
          <w:p w14:paraId="05D9BB8C">
            <w:pPr>
              <w:spacing w:after="0" w:line="240" w:lineRule="auto"/>
            </w:pPr>
            <w:r>
              <w:t>接口面板集中布置；线束标签；防呆/防反插</w:t>
            </w:r>
          </w:p>
        </w:tc>
        <w:tc>
          <w:tcPr>
            <w:tcW w:w="1440" w:type="dxa"/>
            <w:vAlign w:val="center"/>
          </w:tcPr>
          <w:p w14:paraId="18194AE8">
            <w:pPr>
              <w:spacing w:after="0" w:line="240" w:lineRule="auto"/>
            </w:pPr>
            <w:r>
              <w:t>通过集中接口与标识降低现场误插误拔概率</w:t>
            </w:r>
          </w:p>
        </w:tc>
        <w:tc>
          <w:tcPr>
            <w:tcW w:w="1440" w:type="dxa"/>
            <w:vAlign w:val="center"/>
          </w:tcPr>
          <w:p w14:paraId="2C732B3C">
            <w:pPr>
              <w:spacing w:after="0" w:line="240" w:lineRule="auto"/>
              <w:jc w:val="right"/>
            </w:pPr>
            <w:r>
              <w:t>100~500</w:t>
            </w:r>
          </w:p>
        </w:tc>
        <w:tc>
          <w:tcPr>
            <w:tcW w:w="1440" w:type="dxa"/>
            <w:vAlign w:val="center"/>
          </w:tcPr>
          <w:p w14:paraId="15964530">
            <w:pPr>
              <w:spacing w:after="0" w:line="240" w:lineRule="auto"/>
            </w:pPr>
            <w:r>
              <w:t>与交付文档要求配套</w:t>
            </w:r>
          </w:p>
        </w:tc>
      </w:tr>
    </w:tbl>
    <w:p w14:paraId="03AC0078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DD-4 网络、供电与布线（对应 SR-10/SR-7）</w:t>
      </w:r>
    </w:p>
    <w:p w14:paraId="095769F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DD-4.1 网络拓扑与地址规划</w:t>
      </w:r>
    </w:p>
    <w:p w14:paraId="31C521B7">
      <w:pPr>
        <w:pStyle w:val="16"/>
      </w:pPr>
      <w:r>
        <w:rPr>
          <w:b w:val="0"/>
          <w:i w:val="0"/>
        </w:rPr>
        <w:t>工控机与底盘控制器建议同一网段（便于稳定通信）。</w:t>
      </w:r>
    </w:p>
    <w:p w14:paraId="591DDF27">
      <w:pPr>
        <w:pStyle w:val="16"/>
      </w:pPr>
      <w:r>
        <w:rPr>
          <w:b w:val="0"/>
          <w:i w:val="0"/>
        </w:rPr>
        <w:t>现场优先有线；Wi‑Fi 作为补充；调试阶段建议预留网口直连。</w:t>
      </w:r>
    </w:p>
    <w:p w14:paraId="04E697A4">
      <w:pPr>
        <w:pStyle w:val="16"/>
      </w:pPr>
      <w:r>
        <w:rPr>
          <w:b w:val="0"/>
          <w:i w:val="0"/>
        </w:rPr>
        <w:t>若需要访问外部服务（知识库/ASR/TTS），建议走内网转发或本机部署，减少公网不确定性。</w:t>
      </w:r>
    </w:p>
    <w:p w14:paraId="4F9C1BB4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DD-4.2 供电与安全</w:t>
      </w:r>
    </w:p>
    <w:p w14:paraId="49E8DDA3">
      <w:pPr>
        <w:pStyle w:val="16"/>
      </w:pPr>
      <w:r>
        <w:rPr>
          <w:b w:val="0"/>
          <w:i w:val="0"/>
        </w:rPr>
        <w:t>电池续航满足单场次运行（建议 ≥4h）；低电量需提示并可进入安全停靠流程。</w:t>
      </w:r>
    </w:p>
    <w:p w14:paraId="53BCA6D3">
      <w:pPr>
        <w:pStyle w:val="16"/>
      </w:pPr>
      <w:r>
        <w:rPr>
          <w:b w:val="0"/>
          <w:i w:val="0"/>
        </w:rPr>
        <w:t>充电方式（人工/自动回充）需明确；充电时机器人应禁止自动移动（防止拉线风险）。</w:t>
      </w:r>
    </w:p>
    <w:p w14:paraId="75DF3855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DD-4.3 布线与固定</w:t>
      </w:r>
    </w:p>
    <w:p w14:paraId="64773DB5">
      <w:pPr>
        <w:pStyle w:val="16"/>
      </w:pPr>
      <w:r>
        <w:rPr>
          <w:b w:val="0"/>
          <w:i w:val="0"/>
        </w:rPr>
        <w:t>线缆走线需避开移动部件，使用扎带/线槽固定，避免行走时被绊住或拉扯。</w:t>
      </w:r>
    </w:p>
    <w:p w14:paraId="1A386CFE">
      <w:pPr>
        <w:pStyle w:val="16"/>
      </w:pPr>
      <w:r>
        <w:rPr>
          <w:b w:val="0"/>
          <w:i w:val="0"/>
        </w:rPr>
        <w:t>麦克风与扬声器安装位置需避开相互直吹，减少回声与啸叫。</w:t>
      </w:r>
    </w:p>
    <w:p w14:paraId="1705EAE4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DD-5 站点与路线设计（对应 SR-2/SR-1）</w:t>
      </w:r>
    </w:p>
    <w:p w14:paraId="6C7614C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DD-5.1 站点定义</w:t>
      </w:r>
    </w:p>
    <w:p w14:paraId="7655EDC8">
      <w:r>
        <w:rPr>
          <w:rFonts w:ascii="微软雅黑" w:hAnsi="微软雅黑" w:eastAsia="微软雅黑"/>
          <w:b w:val="0"/>
          <w:i w:val="0"/>
          <w:strike w:val="0"/>
        </w:rPr>
        <w:t>每个站点需提供一份站点清单（交付文档），至少包含：</w:t>
      </w:r>
    </w:p>
    <w:p w14:paraId="310A50E1">
      <w:pPr>
        <w:pStyle w:val="16"/>
      </w:pPr>
      <w:r>
        <w:rPr>
          <w:b w:val="0"/>
          <w:i w:val="0"/>
        </w:rPr>
        <w:t>站点名称（中文，展示使用）</w:t>
      </w:r>
    </w:p>
    <w:p w14:paraId="7A60A4A4">
      <w:pPr>
        <w:pStyle w:val="16"/>
      </w:pPr>
      <w:r>
        <w:rPr>
          <w:b w:val="0"/>
          <w:i w:val="0"/>
        </w:rPr>
        <w:t>站点 ID（稳定英文/数字，配置使用）</w:t>
      </w:r>
    </w:p>
    <w:p w14:paraId="7E2EAFEB">
      <w:pPr>
        <w:pStyle w:val="16"/>
      </w:pPr>
      <w:r>
        <w:rPr>
          <w:b w:val="0"/>
          <w:i w:val="0"/>
        </w:rPr>
        <w:t>底盘目标点（坐标/命名点位/二维码点位等，形式由底盘决定）</w:t>
      </w:r>
    </w:p>
    <w:p w14:paraId="3E89E711">
      <w:pPr>
        <w:pStyle w:val="16"/>
      </w:pPr>
      <w:r>
        <w:rPr>
          <w:b w:val="0"/>
          <w:i w:val="0"/>
        </w:rPr>
        <w:t>站点讲解时长（秒）</w:t>
      </w:r>
    </w:p>
    <w:p w14:paraId="1168DF65">
      <w:pPr>
        <w:pStyle w:val="16"/>
      </w:pPr>
      <w:r>
        <w:rPr>
          <w:b w:val="0"/>
          <w:i w:val="0"/>
        </w:rPr>
        <w:t>到站标准（由底盘状态提供为主；可补充现场“到站复核规则”）</w:t>
      </w:r>
    </w:p>
    <w:p w14:paraId="7AF5492C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DD-5.2 站点标定流程</w:t>
      </w:r>
    </w:p>
    <w:p w14:paraId="4B5ACC50">
      <w:r>
        <w:rPr>
          <w:rFonts w:ascii="微软雅黑" w:hAnsi="微软雅黑" w:eastAsia="微软雅黑"/>
          <w:b w:val="0"/>
          <w:i w:val="0"/>
          <w:strike w:val="0"/>
        </w:rPr>
        <w:t>第三方需给出可执行的“站点标定步骤”，包含：</w:t>
      </w:r>
    </w:p>
    <w:p w14:paraId="6725B395">
      <w:pPr>
        <w:pStyle w:val="16"/>
      </w:pPr>
      <w:r>
        <w:rPr>
          <w:b w:val="0"/>
          <w:i w:val="0"/>
        </w:rPr>
        <w:t>如何让底盘进入标定模式</w:t>
      </w:r>
    </w:p>
    <w:p w14:paraId="6D50D771">
      <w:pPr>
        <w:pStyle w:val="16"/>
      </w:pPr>
      <w:r>
        <w:rPr>
          <w:b w:val="0"/>
          <w:i w:val="0"/>
        </w:rPr>
        <w:t>如何记录/保存站点点位（以及如何导出/备份）</w:t>
      </w:r>
    </w:p>
    <w:p w14:paraId="28C2632B">
      <w:pPr>
        <w:pStyle w:val="16"/>
      </w:pPr>
      <w:r>
        <w:rPr>
          <w:b w:val="0"/>
          <w:i w:val="0"/>
        </w:rPr>
        <w:t>如何验证站点（多次往返到站一致性）</w:t>
      </w:r>
    </w:p>
    <w:p w14:paraId="34FC09D1">
      <w:pPr>
        <w:pStyle w:val="16"/>
      </w:pPr>
      <w:r>
        <w:rPr>
          <w:b w:val="0"/>
          <w:i w:val="0"/>
        </w:rPr>
        <w:t>标定失败的排查步骤（网络/地图/传感器/轮胎打滑等）</w:t>
      </w:r>
    </w:p>
    <w:p w14:paraId="1CDFDE2A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DD-6 移动与到站对接能力（对应 SR-3/SR-2）</w:t>
      </w:r>
    </w:p>
    <w:p w14:paraId="137DD5B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DD-6.1 必须具备的控制能力</w:t>
      </w:r>
    </w:p>
    <w:p w14:paraId="28D19640">
      <w:pPr>
        <w:pStyle w:val="16"/>
      </w:pPr>
      <w:r>
        <w:rPr>
          <w:b w:val="0"/>
          <w:i w:val="0"/>
        </w:rPr>
        <w:t>按站点前往：输入站点 ID 或目标点，开始移动</w:t>
      </w:r>
    </w:p>
    <w:p w14:paraId="23496FA3">
      <w:pPr>
        <w:pStyle w:val="16"/>
      </w:pPr>
      <w:r>
        <w:rPr>
          <w:b w:val="0"/>
          <w:i w:val="0"/>
        </w:rPr>
        <w:t>取消移动：可被随时取消（尤其在“打断/急停/人工介入”场景）</w:t>
      </w:r>
    </w:p>
    <w:p w14:paraId="7C6DCA95">
      <w:pPr>
        <w:pStyle w:val="16"/>
      </w:pPr>
      <w:r>
        <w:rPr>
          <w:b w:val="0"/>
          <w:i w:val="0"/>
        </w:rPr>
        <w:t>状态查询：可查询当前状态与目标站点</w:t>
      </w:r>
    </w:p>
    <w:p w14:paraId="043DECB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DD-6.2 状态语义</w:t>
      </w:r>
    </w:p>
    <w:p w14:paraId="6289B795">
      <w:r>
        <w:rPr>
          <w:rFonts w:ascii="微软雅黑" w:hAnsi="微软雅黑" w:eastAsia="微软雅黑"/>
          <w:b w:val="0"/>
          <w:i w:val="0"/>
          <w:strike w:val="0"/>
        </w:rPr>
        <w:t>移动状态至少包含：</w:t>
      </w:r>
    </w:p>
    <w:p w14:paraId="625B5EC9">
      <w:pPr>
        <w:pStyle w:val="16"/>
      </w:pPr>
      <w:r>
        <w:rPr>
          <w:b w:val="0"/>
          <w:i w:val="0"/>
        </w:rPr>
        <w:t>：空闲</w:t>
      </w:r>
    </w:p>
    <w:p w14:paraId="3E47B476">
      <w:pPr>
        <w:pStyle w:val="16"/>
      </w:pPr>
      <w:r>
        <w:rPr>
          <w:b w:val="0"/>
          <w:i w:val="0"/>
        </w:rPr>
        <w:t>：移动中</w:t>
      </w:r>
    </w:p>
    <w:p w14:paraId="750A271E">
      <w:pPr>
        <w:pStyle w:val="16"/>
      </w:pPr>
      <w:r>
        <w:rPr>
          <w:b w:val="0"/>
          <w:i w:val="0"/>
        </w:rPr>
        <w:t>：已到站</w:t>
      </w:r>
    </w:p>
    <w:p w14:paraId="235E981F">
      <w:pPr>
        <w:pStyle w:val="16"/>
      </w:pPr>
      <w:r>
        <w:rPr>
          <w:b w:val="0"/>
          <w:i w:val="0"/>
        </w:rPr>
        <w:t>：失败（含不可达/超时/障碍持续阻塞）</w:t>
      </w:r>
    </w:p>
    <w:p w14:paraId="1710F73D">
      <w:pPr>
        <w:pStyle w:val="16"/>
      </w:pPr>
      <w:r>
        <w:rPr>
          <w:b w:val="0"/>
          <w:i w:val="0"/>
        </w:rPr>
        <w:t>：已取消</w:t>
      </w:r>
    </w:p>
    <w:p w14:paraId="67BA25C6">
      <w:pPr>
        <w:pStyle w:val="16"/>
      </w:pPr>
      <w:r>
        <w:rPr>
          <w:b w:val="0"/>
          <w:i w:val="0"/>
        </w:rPr>
        <w:t>：急停触发</w:t>
      </w:r>
    </w:p>
    <w:p w14:paraId="03DC0137">
      <w:r>
        <w:rPr>
          <w:rFonts w:ascii="微软雅黑" w:hAnsi="微软雅黑" w:eastAsia="微软雅黑"/>
          <w:b w:val="0"/>
          <w:i w:val="0"/>
          <w:strike w:val="0"/>
        </w:rPr>
        <w:t>失败必须提供原因（至少可区分：不可达/超时/急停/障碍阻塞），便于运维定位。</w:t>
      </w:r>
    </w:p>
    <w:p w14:paraId="54ADE1A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DD-6.3 到站标准与超时</w:t>
      </w:r>
    </w:p>
    <w:p w14:paraId="2E4E9EB0">
      <w:pPr>
        <w:pStyle w:val="16"/>
      </w:pPr>
      <w:r>
        <w:rPr>
          <w:b w:val="0"/>
          <w:i w:val="0"/>
        </w:rPr>
        <w:t>到站标准以底盘给出的到站状态为准。</w:t>
      </w:r>
    </w:p>
    <w:p w14:paraId="0DB3542A">
      <w:pPr>
        <w:pStyle w:val="16"/>
      </w:pPr>
      <w:r>
        <w:rPr>
          <w:b w:val="0"/>
          <w:i w:val="0"/>
        </w:rPr>
        <w:t>每次移动应有超时机制（由第三方或业务侧配置），超时进入失败并停止移动。</w:t>
      </w:r>
    </w:p>
    <w:p w14:paraId="0B76C3EF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DD-7 安全策略与人机提示（对应 SR-4）</w:t>
      </w:r>
    </w:p>
    <w:p w14:paraId="1A5E7FAD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DD-7.1 物理急停</w:t>
      </w:r>
    </w:p>
    <w:p w14:paraId="0F3DA2C6">
      <w:pPr>
        <w:pStyle w:val="16"/>
      </w:pPr>
      <w:r>
        <w:rPr>
          <w:b w:val="0"/>
          <w:i w:val="0"/>
        </w:rPr>
        <w:t>必须具备物理急停按钮（E‑Stop），急停触发后底盘立即停止并进入锁定状态。</w:t>
      </w:r>
    </w:p>
    <w:p w14:paraId="5E8DE3EE">
      <w:pPr>
        <w:pStyle w:val="16"/>
      </w:pPr>
      <w:r>
        <w:rPr>
          <w:b w:val="0"/>
          <w:i w:val="0"/>
        </w:rPr>
        <w:t>急停解除后的恢复流程需明确（例如：人工复位→系统回到空闲→允许重新发起移动）。</w:t>
      </w:r>
    </w:p>
    <w:p w14:paraId="1AC291F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DD-7.2 室内限速与避障</w:t>
      </w:r>
    </w:p>
    <w:p w14:paraId="1BEEE136">
      <w:pPr>
        <w:pStyle w:val="16"/>
      </w:pPr>
      <w:r>
        <w:rPr>
          <w:b w:val="0"/>
          <w:i w:val="0"/>
        </w:rPr>
        <w:t>室内运行需限速/限加速度；通道窄或人群密集可降速。</w:t>
      </w:r>
    </w:p>
    <w:p w14:paraId="3C801700">
      <w:pPr>
        <w:pStyle w:val="16"/>
      </w:pPr>
      <w:r>
        <w:rPr>
          <w:b w:val="0"/>
          <w:i w:val="0"/>
        </w:rPr>
        <w:t>避障/防撞为底盘必须能力；在障碍持续阻塞时应停止并上报失败，避免“顶着不走”。</w:t>
      </w:r>
    </w:p>
    <w:p w14:paraId="570CFF71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DD-7.3 指示灯/小屏提示规范</w:t>
      </w:r>
    </w:p>
    <w:p w14:paraId="34F31178">
      <w:r>
        <w:rPr>
          <w:rFonts w:ascii="微软雅黑" w:hAnsi="微软雅黑" w:eastAsia="微软雅黑"/>
          <w:b w:val="0"/>
          <w:i w:val="0"/>
          <w:strike w:val="0"/>
        </w:rPr>
        <w:t>至少支持以下状态提示（灯色/文案由第三方实现）：</w:t>
      </w:r>
    </w:p>
    <w:p w14:paraId="64A384F5">
      <w:pPr>
        <w:pStyle w:val="16"/>
      </w:pPr>
      <w:r>
        <w:rPr>
          <w:b w:val="0"/>
          <w:i w:val="0"/>
        </w:rPr>
        <w:t>移动中</w:t>
      </w:r>
    </w:p>
    <w:p w14:paraId="74777F44">
      <w:pPr>
        <w:pStyle w:val="16"/>
      </w:pPr>
      <w:r>
        <w:rPr>
          <w:b w:val="0"/>
          <w:i w:val="0"/>
        </w:rPr>
        <w:t>讲解中</w:t>
      </w:r>
    </w:p>
    <w:p w14:paraId="37A89D03">
      <w:pPr>
        <w:pStyle w:val="16"/>
      </w:pPr>
      <w:r>
        <w:rPr>
          <w:b w:val="0"/>
          <w:i w:val="0"/>
        </w:rPr>
        <w:t>听取中（录音/识别中）</w:t>
      </w:r>
    </w:p>
    <w:p w14:paraId="42D58CF3">
      <w:pPr>
        <w:pStyle w:val="16"/>
      </w:pPr>
      <w:r>
        <w:rPr>
          <w:b w:val="0"/>
          <w:i w:val="0"/>
        </w:rPr>
        <w:t>异常（移动失败/外部服务不可用/急停）</w:t>
      </w:r>
    </w:p>
    <w:p w14:paraId="44D59F50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DD-8 计算与运行环境（对应 SR-7）</w:t>
      </w:r>
    </w:p>
    <w:p w14:paraId="2EF4E0C8">
      <w:pPr>
        <w:pStyle w:val="16"/>
      </w:pPr>
      <w:r>
        <w:rPr>
          <w:b w:val="0"/>
          <w:i w:val="0"/>
        </w:rPr>
        <w:t>工控机需支持开机自启（Windows 服务或 systemd 任选），并提供配置与操作手册。</w:t>
      </w:r>
    </w:p>
    <w:p w14:paraId="17768E70">
      <w:pPr>
        <w:pStyle w:val="16"/>
      </w:pPr>
      <w:r>
        <w:rPr>
          <w:b w:val="0"/>
          <w:i w:val="0"/>
        </w:rPr>
        <w:t>建议提供“一键检查脚本/工具”，输出：CPU/内存/磁盘、网络连通、音频设备识别、底盘连通状态。</w:t>
      </w:r>
    </w:p>
    <w:p w14:paraId="5B953D82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DD-9 音频链路设计（对应 SR-5/SR-6）</w:t>
      </w:r>
    </w:p>
    <w:p w14:paraId="23F6C0A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DD-9.1 语音输入链路</w:t>
      </w:r>
    </w:p>
    <w:p w14:paraId="67656C3B">
      <w:pPr>
        <w:pStyle w:val="16"/>
      </w:pPr>
      <w:r>
        <w:rPr>
          <w:b w:val="0"/>
          <w:i w:val="0"/>
        </w:rPr>
        <w:t>麦克风采集应稳定，建议 AEC/降噪；采样率统一到 16k mono（或能稳定转换）。</w:t>
      </w:r>
    </w:p>
    <w:p w14:paraId="4E011561">
      <w:pPr>
        <w:pStyle w:val="16"/>
      </w:pPr>
      <w:r>
        <w:rPr>
          <w:b w:val="0"/>
          <w:i w:val="0"/>
        </w:rPr>
        <w:t>第三方需保证硬件与系统权限支持软件侧完成录音/识别/打断，以及“手动输入兜底”的操作路径。</w:t>
      </w:r>
    </w:p>
    <w:p w14:paraId="2B8B59D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DD-9.2 语音输出链路</w:t>
      </w:r>
    </w:p>
    <w:p w14:paraId="6F5A7010">
      <w:pPr>
        <w:pStyle w:val="16"/>
      </w:pPr>
      <w:r>
        <w:rPr>
          <w:b w:val="0"/>
          <w:i w:val="0"/>
        </w:rPr>
        <w:t>扬声器音量满足现场；避免明显失真、破音、底噪。</w:t>
      </w:r>
    </w:p>
    <w:p w14:paraId="7D62E5C0">
      <w:pPr>
        <w:pStyle w:val="16"/>
      </w:pPr>
      <w:r>
        <w:rPr>
          <w:b w:val="0"/>
          <w:i w:val="0"/>
        </w:rPr>
        <w:t>播放需要支持快速中断；第三方需确保音频设备与驱动在高频启停时稳定（不崩溃/不白噪音）。</w:t>
      </w:r>
    </w:p>
    <w:p w14:paraId="37A01DCF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DD-10 运维、日志与数据（对应 SR-11/SR-13）</w:t>
      </w:r>
    </w:p>
    <w:p w14:paraId="069F1C8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DD-10.1 状态可视与导出</w:t>
      </w:r>
    </w:p>
    <w:p w14:paraId="6554BA93">
      <w:pPr>
        <w:pStyle w:val="16"/>
      </w:pPr>
      <w:r>
        <w:rPr>
          <w:b w:val="0"/>
          <w:i w:val="0"/>
        </w:rPr>
        <w:t>运行状态需可查看并可导出（例如：最近 N 次会话/任务的关键事件与耗时；具体字段与接口由软件文档定义）。</w:t>
      </w:r>
    </w:p>
    <w:p w14:paraId="09182569">
      <w:pPr>
        <w:pStyle w:val="16"/>
      </w:pPr>
      <w:r>
        <w:rPr>
          <w:b w:val="0"/>
          <w:i w:val="0"/>
        </w:rPr>
        <w:t>日志需包含：会话/任务标识、站点、移动目标、取消原因、失败原因；便于复盘现场问题。</w:t>
      </w:r>
    </w:p>
    <w:p w14:paraId="0990564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DD-10.2 数据最小化与清理</w:t>
      </w:r>
    </w:p>
    <w:p w14:paraId="7F88FC33">
      <w:pPr>
        <w:pStyle w:val="16"/>
      </w:pPr>
      <w:r>
        <w:rPr>
          <w:b w:val="0"/>
          <w:i w:val="0"/>
        </w:rPr>
        <w:t>默认不保存原始音频；仅保存必要的文本、时间戳、请求标识与少量运行日志。</w:t>
      </w:r>
    </w:p>
    <w:p w14:paraId="7BEAED1E">
      <w:pPr>
        <w:pStyle w:val="16"/>
      </w:pPr>
      <w:r>
        <w:rPr>
          <w:b w:val="0"/>
          <w:i w:val="0"/>
        </w:rPr>
        <w:t>提供日志与历史的清理机制（按天数或容量），并在交付文档中写明默认策略。</w:t>
      </w:r>
    </w:p>
    <w:p w14:paraId="186397D9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DD-11 容错与降级实现要求（对应 SR-12/SR-10/SR-1）</w:t>
      </w:r>
    </w:p>
    <w:p w14:paraId="37F93B12">
      <w:pPr>
        <w:pStyle w:val="16"/>
      </w:pPr>
      <w:r>
        <w:rPr>
          <w:b w:val="0"/>
          <w:i w:val="0"/>
        </w:rPr>
        <w:t>外部服务不可用时，系统需具备离线讲解资源包（预录音音频文件与清单/索引），确保软件侧可启用离线讲解，保证基本参观流程不中断。</w:t>
      </w:r>
    </w:p>
    <w:p w14:paraId="204DA057">
      <w:pPr>
        <w:pStyle w:val="16"/>
      </w:pPr>
      <w:r>
        <w:rPr>
          <w:b w:val="0"/>
          <w:i w:val="0"/>
        </w:rPr>
        <w:t>可选/后续：本地脚本文本兜底资源（按站点准备简短讲解文本）。</w:t>
      </w:r>
    </w:p>
    <w:p w14:paraId="16C02CC2">
      <w:pPr>
        <w:pStyle w:val="16"/>
      </w:pPr>
      <w:r>
        <w:rPr>
          <w:b w:val="0"/>
          <w:i w:val="0"/>
        </w:rPr>
        <w:t>移动失败时停止并提示人工协助；不得进入“假到站讲解”。</w:t>
      </w:r>
    </w:p>
    <w:p w14:paraId="6275817B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DD-12 交付与验收（对应 SR-14）</w:t>
      </w:r>
    </w:p>
    <w:p w14:paraId="2C837853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DD-12.1 第三方交付物清单</w:t>
      </w:r>
    </w:p>
    <w:p w14:paraId="74E28873">
      <w:pPr>
        <w:pStyle w:val="16"/>
      </w:pPr>
      <w:r>
        <w:rPr>
          <w:b w:val="0"/>
          <w:i w:val="0"/>
        </w:rPr>
        <w:t>BOM 清单（含型号/数量/参数/供应信息）与接线图</w:t>
      </w:r>
    </w:p>
    <w:p w14:paraId="314D75E0">
      <w:pPr>
        <w:pStyle w:val="16"/>
      </w:pPr>
      <w:r>
        <w:rPr>
          <w:b w:val="0"/>
          <w:i w:val="0"/>
        </w:rPr>
        <w:t>结构与工业设计交付物：结构件 BOM（材质/规格/数量）、安装位示意图（或照片）、线束走线图、维护拆装步骤（含工具清单）</w:t>
      </w:r>
    </w:p>
    <w:p w14:paraId="3D12D128">
      <w:pPr>
        <w:pStyle w:val="16"/>
      </w:pPr>
      <w:r>
        <w:rPr>
          <w:b w:val="0"/>
          <w:i w:val="0"/>
        </w:rPr>
        <w:t>站点清单与标定步骤（含导出/备份方法）</w:t>
      </w:r>
    </w:p>
    <w:p w14:paraId="1CED6375">
      <w:pPr>
        <w:pStyle w:val="16"/>
      </w:pPr>
      <w:r>
        <w:rPr>
          <w:b w:val="0"/>
          <w:i w:val="0"/>
        </w:rPr>
        <w:t>开机自启与部署手册（含常见故障排查）</w:t>
      </w:r>
    </w:p>
    <w:p w14:paraId="3CE3ECD1">
      <w:pPr>
        <w:pStyle w:val="16"/>
      </w:pPr>
      <w:r>
        <w:rPr>
          <w:b w:val="0"/>
          <w:i w:val="0"/>
        </w:rPr>
        <w:t>维护手册（急停、充电、人工接管、恢复流程）</w:t>
      </w:r>
    </w:p>
    <w:p w14:paraId="743E64A4">
      <w:pPr>
        <w:pStyle w:val="16"/>
      </w:pPr>
      <w:r>
        <w:rPr>
          <w:b w:val="0"/>
          <w:i w:val="0"/>
        </w:rPr>
        <w:t>离线讲解资源包（预录音音频文件与清单/索引），保证外部服务不可用时仍可按站点讲解</w:t>
      </w:r>
    </w:p>
    <w:p w14:paraId="0B63CA92">
      <w:pPr>
        <w:pStyle w:val="16"/>
      </w:pPr>
      <w:r>
        <w:rPr>
          <w:b w:val="0"/>
          <w:i w:val="0"/>
        </w:rPr>
        <w:t>现场验收检查表（可打印执行）</w:t>
      </w:r>
    </w:p>
    <w:p w14:paraId="0339DBE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DD-12.2 现场验收最小集</w:t>
      </w:r>
    </w:p>
    <w:p w14:paraId="78E3B63A">
      <w:pPr>
        <w:pStyle w:val="16"/>
      </w:pPr>
      <w:r>
        <w:rPr>
          <w:b w:val="0"/>
          <w:i w:val="0"/>
        </w:rPr>
        <w:t>站点到达：从任意站点到任意站点可达（抽测 ≥3 个站点往返），到站判定稳定</w:t>
      </w:r>
    </w:p>
    <w:p w14:paraId="3DD9C3BF">
      <w:pPr>
        <w:pStyle w:val="16"/>
      </w:pPr>
      <w:r>
        <w:rPr>
          <w:b w:val="0"/>
          <w:i w:val="0"/>
        </w:rPr>
        <w:t>打断：在移动/播报过程中触发打断，移动与播报均能停止并可恢复</w:t>
      </w:r>
    </w:p>
    <w:p w14:paraId="68947E6E">
      <w:pPr>
        <w:pStyle w:val="16"/>
      </w:pPr>
      <w:r>
        <w:rPr>
          <w:b w:val="0"/>
          <w:i w:val="0"/>
        </w:rPr>
        <w:t>降级：断开外部服务后，离线讲解资源包可用，可触发离线讲解并可停止/退出</w:t>
      </w:r>
    </w:p>
    <w:p w14:paraId="27F32FA2">
      <w:pPr>
        <w:pStyle w:val="16"/>
      </w:pPr>
      <w:r>
        <w:rPr>
          <w:b w:val="0"/>
          <w:i w:val="0"/>
        </w:rPr>
        <w:t>安全：急停有效；解除急停后可按流程恢复</w:t>
      </w:r>
    </w:p>
    <w:p w14:paraId="60F4E2B6">
      <w:pPr>
        <w:pStyle w:val="16"/>
      </w:pPr>
      <w:r>
        <w:rPr>
          <w:b w:val="0"/>
          <w:i w:val="0"/>
        </w:rPr>
        <w:t>结构与工业设计：边角与防护检查、线束固定检查、急停可达性检查、一次“拆装维护演练”（按文档完成开盖与复位）</w:t>
      </w:r>
    </w:p>
    <w:p w14:paraId="64F84C75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DD-13 实施计划与人力投入（对应 SR-15）</w:t>
      </w:r>
    </w:p>
    <w:p w14:paraId="44FA32F6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DD-13.1 阶段划分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CB3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1CC217B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1728" w:type="dxa"/>
            <w:vAlign w:val="center"/>
          </w:tcPr>
          <w:p w14:paraId="7DACAEAC">
            <w:pPr>
              <w:spacing w:after="0" w:line="240" w:lineRule="auto"/>
            </w:pPr>
            <w:r>
              <w:rPr>
                <w:b/>
              </w:rPr>
              <w:t>覆盖的 DD 条目</w:t>
            </w:r>
          </w:p>
        </w:tc>
        <w:tc>
          <w:tcPr>
            <w:tcW w:w="1728" w:type="dxa"/>
            <w:vAlign w:val="center"/>
          </w:tcPr>
          <w:p w14:paraId="2D9C4C43">
            <w:pPr>
              <w:spacing w:after="0" w:line="240" w:lineRule="auto"/>
            </w:pPr>
            <w:r>
              <w:rPr>
                <w:b/>
              </w:rPr>
              <w:t>主要工作内容</w:t>
            </w:r>
          </w:p>
        </w:tc>
        <w:tc>
          <w:tcPr>
            <w:tcW w:w="1728" w:type="dxa"/>
            <w:vAlign w:val="center"/>
          </w:tcPr>
          <w:p w14:paraId="66480C4B">
            <w:pPr>
              <w:spacing w:after="0" w:line="240" w:lineRule="auto"/>
            </w:pPr>
            <w:r>
              <w:rPr>
                <w:b/>
              </w:rPr>
              <w:t>主要交付物</w:t>
            </w:r>
          </w:p>
        </w:tc>
        <w:tc>
          <w:tcPr>
            <w:tcW w:w="1728" w:type="dxa"/>
            <w:vAlign w:val="center"/>
          </w:tcPr>
          <w:p w14:paraId="42E13DC6">
            <w:pPr>
              <w:spacing w:after="0" w:line="240" w:lineRule="auto"/>
              <w:jc w:val="right"/>
            </w:pPr>
            <w:r>
              <w:rPr>
                <w:b/>
              </w:rPr>
              <w:t>建议人月（合计）</w:t>
            </w:r>
          </w:p>
        </w:tc>
      </w:tr>
      <w:tr w14:paraId="382B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110F6BF">
            <w:pPr>
              <w:spacing w:after="0" w:line="240" w:lineRule="auto"/>
            </w:pPr>
            <w:r>
              <w:t>P1 方案确认与踏勘</w:t>
            </w:r>
          </w:p>
        </w:tc>
        <w:tc>
          <w:tcPr>
            <w:tcW w:w="1728" w:type="dxa"/>
            <w:vAlign w:val="center"/>
          </w:tcPr>
          <w:p w14:paraId="7E8C7822">
            <w:pPr>
              <w:spacing w:after="0" w:line="240" w:lineRule="auto"/>
            </w:pPr>
            <w:r>
              <w:t>DD-1、DD-4、DD-5</w:t>
            </w:r>
          </w:p>
        </w:tc>
        <w:tc>
          <w:tcPr>
            <w:tcW w:w="1728" w:type="dxa"/>
            <w:vAlign w:val="center"/>
          </w:tcPr>
          <w:p w14:paraId="116ACC53">
            <w:pPr>
              <w:spacing w:after="0" w:line="240" w:lineRule="auto"/>
            </w:pPr>
            <w:r>
              <w:t>场地踏勘、站点初稿、网络/供电方案、风险点确认</w:t>
            </w:r>
          </w:p>
        </w:tc>
        <w:tc>
          <w:tcPr>
            <w:tcW w:w="1728" w:type="dxa"/>
            <w:vAlign w:val="center"/>
          </w:tcPr>
          <w:p w14:paraId="4879E732">
            <w:pPr>
              <w:spacing w:after="0" w:line="240" w:lineRule="auto"/>
            </w:pPr>
            <w:r>
              <w:t>场地信息与站点清单初稿、实施计划、风险清单</w:t>
            </w:r>
          </w:p>
        </w:tc>
        <w:tc>
          <w:tcPr>
            <w:tcW w:w="1728" w:type="dxa"/>
            <w:vAlign w:val="center"/>
          </w:tcPr>
          <w:p w14:paraId="38BC54E7">
            <w:pPr>
              <w:spacing w:after="0" w:line="240" w:lineRule="auto"/>
              <w:jc w:val="right"/>
            </w:pPr>
            <w:r>
              <w:t>0.5</w:t>
            </w:r>
          </w:p>
        </w:tc>
      </w:tr>
      <w:tr w14:paraId="1C0D7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1481A58">
            <w:pPr>
              <w:spacing w:after="0" w:line="240" w:lineRule="auto"/>
            </w:pPr>
            <w:r>
              <w:t>P2 硬件选型与集成</w:t>
            </w:r>
          </w:p>
        </w:tc>
        <w:tc>
          <w:tcPr>
            <w:tcW w:w="1728" w:type="dxa"/>
            <w:vAlign w:val="center"/>
          </w:tcPr>
          <w:p w14:paraId="481E3F0C">
            <w:pPr>
              <w:spacing w:after="0" w:line="240" w:lineRule="auto"/>
            </w:pPr>
            <w:r>
              <w:t>DD-2、DD-3、DD-4、DD-7、DD-9</w:t>
            </w:r>
          </w:p>
        </w:tc>
        <w:tc>
          <w:tcPr>
            <w:tcW w:w="1728" w:type="dxa"/>
            <w:vAlign w:val="center"/>
          </w:tcPr>
          <w:p w14:paraId="4788E37E">
            <w:pPr>
              <w:spacing w:after="0" w:line="240" w:lineRule="auto"/>
            </w:pPr>
            <w:r>
              <w:t>底盘/音频/主机选型采购、工业设计与结构上装、安装布线、急停/指示灯接入、基础联通</w:t>
            </w:r>
          </w:p>
        </w:tc>
        <w:tc>
          <w:tcPr>
            <w:tcW w:w="1728" w:type="dxa"/>
            <w:vAlign w:val="center"/>
          </w:tcPr>
          <w:p w14:paraId="0C513B0B">
            <w:pPr>
              <w:spacing w:after="0" w:line="240" w:lineRule="auto"/>
            </w:pPr>
            <w:r>
              <w:t>BOM、接线图、结构安装完成</w:t>
            </w:r>
          </w:p>
        </w:tc>
        <w:tc>
          <w:tcPr>
            <w:tcW w:w="1728" w:type="dxa"/>
            <w:vAlign w:val="center"/>
          </w:tcPr>
          <w:p w14:paraId="33FF82E5">
            <w:pPr>
              <w:spacing w:after="0" w:line="240" w:lineRule="auto"/>
              <w:jc w:val="right"/>
            </w:pPr>
            <w:r>
              <w:t>2.5</w:t>
            </w:r>
          </w:p>
        </w:tc>
      </w:tr>
      <w:tr w14:paraId="71B9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74430F9">
            <w:pPr>
              <w:spacing w:after="0" w:line="240" w:lineRule="auto"/>
            </w:pPr>
            <w:r>
              <w:t>P3 站点标定与移动闭环</w:t>
            </w:r>
          </w:p>
        </w:tc>
        <w:tc>
          <w:tcPr>
            <w:tcW w:w="1728" w:type="dxa"/>
            <w:vAlign w:val="center"/>
          </w:tcPr>
          <w:p w14:paraId="02FFADC6">
            <w:pPr>
              <w:spacing w:after="0" w:line="240" w:lineRule="auto"/>
            </w:pPr>
            <w:r>
              <w:t>DD-5、DD-6、DD-7</w:t>
            </w:r>
          </w:p>
        </w:tc>
        <w:tc>
          <w:tcPr>
            <w:tcW w:w="1728" w:type="dxa"/>
            <w:vAlign w:val="center"/>
          </w:tcPr>
          <w:p w14:paraId="426494BF">
            <w:pPr>
              <w:spacing w:after="0" w:line="240" w:lineRule="auto"/>
            </w:pPr>
            <w:r>
              <w:t>站点标定、到站标准确认、移动状态语义对齐、失败场景处理</w:t>
            </w:r>
          </w:p>
        </w:tc>
        <w:tc>
          <w:tcPr>
            <w:tcW w:w="1728" w:type="dxa"/>
            <w:vAlign w:val="center"/>
          </w:tcPr>
          <w:p w14:paraId="4B0F0A66">
            <w:pPr>
              <w:spacing w:after="0" w:line="240" w:lineRule="auto"/>
            </w:pPr>
            <w:r>
              <w:t>站点标定文档、到站验证记录、移动闭环可用</w:t>
            </w:r>
          </w:p>
        </w:tc>
        <w:tc>
          <w:tcPr>
            <w:tcW w:w="1728" w:type="dxa"/>
            <w:vAlign w:val="center"/>
          </w:tcPr>
          <w:p w14:paraId="37309D5F">
            <w:pPr>
              <w:spacing w:after="0" w:line="240" w:lineRule="auto"/>
              <w:jc w:val="right"/>
            </w:pPr>
            <w:r>
              <w:t>2.0</w:t>
            </w:r>
          </w:p>
        </w:tc>
      </w:tr>
      <w:tr w14:paraId="7978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FFF0170">
            <w:pPr>
              <w:spacing w:after="0" w:line="240" w:lineRule="auto"/>
            </w:pPr>
            <w:r>
              <w:t>P4 音频与现场体验调优</w:t>
            </w:r>
          </w:p>
        </w:tc>
        <w:tc>
          <w:tcPr>
            <w:tcW w:w="1728" w:type="dxa"/>
            <w:vAlign w:val="center"/>
          </w:tcPr>
          <w:p w14:paraId="6B60327B">
            <w:pPr>
              <w:spacing w:after="0" w:line="240" w:lineRule="auto"/>
            </w:pPr>
            <w:r>
              <w:t>DD-9、DD-7</w:t>
            </w:r>
          </w:p>
        </w:tc>
        <w:tc>
          <w:tcPr>
            <w:tcW w:w="1728" w:type="dxa"/>
            <w:vAlign w:val="center"/>
          </w:tcPr>
          <w:p w14:paraId="198914E4">
            <w:pPr>
              <w:spacing w:after="0" w:line="240" w:lineRule="auto"/>
            </w:pPr>
            <w:r>
              <w:t>麦克风/扬声器位置调整、回声/啸叫排查、打断稳定性验证</w:t>
            </w:r>
          </w:p>
        </w:tc>
        <w:tc>
          <w:tcPr>
            <w:tcW w:w="1728" w:type="dxa"/>
            <w:vAlign w:val="center"/>
          </w:tcPr>
          <w:p w14:paraId="4691C3A9">
            <w:pPr>
              <w:spacing w:after="0" w:line="240" w:lineRule="auto"/>
            </w:pPr>
            <w:r>
              <w:t>音频调试记录、体验优化清单</w:t>
            </w:r>
          </w:p>
        </w:tc>
        <w:tc>
          <w:tcPr>
            <w:tcW w:w="1728" w:type="dxa"/>
            <w:vAlign w:val="center"/>
          </w:tcPr>
          <w:p w14:paraId="1EF02BE9">
            <w:pPr>
              <w:spacing w:after="0" w:line="240" w:lineRule="auto"/>
              <w:jc w:val="right"/>
            </w:pPr>
            <w:r>
              <w:t>1.0</w:t>
            </w:r>
          </w:p>
        </w:tc>
      </w:tr>
      <w:tr w14:paraId="599E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E7EB994">
            <w:pPr>
              <w:spacing w:after="0" w:line="240" w:lineRule="auto"/>
            </w:pPr>
            <w:r>
              <w:t>P5 运维与验收交付</w:t>
            </w:r>
          </w:p>
        </w:tc>
        <w:tc>
          <w:tcPr>
            <w:tcW w:w="1728" w:type="dxa"/>
            <w:vAlign w:val="center"/>
          </w:tcPr>
          <w:p w14:paraId="5B5B871B">
            <w:pPr>
              <w:spacing w:after="0" w:line="240" w:lineRule="auto"/>
            </w:pPr>
            <w:r>
              <w:t>DD-10、DD-11、DD-12、DD-8</w:t>
            </w:r>
          </w:p>
        </w:tc>
        <w:tc>
          <w:tcPr>
            <w:tcW w:w="1728" w:type="dxa"/>
            <w:vAlign w:val="center"/>
          </w:tcPr>
          <w:p w14:paraId="770BBE2B">
            <w:pPr>
              <w:spacing w:after="0" w:line="240" w:lineRule="auto"/>
            </w:pPr>
            <w:r>
              <w:t>日志/导出/清理策略落实、降级演练、验收测试与文档收口</w:t>
            </w:r>
          </w:p>
        </w:tc>
        <w:tc>
          <w:tcPr>
            <w:tcW w:w="1728" w:type="dxa"/>
            <w:vAlign w:val="center"/>
          </w:tcPr>
          <w:p w14:paraId="190FB8F9">
            <w:pPr>
              <w:spacing w:after="0" w:line="240" w:lineRule="auto"/>
            </w:pPr>
            <w:r>
              <w:t>运维手册、验收检查表、交付包</w:t>
            </w:r>
          </w:p>
        </w:tc>
        <w:tc>
          <w:tcPr>
            <w:tcW w:w="1728" w:type="dxa"/>
            <w:vAlign w:val="center"/>
          </w:tcPr>
          <w:p w14:paraId="5DAD9E72">
            <w:pPr>
              <w:spacing w:after="0" w:line="240" w:lineRule="auto"/>
              <w:jc w:val="right"/>
            </w:pPr>
            <w:r>
              <w:t>2.0</w:t>
            </w:r>
          </w:p>
        </w:tc>
      </w:tr>
      <w:tr w14:paraId="26E5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8994D25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5FD628D3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5E3492D6">
            <w:pPr>
              <w:spacing w:after="0" w:line="240" w:lineRule="auto"/>
            </w:pPr>
          </w:p>
        </w:tc>
        <w:tc>
          <w:tcPr>
            <w:tcW w:w="1728" w:type="dxa"/>
            <w:vAlign w:val="center"/>
          </w:tcPr>
          <w:p w14:paraId="1C914E0A">
            <w:pPr>
              <w:spacing w:after="0" w:line="240" w:lineRule="auto"/>
            </w:pPr>
            <w:r>
              <w:rPr>
                <w:b/>
              </w:rPr>
              <w:t>合计</w:t>
            </w:r>
          </w:p>
        </w:tc>
        <w:tc>
          <w:tcPr>
            <w:tcW w:w="1728" w:type="dxa"/>
            <w:vAlign w:val="center"/>
          </w:tcPr>
          <w:p w14:paraId="3F6BA5F5">
            <w:pPr>
              <w:spacing w:after="0" w:line="240" w:lineRule="auto"/>
              <w:jc w:val="right"/>
            </w:pPr>
            <w:r>
              <w:rPr>
                <w:b/>
              </w:rPr>
              <w:t>8.0</w:t>
            </w:r>
          </w:p>
        </w:tc>
      </w:tr>
    </w:tbl>
    <w:p w14:paraId="050D3B0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5E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4129</Words>
  <Characters>4826</Characters>
  <Lines>0</Lines>
  <Paragraphs>0</Paragraphs>
  <TotalTime>0</TotalTime>
  <ScaleCrop>false</ScaleCrop>
  <LinksUpToDate>false</LinksUpToDate>
  <CharactersWithSpaces>4944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0DC3E32E8DF3419683CB18EB6B8BBE26_12</vt:lpwstr>
  </property>
</Properties>
</file>