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B18F9">
      <w:pPr>
        <w:jc w:val="center"/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</w:pPr>
      <w:bookmarkStart w:id="0" w:name="_GoBack"/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﻿ 系统需求</w:t>
      </w:r>
    </w:p>
    <w:bookmarkEnd w:id="0"/>
    <w:p w14:paraId="3C6A4050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SR-1 场景与范围</w:t>
      </w:r>
    </w:p>
    <w:p w14:paraId="666123F4">
      <w:pPr>
        <w:pStyle w:val="16"/>
      </w:pPr>
      <w:r>
        <w:rPr>
          <w:b w:val="0"/>
          <w:i w:val="0"/>
        </w:rPr>
        <w:t>展厅位于同一个房间内，路线固定，站点数量建议 3~10 个。</w:t>
      </w:r>
    </w:p>
    <w:p w14:paraId="49002021">
      <w:pPr>
        <w:pStyle w:val="16"/>
      </w:pPr>
      <w:r>
        <w:rPr>
          <w:b w:val="0"/>
          <w:i w:val="0"/>
        </w:rPr>
        <w:t>本期目标是“可用且可控”：能按站点移动、到站讲解、可被随时打断并恢复，不追求复杂 SLAM/自主建图能力。</w:t>
      </w:r>
    </w:p>
    <w:p w14:paraId="2D60837E">
      <w:pPr>
        <w:pStyle w:val="16"/>
      </w:pPr>
      <w:r>
        <w:rPr>
          <w:b w:val="0"/>
          <w:i w:val="0"/>
        </w:rPr>
        <w:t>不做人脸/身份识别；不扩展多语种、大屏联动、统计分析等增强项。</w:t>
      </w:r>
    </w:p>
    <w:p w14:paraId="2F99BFC0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SR-2 站点与路线</w:t>
      </w:r>
    </w:p>
    <w:p w14:paraId="0A94B92C">
      <w:pPr>
        <w:pStyle w:val="16"/>
      </w:pPr>
      <w:r>
        <w:rPr>
          <w:b w:val="0"/>
          <w:i w:val="0"/>
        </w:rPr>
        <w:t>站点需可配置（站点顺序、站点名称、每站讲解时长）。</w:t>
      </w:r>
    </w:p>
    <w:p w14:paraId="40247753">
      <w:pPr>
        <w:pStyle w:val="16"/>
      </w:pPr>
      <w:r>
        <w:rPr>
          <w:b w:val="0"/>
          <w:i w:val="0"/>
        </w:rPr>
        <w:t>每个站点需有明确的“到站标准”（由底盘/导航系统给出为主），避免未到位即讲解。</w:t>
      </w:r>
    </w:p>
    <w:p w14:paraId="14CADF0C">
      <w:pPr>
        <w:pStyle w:val="16"/>
      </w:pPr>
      <w:r>
        <w:rPr>
          <w:b w:val="0"/>
          <w:i w:val="0"/>
        </w:rPr>
        <w:t>站点配置需可导出/可备份，便于现场复用与变更。</w:t>
      </w:r>
    </w:p>
    <w:p w14:paraId="318B51FA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SR-3 移动与到站能力</w:t>
      </w:r>
    </w:p>
    <w:p w14:paraId="66C17439">
      <w:pPr>
        <w:pStyle w:val="16"/>
      </w:pPr>
      <w:r>
        <w:rPr>
          <w:b w:val="0"/>
          <w:i w:val="0"/>
        </w:rPr>
        <w:t>支持“按站点前往/取消移动/查询状态”的最小闭环能力。</w:t>
      </w:r>
    </w:p>
    <w:p w14:paraId="1AB67F20">
      <w:pPr>
        <w:pStyle w:val="16"/>
      </w:pPr>
      <w:r>
        <w:rPr>
          <w:b w:val="0"/>
          <w:i w:val="0"/>
        </w:rPr>
        <w:t>移动状态至少区分：空闲、移动中、已到站、失败、已取消、急停。</w:t>
      </w:r>
    </w:p>
    <w:p w14:paraId="627009BC">
      <w:pPr>
        <w:pStyle w:val="16"/>
      </w:pPr>
      <w:r>
        <w:rPr>
          <w:b w:val="0"/>
          <w:i w:val="0"/>
        </w:rPr>
        <w:t>移动失败（不可达/超时/障碍持续阻塞）时必须停止移动并给出明确提示，等待人工介入。</w:t>
      </w:r>
    </w:p>
    <w:p w14:paraId="0019B861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SR-4 安全与人机提示</w:t>
      </w:r>
    </w:p>
    <w:p w14:paraId="21AF7B72">
      <w:pPr>
        <w:pStyle w:val="16"/>
      </w:pPr>
      <w:r>
        <w:rPr>
          <w:b w:val="0"/>
          <w:i w:val="0"/>
        </w:rPr>
        <w:t>必须具备物理急停（E‑Stop），触发后立即停止移动并进入安全状态。</w:t>
      </w:r>
    </w:p>
    <w:p w14:paraId="7FD90B46">
      <w:pPr>
        <w:pStyle w:val="16"/>
      </w:pPr>
      <w:r>
        <w:rPr>
          <w:b w:val="0"/>
          <w:i w:val="0"/>
        </w:rPr>
        <w:t>室内人群环境下需限速/限加速度，必要时支持靠近人群自动降速或停止（能力由底盘提供即可）。</w:t>
      </w:r>
    </w:p>
    <w:p w14:paraId="18B2CD6A">
      <w:pPr>
        <w:pStyle w:val="16"/>
      </w:pPr>
      <w:r>
        <w:rPr>
          <w:b w:val="0"/>
          <w:i w:val="0"/>
        </w:rPr>
        <w:t>必须提供清晰的运行提示方式（指示灯或小屏），至少能区分：移动中/讲解中/听取中/异常。</w:t>
      </w:r>
    </w:p>
    <w:p w14:paraId="19925222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SR-5 语音输入</w:t>
      </w:r>
    </w:p>
    <w:p w14:paraId="32ECE0A9">
      <w:pPr>
        <w:pStyle w:val="16"/>
      </w:pPr>
      <w:r>
        <w:rPr>
          <w:b w:val="0"/>
          <w:i w:val="0"/>
        </w:rPr>
        <w:t>麦克风采集需稳定；建议具备 AEC/降噪能力，采样率可统一到 16k mono。</w:t>
      </w:r>
    </w:p>
    <w:p w14:paraId="529E1808">
      <w:pPr>
        <w:pStyle w:val="16"/>
      </w:pPr>
      <w:r>
        <w:rPr>
          <w:b w:val="0"/>
          <w:i w:val="0"/>
        </w:rPr>
        <w:t>系统需保证麦克风设备与权限可用，便于软件侧完成录音、识别与提示/重试；必须有手动输入兜底。</w:t>
      </w:r>
    </w:p>
    <w:p w14:paraId="5133A43F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SR-6 语音输出</w:t>
      </w:r>
    </w:p>
    <w:p w14:paraId="0B8EF296">
      <w:pPr>
        <w:pStyle w:val="16"/>
      </w:pPr>
      <w:r>
        <w:rPr>
          <w:b w:val="0"/>
          <w:i w:val="0"/>
        </w:rPr>
        <w:t>扬声器输出需清晰、音量足够，避免明显失真/杂音。</w:t>
      </w:r>
    </w:p>
    <w:p w14:paraId="0008A534">
      <w:pPr>
        <w:pStyle w:val="16"/>
      </w:pPr>
      <w:r>
        <w:rPr>
          <w:b w:val="0"/>
          <w:i w:val="0"/>
        </w:rPr>
        <w:t>播放必须支持快速中断：打断触发后应在短时间内停止当前播报，避免继续播放旧内容。</w:t>
      </w:r>
    </w:p>
    <w:p w14:paraId="77286DEF">
      <w:pPr>
        <w:pStyle w:val="16"/>
      </w:pPr>
      <w:r>
        <w:rPr>
          <w:b w:val="0"/>
          <w:i w:val="0"/>
        </w:rPr>
        <w:t>音频播放链路建议统一采样率（16k），降低重采样带来的卡顿与延迟。</w:t>
      </w:r>
    </w:p>
    <w:p w14:paraId="231F6461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SR-7 计算与系统环境</w:t>
      </w:r>
    </w:p>
    <w:p w14:paraId="0067367C">
      <w:pPr>
        <w:pStyle w:val="16"/>
      </w:pPr>
      <w:r>
        <w:rPr>
          <w:b w:val="0"/>
          <w:i w:val="0"/>
        </w:rPr>
        <w:t>需配置一台主机/工控机运行“控制界面 + 业务服务”，支持开机自启与异常自动拉起。</w:t>
      </w:r>
    </w:p>
    <w:p w14:paraId="025FC1E4">
      <w:pPr>
        <w:pStyle w:val="16"/>
      </w:pPr>
      <w:r>
        <w:rPr>
          <w:b w:val="0"/>
          <w:i w:val="0"/>
        </w:rPr>
        <w:t>存储用于配置、日志与历史问答；默认不保存原始音频（除非另行授权）。</w:t>
      </w:r>
    </w:p>
    <w:p w14:paraId="3BB8B277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SR-8 结构与安装</w:t>
      </w:r>
    </w:p>
    <w:p w14:paraId="02D97828">
      <w:pPr>
        <w:pStyle w:val="16"/>
      </w:pPr>
      <w:r>
        <w:rPr>
          <w:b w:val="0"/>
          <w:i w:val="0"/>
        </w:rPr>
        <w:t>结构需满足室内展厅长期运行的安全性与可维护性：无尖锐边角、无夹手点、外露线缆可控、紧固可靠。</w:t>
      </w:r>
    </w:p>
    <w:p w14:paraId="6CBE1AE3">
      <w:pPr>
        <w:pStyle w:val="16"/>
      </w:pPr>
      <w:r>
        <w:rPr>
          <w:b w:val="0"/>
          <w:i w:val="0"/>
        </w:rPr>
        <w:t>结构需支持主机/麦克风/扬声器/指示灯或小屏等模块的安装与拆装维护，并保留必要的散热与检修空间。</w:t>
      </w:r>
    </w:p>
    <w:p w14:paraId="526148AB">
      <w:pPr>
        <w:pStyle w:val="16"/>
      </w:pPr>
      <w:r>
        <w:rPr>
          <w:b w:val="0"/>
          <w:i w:val="0"/>
        </w:rPr>
        <w:t>结构需保证稳定性与抗倾倒能力：正常行走、急停、轻微碰撞/推挤下不易倾倒；关键部件安装后重心变化需可控。</w:t>
      </w:r>
    </w:p>
    <w:p w14:paraId="1E6E9D4B">
      <w:pPr>
        <w:pStyle w:val="16"/>
      </w:pPr>
      <w:r>
        <w:rPr>
          <w:b w:val="0"/>
          <w:i w:val="0"/>
        </w:rPr>
        <w:t>结构需提供基础防护与外观一致性：对内部电气与线束提供遮挡/防尘（室内等级即可），并便于清洁。</w:t>
      </w:r>
    </w:p>
    <w:p w14:paraId="14296A3F">
      <w:pPr>
        <w:pStyle w:val="16"/>
      </w:pPr>
      <w:r>
        <w:rPr>
          <w:b w:val="0"/>
          <w:i w:val="0"/>
        </w:rPr>
        <w:t>不新增与 SR-1 范围冲突的扩展部件（如触摸大屏、摄像头/RGB-D 等），除非在需求中另行明确。</w:t>
      </w:r>
    </w:p>
    <w:p w14:paraId="1F4464F2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SR-9 工业设计</w:t>
      </w:r>
    </w:p>
    <w:p w14:paraId="185C5FEA">
      <w:pPr>
        <w:pStyle w:val="16"/>
      </w:pPr>
      <w:r>
        <w:rPr>
          <w:b w:val="0"/>
          <w:i w:val="0"/>
        </w:rPr>
        <w:t>需提供面向展厅场景的整体外观与品牌一致性方案：配色、材质、标识位、导视与提示信息呈现方式。</w:t>
      </w:r>
    </w:p>
    <w:p w14:paraId="51CD9147">
      <w:pPr>
        <w:pStyle w:val="16"/>
      </w:pPr>
      <w:r>
        <w:rPr>
          <w:b w:val="0"/>
          <w:i w:val="0"/>
        </w:rPr>
        <w:t>需提供功能布局与人因设计：急停按钮可达、状态指示可见、接口/维护开口可达、清洁与日常维护便利。</w:t>
      </w:r>
    </w:p>
    <w:p w14:paraId="4A0111D8">
      <w:pPr>
        <w:pStyle w:val="16"/>
      </w:pPr>
      <w:r>
        <w:rPr>
          <w:b w:val="0"/>
          <w:i w:val="0"/>
        </w:rPr>
        <w:t>工业设计需与 SR-8 的结构实现一致，并给出可交付的设计产物（示意/图纸/BOM/装配说明），支持现场安装与验收。</w:t>
      </w:r>
    </w:p>
    <w:p w14:paraId="278271F1">
      <w:pPr>
        <w:pStyle w:val="16"/>
      </w:pPr>
      <w:r>
        <w:rPr>
          <w:b w:val="0"/>
          <w:i w:val="0"/>
        </w:rPr>
        <w:t>不引入与 SR-1 范围冲突的交互扩展（如触摸大屏、摄像头/RGB-D 等），除非在需求中另行明确。</w:t>
      </w:r>
    </w:p>
    <w:p w14:paraId="46BACACF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SR-10 网络与外部依赖</w:t>
      </w:r>
    </w:p>
    <w:p w14:paraId="1FAD512B">
      <w:pPr>
        <w:pStyle w:val="16"/>
      </w:pPr>
      <w:r>
        <w:rPr>
          <w:b w:val="0"/>
          <w:i w:val="0"/>
        </w:rPr>
        <w:t>优先有线或稳定 Wi‑Fi；需保证与底盘控制器同网段可通信。</w:t>
      </w:r>
    </w:p>
    <w:p w14:paraId="0FD2C508">
      <w:pPr>
        <w:pStyle w:val="16"/>
      </w:pPr>
      <w:r>
        <w:rPr>
          <w:b w:val="0"/>
          <w:i w:val="0"/>
        </w:rPr>
        <w:t>外部服务（知识库/ASR/TTS）可部署在内网或本机；若外部服务不可用，系统仍需保持“按站点讲解”的基本可用。</w:t>
      </w:r>
    </w:p>
    <w:p w14:paraId="6BD23D4D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SR-11 运维与可观测性</w:t>
      </w:r>
    </w:p>
    <w:p w14:paraId="2658A99F">
      <w:pPr>
        <w:pStyle w:val="16"/>
      </w:pPr>
      <w:r>
        <w:rPr>
          <w:b w:val="0"/>
          <w:i w:val="0"/>
        </w:rPr>
        <w:t>运行状态需可查看：当前站点、是否在移动、是否在讲解/听取、是否异常。</w:t>
      </w:r>
    </w:p>
    <w:p w14:paraId="3FCA2579">
      <w:pPr>
        <w:pStyle w:val="16"/>
      </w:pPr>
      <w:r>
        <w:rPr>
          <w:b w:val="0"/>
          <w:i w:val="0"/>
        </w:rPr>
        <w:t>系统需具备可观测与排障能力：能导出运行日志与关键事件，便于现场定位问题（具体字段与接口由软件文档定义）。</w:t>
      </w:r>
    </w:p>
    <w:p w14:paraId="7F2B7EFC">
      <w:pPr>
        <w:pStyle w:val="16"/>
      </w:pPr>
      <w:r>
        <w:rPr>
          <w:b w:val="0"/>
          <w:i w:val="0"/>
        </w:rPr>
        <w:t>日志需包含至少：会话/任务标识、站点信息、移动目标、取消原因、失败原因，并支持导出。</w:t>
      </w:r>
    </w:p>
    <w:p w14:paraId="4387F5EF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SR-12 容错与降级</w:t>
      </w:r>
    </w:p>
    <w:p w14:paraId="0F0D12B6">
      <w:pPr>
        <w:pStyle w:val="16"/>
      </w:pPr>
      <w:r>
        <w:rPr>
          <w:b w:val="0"/>
          <w:i w:val="0"/>
        </w:rPr>
        <w:t>外部服务不可用时，系统仍需保持“按站点讲解”的基本可用；交付需包含离线讲解资源包（预录音音频与清单/索引），供软件侧启用离线模式。</w:t>
      </w:r>
    </w:p>
    <w:p w14:paraId="54F1E738">
      <w:pPr>
        <w:pStyle w:val="16"/>
      </w:pPr>
      <w:r>
        <w:rPr>
          <w:b w:val="0"/>
          <w:i w:val="0"/>
        </w:rPr>
        <w:t>可选/后续：本地脚本文本兜底资源（按站点准备简短讲解文本）。</w:t>
      </w:r>
    </w:p>
    <w:p w14:paraId="41FA073B">
      <w:pPr>
        <w:pStyle w:val="16"/>
      </w:pPr>
      <w:r>
        <w:rPr>
          <w:b w:val="0"/>
          <w:i w:val="0"/>
        </w:rPr>
        <w:t>移动异常时，不得进入“假到站讲解”；应停止并提示人工协助。</w:t>
      </w:r>
    </w:p>
    <w:p w14:paraId="5F6504FC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SR-13 数据与隐私</w:t>
      </w:r>
    </w:p>
    <w:p w14:paraId="54793E93">
      <w:pPr>
        <w:pStyle w:val="16"/>
      </w:pPr>
      <w:r>
        <w:rPr>
          <w:b w:val="0"/>
          <w:i w:val="0"/>
        </w:rPr>
        <w:t>不采集/不存储人脸或身份信息。</w:t>
      </w:r>
    </w:p>
    <w:p w14:paraId="1723E7E1">
      <w:pPr>
        <w:pStyle w:val="16"/>
      </w:pPr>
      <w:r>
        <w:rPr>
          <w:b w:val="0"/>
          <w:i w:val="0"/>
        </w:rPr>
        <w:t>历史问答默认仅保存文本与时间戳/会话标识；日志与历史需有保留周期建议与清理机制。</w:t>
      </w:r>
    </w:p>
    <w:p w14:paraId="15A4F588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SR-14 交付物与文档</w:t>
      </w:r>
    </w:p>
    <w:p w14:paraId="573468A8">
      <w:pPr>
        <w:pStyle w:val="16"/>
      </w:pPr>
      <w:r>
        <w:rPr>
          <w:b w:val="0"/>
          <w:i w:val="0"/>
        </w:rPr>
        <w:t>第三方交付需包含：BOM 清单、接线图、站点清单与标定方法、部署与自启动说明、维护手册。</w:t>
      </w:r>
    </w:p>
    <w:p w14:paraId="47379D93">
      <w:pPr>
        <w:pStyle w:val="16"/>
      </w:pPr>
      <w:r>
        <w:rPr>
          <w:b w:val="0"/>
          <w:i w:val="0"/>
        </w:rPr>
        <w:t>需提供现场可执行的联调/验收检查表（移动、到站、打断、降级、恢复等）。</w:t>
      </w:r>
    </w:p>
    <w:p w14:paraId="33089AE6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SR-15 实施计划与人力投入</w:t>
      </w:r>
    </w:p>
    <w:p w14:paraId="3ADD5922">
      <w:pPr>
        <w:pStyle w:val="16"/>
      </w:pPr>
      <w:r>
        <w:rPr>
          <w:b w:val="0"/>
          <w:i w:val="0"/>
        </w:rPr>
        <w:t>第三方需提供可执行的实施计划（阶段划分、里程碑、每阶段交付物），并给出人力投入估算（人月）。</w:t>
      </w:r>
    </w:p>
    <w:p w14:paraId="4B409F39">
      <w:pPr>
        <w:pStyle w:val="16"/>
      </w:pPr>
      <w:r>
        <w:rPr>
          <w:b w:val="0"/>
          <w:i w:val="0"/>
        </w:rPr>
        <w:t>人力估算需能与系统详细设计条目对应，作为预算与排期依据。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2C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1692</Words>
  <Characters>1802</Characters>
  <Lines>0</Lines>
  <Paragraphs>0</Paragraphs>
  <TotalTime>0</TotalTime>
  <ScaleCrop>false</ScaleCrop>
  <LinksUpToDate>false</LinksUpToDate>
  <CharactersWithSpaces>1836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5CD6405126FD4469BA57684EA0DD0D58_12</vt:lpwstr>
  </property>
</Properties>
</file>