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BA948A">
      <w:pPr>
        <w:jc w:val="center"/>
        <w:rPr>
          <w:rFonts w:hint="eastAsia" w:eastAsia="微软雅黑"/>
          <w:b/>
          <w:bCs/>
          <w:sz w:val="52"/>
          <w:szCs w:val="52"/>
          <w:lang w:val="en-US" w:eastAsia="zh-CN"/>
        </w:rPr>
      </w:pPr>
      <w:bookmarkStart w:id="0" w:name="_GoBack"/>
      <w:r>
        <w:rPr>
          <w:rFonts w:ascii="微软雅黑" w:hAnsi="微软雅黑" w:eastAsia="微软雅黑"/>
          <w:b/>
          <w:bCs/>
          <w:i w:val="0"/>
          <w:strike w:val="0"/>
          <w:sz w:val="52"/>
          <w:szCs w:val="52"/>
        </w:rPr>
        <w:t>﻿ 软件需求</w:t>
      </w:r>
      <w:r>
        <w:rPr>
          <w:rFonts w:hint="eastAsia" w:ascii="微软雅黑" w:hAnsi="微软雅黑" w:eastAsia="微软雅黑"/>
          <w:b/>
          <w:bCs/>
          <w:i w:val="0"/>
          <w:strike w:val="0"/>
          <w:sz w:val="52"/>
          <w:szCs w:val="52"/>
          <w:lang w:val="en-US" w:eastAsia="zh-CN"/>
        </w:rPr>
        <w:t>文档</w:t>
      </w:r>
    </w:p>
    <w:bookmarkEnd w:id="0"/>
    <w:p w14:paraId="557928EC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1. 软件边界</w:t>
      </w:r>
    </w:p>
    <w:p w14:paraId="7434647A">
      <w:r>
        <w:rPr>
          <w:rFonts w:ascii="微软雅黑" w:hAnsi="微软雅黑" w:eastAsia="微软雅黑"/>
          <w:b w:val="0"/>
          <w:i w:val="0"/>
          <w:strike w:val="0"/>
        </w:rPr>
        <w:t>本项目软件 = 前端（控制台/讲解UI/调试面板） + 后端（编排/状态/接口） + 对接（RAG/ASR/TTS/移动底盘或导航接口） + 数据（配置/日志/历史问答）。</w:t>
      </w:r>
    </w:p>
    <w:p w14:paraId="111881FC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2. 功能需求（FR）</w:t>
      </w:r>
    </w:p>
    <w:p w14:paraId="007AEF38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FR-1 连续讲解</w:t>
      </w:r>
    </w:p>
    <w:p w14:paraId="4704D0F2">
      <w:pPr>
        <w:pStyle w:val="16"/>
      </w:pPr>
      <w:r>
        <w:rPr>
          <w:b w:val="0"/>
          <w:i w:val="0"/>
        </w:rPr>
        <w:t>支持“开始/暂停/继续/下一站/上一站/跳站/重置”</w:t>
      </w:r>
    </w:p>
    <w:p w14:paraId="6B2741B2">
      <w:pPr>
        <w:pStyle w:val="16"/>
      </w:pPr>
      <w:r>
        <w:rPr>
          <w:b w:val="0"/>
          <w:i w:val="0"/>
        </w:rPr>
        <w:t>支持路线配置（站点顺序）与每站讲解时长（可选：目标字数作为辅助）</w:t>
      </w:r>
    </w:p>
    <w:p w14:paraId="0934BEE9">
      <w:pPr>
        <w:pStyle w:val="16"/>
      </w:pPr>
      <w:r>
        <w:rPr>
          <w:b w:val="0"/>
          <w:i w:val="0"/>
        </w:rPr>
        <w:t>支持承接策略：上一站结束与下一站开头尽量自然，减少重复欢迎/过渡话术</w:t>
      </w:r>
    </w:p>
    <w:p w14:paraId="2932A22D">
      <w:pPr>
        <w:pStyle w:val="16"/>
      </w:pPr>
      <w:r>
        <w:rPr>
          <w:b w:val="0"/>
          <w:i w:val="0"/>
        </w:rPr>
        <w:t>到站后自动触发该站讲解（移动与讲解联动）</w:t>
      </w:r>
    </w:p>
    <w:p w14:paraId="1764EC4C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FR-1 验收条款</w:t>
      </w:r>
    </w:p>
    <w:p w14:paraId="50222299">
      <w:pPr>
        <w:pStyle w:val="16"/>
      </w:pPr>
      <w:r>
        <w:rPr>
          <w:b w:val="0"/>
          <w:i w:val="0"/>
        </w:rPr>
        <w:t>暂停口径：点击“暂停”后，必须立即停止当前播报/生成，并保持当前站点进度不丢失</w:t>
      </w:r>
    </w:p>
    <w:p w14:paraId="45DF845C">
      <w:pPr>
        <w:pStyle w:val="16"/>
      </w:pPr>
      <w:r>
        <w:rPr>
          <w:b w:val="0"/>
          <w:i w:val="0"/>
        </w:rPr>
        <w:t>继续口径：点击“继续讲解”后，从当前站点继续；若启用了“连续讲解”，继续后需恢复连续模式并继承上一轮的连续讲解设置</w:t>
      </w:r>
    </w:p>
    <w:p w14:paraId="0EB1E71A">
      <w:pPr>
        <w:pStyle w:val="16"/>
      </w:pPr>
      <w:r>
        <w:rPr>
          <w:b w:val="0"/>
          <w:i w:val="0"/>
        </w:rPr>
        <w:t>切站口径：点击“下一站/上一站/跳站”会切换到目标站点并触发该站讲解（不要求移动对接闭环时也可先走“讲解切站”）</w:t>
      </w:r>
    </w:p>
    <w:p w14:paraId="23AB9FD3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FR-2 观众问答</w:t>
      </w:r>
    </w:p>
    <w:p w14:paraId="4655D6E8">
      <w:pPr>
        <w:pStyle w:val="16"/>
      </w:pPr>
      <w:r>
        <w:rPr>
          <w:b w:val="0"/>
          <w:i w:val="0"/>
        </w:rPr>
        <w:t>新问题提交即取消旧 request（前后端一致）</w:t>
      </w:r>
    </w:p>
    <w:p w14:paraId="016F12B0">
      <w:pPr>
        <w:pStyle w:val="16"/>
      </w:pPr>
      <w:r>
        <w:rPr>
          <w:b w:val="0"/>
          <w:i w:val="0"/>
        </w:rPr>
        <w:t>旧流程停止：RAG SSE 停止、TTS 生成与播放停止、ASR 中断</w:t>
      </w:r>
    </w:p>
    <w:p w14:paraId="7C990FCB">
      <w:pPr>
        <w:pStyle w:val="16"/>
      </w:pPr>
      <w:r>
        <w:rPr>
          <w:b w:val="0"/>
          <w:i w:val="0"/>
        </w:rPr>
        <w:t>问答结束后支持“继续讲解”（从当前站补充或进入下一站）</w:t>
      </w:r>
    </w:p>
    <w:p w14:paraId="0A591DE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FR-3 语音输入</w:t>
      </w:r>
    </w:p>
    <w:p w14:paraId="466F2543">
      <w:pPr>
        <w:pStyle w:val="16"/>
      </w:pPr>
      <w:r>
        <w:rPr>
          <w:b w:val="0"/>
          <w:i w:val="0"/>
        </w:rPr>
        <w:t>中文识别可用、延迟可接受（以现场可用为准）</w:t>
      </w:r>
    </w:p>
    <w:p w14:paraId="5DE0FB5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FR-4 语音播报</w:t>
      </w:r>
    </w:p>
    <w:p w14:paraId="63EACC8B">
      <w:pPr>
        <w:pStyle w:val="16"/>
      </w:pPr>
      <w:r>
        <w:rPr>
          <w:b w:val="0"/>
          <w:i w:val="0"/>
        </w:rPr>
        <w:t>流式播放（边合成边播），避免白噪音与卡顿</w:t>
      </w:r>
    </w:p>
    <w:p w14:paraId="36ABEACA">
      <w:pPr>
        <w:pStyle w:val="16"/>
      </w:pPr>
      <w:r>
        <w:rPr>
          <w:b w:val="0"/>
          <w:i w:val="0"/>
        </w:rPr>
        <w:t>支持关闭播报（仅文字）</w:t>
      </w:r>
    </w:p>
    <w:p w14:paraId="77C79D02">
      <w:pPr>
        <w:pStyle w:val="16"/>
      </w:pPr>
      <w:r>
        <w:rPr>
          <w:b w:val="0"/>
          <w:i w:val="0"/>
        </w:rPr>
        <w:t>支持 debug：首包延迟、chunk 统计</w:t>
      </w:r>
    </w:p>
    <w:p w14:paraId="034C9B4F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FR-5 移动与站点到达</w:t>
      </w:r>
    </w:p>
    <w:p w14:paraId="376F4815">
      <w:pPr>
        <w:pStyle w:val="16"/>
      </w:pPr>
      <w:r>
        <w:rPr>
          <w:b w:val="0"/>
          <w:i w:val="0"/>
        </w:rPr>
        <w:t>支持按站点移动： / /（最小闭环）</w:t>
      </w:r>
    </w:p>
    <w:p w14:paraId="79533B61">
      <w:pPr>
        <w:pStyle w:val="16"/>
      </w:pPr>
      <w:r>
        <w:rPr>
          <w:b w:val="0"/>
          <w:i w:val="0"/>
        </w:rPr>
        <w:t>到站判定要可配置（到位阈值/停靠点），到站成功后再进入讲解</w:t>
      </w:r>
    </w:p>
    <w:p w14:paraId="7289F810">
      <w:pPr>
        <w:pStyle w:val="16"/>
      </w:pPr>
      <w:r>
        <w:rPr>
          <w:b w:val="0"/>
          <w:i w:val="0"/>
        </w:rPr>
        <w:t>移动失败或超时要提示并允许人工介入，不进入“假到站讲解”</w:t>
      </w:r>
    </w:p>
    <w:p w14:paraId="07876F9F">
      <w:pPr>
        <w:pStyle w:val="16"/>
      </w:pPr>
      <w:r>
        <w:rPr>
          <w:b w:val="0"/>
          <w:i w:val="0"/>
        </w:rPr>
        <w:t>打断时可取消移动（避免问答与移动冲突）</w:t>
      </w:r>
    </w:p>
    <w:p w14:paraId="39BFF177">
      <w:pPr>
        <w:pStyle w:val="16"/>
      </w:pPr>
      <w:r>
        <w:rPr>
          <w:b w:val="0"/>
          <w:i w:val="0"/>
        </w:rPr>
        <w:t>导航/底盘对接通过“导航适配器”实现，接口与字段以系统详细设计为准（见）</w:t>
      </w:r>
    </w:p>
    <w:p w14:paraId="7810D3D4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FR-6 运维与可观测性</w:t>
      </w:r>
    </w:p>
    <w:p w14:paraId="046E5FA3">
      <w:pPr>
        <w:pStyle w:val="16"/>
      </w:pPr>
      <w:r>
        <w:rPr>
          <w:b w:val="0"/>
          <w:i w:val="0"/>
        </w:rPr>
        <w:t>后端提供状态端口：返回关键阶段耗时与当前状态（支持按 查询）</w:t>
      </w:r>
    </w:p>
    <w:p w14:paraId="325A5FB1">
      <w:pPr>
        <w:pStyle w:val="16"/>
      </w:pPr>
      <w:r>
        <w:rPr>
          <w:b w:val="0"/>
          <w:i w:val="0"/>
        </w:rPr>
        <w:t>后端支持日志导出：下载完整日志与 tail 查看（便于交付现场排障）</w:t>
      </w:r>
    </w:p>
    <w:p w14:paraId="17DBF11D">
      <w:pPr>
        <w:pStyle w:val="16"/>
      </w:pPr>
      <w:r>
        <w:rPr>
          <w:b w:val="0"/>
          <w:i w:val="0"/>
        </w:rPr>
        <w:t>后端支持一键诊断：音频依赖/后端连通/RAG/ASR/TTS/离线资产等关键项可快速判定</w:t>
      </w:r>
    </w:p>
    <w:p w14:paraId="21E92347">
      <w:pPr>
        <w:pStyle w:val="16"/>
      </w:pPr>
      <w:r>
        <w:rPr>
          <w:b w:val="0"/>
          <w:i w:val="0"/>
        </w:rPr>
        <w:t>前端提供调试面板：展示事件时间线、关键耗时，并提供一键诊断入口</w:t>
      </w:r>
    </w:p>
    <w:p w14:paraId="6C828A31">
      <w:pPr>
        <w:pStyle w:val="16"/>
      </w:pPr>
      <w:r>
        <w:rPr>
          <w:b w:val="0"/>
          <w:i w:val="0"/>
        </w:rPr>
        <w:t>提供可交付的运维操作手册：启动方式、健康检查、导出与常见故障处理步骤</w:t>
      </w:r>
    </w:p>
    <w:p w14:paraId="70ADF909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FR-6 验收条款</w:t>
      </w:r>
    </w:p>
    <w:p w14:paraId="6AFBFCBD">
      <w:pPr>
        <w:pStyle w:val="16"/>
      </w:pPr>
      <w:r>
        <w:rPr>
          <w:b w:val="0"/>
          <w:i w:val="0"/>
        </w:rPr>
        <w:t>健康检查：访问 返回，并包含 等基础字段</w:t>
      </w:r>
    </w:p>
    <w:p w14:paraId="61BC6536">
      <w:pPr>
        <w:pStyle w:val="16"/>
      </w:pPr>
      <w:r>
        <w:rPr>
          <w:b w:val="0"/>
          <w:i w:val="0"/>
        </w:rPr>
        <w:t>状态查询：对任意一次问答/讲解拿到 后，访问 能返回关键耗时（如）</w:t>
      </w:r>
    </w:p>
    <w:p w14:paraId="4E1C97E6">
      <w:pPr>
        <w:pStyle w:val="16"/>
      </w:pPr>
      <w:r>
        <w:rPr>
          <w:b w:val="0"/>
          <w:i w:val="0"/>
        </w:rPr>
        <w:t>事件导出：访问 能导出该次请求的事件时间线</w:t>
      </w:r>
    </w:p>
    <w:p w14:paraId="3F34992F">
      <w:pPr>
        <w:pStyle w:val="16"/>
      </w:pPr>
      <w:r>
        <w:rPr>
          <w:b w:val="0"/>
          <w:i w:val="0"/>
        </w:rPr>
        <w:t>日志导出：</w:t>
      </w:r>
    </w:p>
    <w:p w14:paraId="02EC5BAB">
      <w:pPr>
        <w:pStyle w:val="16"/>
      </w:pPr>
      <w:r>
        <w:rPr>
          <w:b w:val="0"/>
          <w:i w:val="0"/>
        </w:rPr>
        <w:t xml:space="preserve"> 能查看 tail（默认 256KB）</w:t>
      </w:r>
    </w:p>
    <w:p w14:paraId="1A4F186B">
      <w:pPr>
        <w:pStyle w:val="16"/>
      </w:pPr>
      <w:r>
        <w:rPr>
          <w:b w:val="0"/>
          <w:i w:val="0"/>
        </w:rPr>
        <w:t>一键诊断：访问 能返回至少：、、、</w:t>
      </w:r>
    </w:p>
    <w:p w14:paraId="46A57CB7">
      <w:pPr>
        <w:pStyle w:val="16"/>
      </w:pPr>
      <w:r>
        <w:rPr>
          <w:b w:val="0"/>
          <w:i w:val="0"/>
        </w:rPr>
        <w:t>前端入口：前端调试面板存在“一键诊断/日志导出/事件导出”入口（不要求登录）</w:t>
      </w:r>
    </w:p>
    <w:p w14:paraId="0EC0EB20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FR-7 历史与复用</w:t>
      </w:r>
    </w:p>
    <w:p w14:paraId="4B022A41">
      <w:pPr>
        <w:pStyle w:val="16"/>
      </w:pPr>
      <w:r>
        <w:rPr>
          <w:b w:val="0"/>
          <w:i w:val="0"/>
        </w:rPr>
        <w:t>记录提问与回答；同问题计数聚合；点击历史可回填输入框</w:t>
      </w:r>
    </w:p>
    <w:p w14:paraId="41551879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FR-8 配置与站点管理</w:t>
      </w:r>
    </w:p>
    <w:p w14:paraId="7D727350">
      <w:pPr>
        <w:pStyle w:val="16"/>
      </w:pPr>
      <w:r>
        <w:rPr>
          <w:b w:val="0"/>
          <w:i w:val="0"/>
        </w:rPr>
        <w:t>支持配置文件化管理：站点顺序、每站讲解时长、站点与导航点位的映射、外部服务地址与开关</w:t>
      </w:r>
    </w:p>
    <w:p w14:paraId="366CFBC3">
      <w:pPr>
        <w:pStyle w:val="16"/>
      </w:pPr>
      <w:r>
        <w:rPr>
          <w:b w:val="0"/>
          <w:i w:val="0"/>
        </w:rPr>
        <w:t>支持导入/导出/备份配置；配置变更后无需改代码即可生效（允许重启服务生效）</w:t>
      </w:r>
    </w:p>
    <w:p w14:paraId="1334D82E">
      <w:pPr>
        <w:pStyle w:val="16"/>
      </w:pPr>
      <w:r>
        <w:rPr>
          <w:b w:val="0"/>
          <w:i w:val="0"/>
        </w:rPr>
        <w:t>站点数据至少包含：，并能与导航系统的站点 ID 对齐</w:t>
      </w:r>
    </w:p>
    <w:p w14:paraId="2C14066F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FR-9 降级与恢复</w:t>
      </w:r>
    </w:p>
    <w:p w14:paraId="262BAF29">
      <w:pPr>
        <w:pStyle w:val="16"/>
      </w:pPr>
      <w:r>
        <w:rPr>
          <w:b w:val="0"/>
          <w:i w:val="0"/>
        </w:rPr>
        <w:t>外部服务不可用（RAG/ASR/TTS 任一）时，系统应给出明确提示，并切换到可用模式：</w:t>
      </w:r>
    </w:p>
    <w:p w14:paraId="274DAA07">
      <w:pPr>
        <w:pStyle w:val="16"/>
      </w:pPr>
      <w:r>
        <w:rPr>
          <w:b w:val="0"/>
          <w:i w:val="0"/>
        </w:rPr>
        <w:t>问答：提示暂不可用，避免胡编；允许稍后重试</w:t>
      </w:r>
    </w:p>
    <w:p w14:paraId="5EC9DC50">
      <w:pPr>
        <w:pStyle w:val="16"/>
      </w:pPr>
      <w:r>
        <w:rPr>
          <w:b w:val="0"/>
          <w:i w:val="0"/>
        </w:rPr>
        <w:t>服务恢复后可自动或手动恢复到正常模式</w:t>
      </w:r>
    </w:p>
    <w:p w14:paraId="68EBCD09">
      <w:pPr>
        <w:pStyle w:val="6"/>
      </w:pPr>
      <w:r>
        <w:rPr>
          <w:rFonts w:ascii="微软雅黑" w:hAnsi="微软雅黑" w:eastAsia="微软雅黑"/>
          <w:b/>
          <w:color w:val="000000"/>
          <w:sz w:val="28"/>
        </w:rPr>
        <w:t>FR-9 验收条款</w:t>
      </w:r>
    </w:p>
    <w:p w14:paraId="02CB3714">
      <w:pPr>
        <w:pStyle w:val="16"/>
      </w:pPr>
      <w:r>
        <w:rPr>
          <w:b w:val="0"/>
          <w:i w:val="0"/>
        </w:rPr>
        <w:t>入口与开关：</w:t>
      </w:r>
    </w:p>
    <w:p w14:paraId="360E6065">
      <w:pPr>
        <w:pStyle w:val="16"/>
      </w:pPr>
      <w:r>
        <w:rPr>
          <w:b w:val="0"/>
          <w:i w:val="0"/>
        </w:rPr>
        <w:t>离线播报不依赖 RAG/ASR/TTS 在线可用（仅依赖本地音频资源）</w:t>
      </w:r>
    </w:p>
    <w:p w14:paraId="27D3958F">
      <w:pPr>
        <w:pStyle w:val="16"/>
      </w:pPr>
      <w:r>
        <w:rPr>
          <w:b w:val="0"/>
          <w:i w:val="0"/>
        </w:rPr>
        <w:t>允许降级的触发条件（满足其一即可进入离线播报）：</w:t>
      </w:r>
    </w:p>
    <w:p w14:paraId="5FA43A64">
      <w:pPr>
        <w:pStyle w:val="16"/>
      </w:pPr>
      <w:r>
        <w:rPr>
          <w:b w:val="0"/>
          <w:i w:val="0"/>
        </w:rPr>
        <w:t>音频链路异常（TTS 音频异常/无法播放），仍需保证文本可输出或离线播报可用</w:t>
      </w:r>
    </w:p>
    <w:p w14:paraId="68D14B34">
      <w:pPr>
        <w:pStyle w:val="16"/>
      </w:pPr>
      <w:r>
        <w:rPr>
          <w:b w:val="0"/>
          <w:i w:val="0"/>
        </w:rPr>
        <w:t>运维人员人工选择离线模式（主动降级）</w:t>
      </w:r>
    </w:p>
    <w:p w14:paraId="0931DAC1">
      <w:pPr>
        <w:pStyle w:val="16"/>
      </w:pPr>
      <w:r>
        <w:rPr>
          <w:b w:val="0"/>
          <w:i w:val="0"/>
        </w:rPr>
        <w:t>最小可用表现：</w:t>
      </w:r>
    </w:p>
    <w:p w14:paraId="15E19A63">
      <w:pPr>
        <w:pStyle w:val="16"/>
      </w:pPr>
      <w:r>
        <w:rPr>
          <w:b w:val="0"/>
          <w:i w:val="0"/>
        </w:rPr>
        <w:t>离线播报期间，新问题/切站等操作应能打断当前离线播报，避免“旧音频继续播放”</w:t>
      </w:r>
    </w:p>
    <w:p w14:paraId="58908E80">
      <w:pPr>
        <w:pStyle w:val="16"/>
      </w:pPr>
      <w:r>
        <w:rPr>
          <w:b w:val="0"/>
          <w:i w:val="0"/>
        </w:rPr>
        <w:t>恢复方式：</w:t>
      </w:r>
    </w:p>
    <w:p w14:paraId="5AEC8AE4">
      <w:pPr>
        <w:pStyle w:val="16"/>
      </w:pPr>
      <w:r>
        <w:rPr>
          <w:b w:val="0"/>
          <w:i w:val="0"/>
        </w:rPr>
        <w:t>离线资源准备（交付验收必备）：</w:t>
      </w:r>
    </w:p>
    <w:p w14:paraId="461C5DFA">
      <w:pPr>
        <w:pStyle w:val="16"/>
      </w:pPr>
      <w:r>
        <w:rPr>
          <w:b w:val="0"/>
          <w:i w:val="0"/>
        </w:rPr>
        <w:t>音频目录： 下必须存在对应 文件（建议 wav）</w:t>
      </w:r>
    </w:p>
    <w:p w14:paraId="61F1509E">
      <w:pPr>
        <w:pStyle w:val="16"/>
      </w:pPr>
      <w:r>
        <w:rPr>
          <w:b w:val="0"/>
          <w:i w:val="0"/>
        </w:rPr>
        <w:t>缺资源表现：缺清单或缺音频时，前端“离线播报”应给出明确错误提示，不崩溃、不假播放</w:t>
      </w:r>
    </w:p>
    <w:p w14:paraId="6F1BA772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FR-10 知识库接入与内容更新</w:t>
      </w:r>
    </w:p>
    <w:p w14:paraId="17DF3D3B">
      <w:pPr>
        <w:pStyle w:val="16"/>
      </w:pPr>
      <w:r>
        <w:rPr>
          <w:b w:val="0"/>
          <w:i w:val="0"/>
        </w:rPr>
        <w:t>支持对接知识库平台的数据集（dataset）与会话（chat/agent）的选择与切换（配置化）。</w:t>
      </w:r>
    </w:p>
    <w:p w14:paraId="27972C13">
      <w:pPr>
        <w:pStyle w:val="16"/>
      </w:pPr>
      <w:r>
        <w:rPr>
          <w:b w:val="0"/>
          <w:i w:val="0"/>
        </w:rPr>
        <w:t>支持内容更新后的生效机制：更新知识库后，业务侧无需改代码即可使用新内容（允许重启服务生效）。</w:t>
      </w:r>
    </w:p>
    <w:p w14:paraId="568327CB">
      <w:pPr>
        <w:pStyle w:val="16"/>
      </w:pPr>
      <w:r>
        <w:rPr>
          <w:b w:val="0"/>
          <w:i w:val="0"/>
        </w:rPr>
        <w:t>支持“来源可追溯”的返回：至少在运维侧可定位回答主要来自哪个文档/版本（若平台支持引用则启用）。</w:t>
      </w:r>
    </w:p>
    <w:p w14:paraId="008472EC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FR-11 数据清洗与导入工具链</w:t>
      </w:r>
    </w:p>
    <w:p w14:paraId="2CDE8F89">
      <w:pPr>
        <w:pStyle w:val="16"/>
      </w:pPr>
      <w:r>
        <w:rPr>
          <w:b w:val="0"/>
          <w:i w:val="0"/>
        </w:rPr>
        <w:t>提供一套可复用的数据清洗与导入工具链（脚本/命令/文档皆可），覆盖：抽取、去噪、去重、分段、元数据标注、质量抽检。</w:t>
      </w:r>
    </w:p>
    <w:p w14:paraId="1C25CACD">
      <w:pPr>
        <w:pStyle w:val="16"/>
      </w:pPr>
      <w:r>
        <w:rPr>
          <w:b w:val="0"/>
          <w:i w:val="0"/>
        </w:rPr>
        <w:t>支持增量导入（新增/更新文档），并保留版本号/日期，便于回滚与对比。</w:t>
      </w:r>
    </w:p>
    <w:p w14:paraId="3AF9635A">
      <w:pPr>
        <w:pStyle w:val="16"/>
      </w:pPr>
      <w:r>
        <w:rPr>
          <w:b w:val="0"/>
          <w:i w:val="0"/>
        </w:rPr>
        <w:t>清洗与导入过程需可记录（输入文件列表、输出条目数、失败原因）。</w:t>
      </w:r>
    </w:p>
    <w:p w14:paraId="04DD801E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FR-12 权限与密钥管理</w:t>
      </w:r>
    </w:p>
    <w:p w14:paraId="7B6F52D8">
      <w:pPr>
        <w:pStyle w:val="16"/>
      </w:pPr>
      <w:r>
        <w:rPr>
          <w:b w:val="0"/>
          <w:i w:val="0"/>
        </w:rPr>
        <w:t>业务服务使用只读凭证访问知识库；导入/管理使用独立账号/凭证，避免混用。</w:t>
      </w:r>
    </w:p>
    <w:p w14:paraId="76663CFB">
      <w:pPr>
        <w:pStyle w:val="16"/>
      </w:pPr>
      <w:r>
        <w:rPr>
          <w:b w:val="0"/>
          <w:i w:val="0"/>
        </w:rPr>
        <w:t>支持密钥轮换：更换凭证后旧凭证可失效；支持在配置中切换。</w:t>
      </w:r>
    </w:p>
    <w:p w14:paraId="4E6C9875">
      <w:pPr>
        <w:pStyle w:val="16"/>
      </w:pPr>
      <w:r>
        <w:rPr>
          <w:b w:val="0"/>
          <w:i w:val="0"/>
        </w:rPr>
        <w:t>运行中不得将密钥明文写入日志；日志仅记录凭证标识或前缀（如需）。</w:t>
      </w:r>
    </w:p>
    <w:p w14:paraId="79E40EBA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FR-13 知识库平台部署与权限治理</w:t>
      </w:r>
    </w:p>
    <w:p w14:paraId="5C108375">
      <w:pPr>
        <w:pStyle w:val="16"/>
      </w:pPr>
      <w:r>
        <w:rPr>
          <w:b w:val="0"/>
          <w:i w:val="0"/>
        </w:rPr>
        <w:t>知识库平台需可部署（内网或本机），并提供管理入口用于数据集/文档管理与权限配置。</w:t>
      </w:r>
    </w:p>
    <w:p w14:paraId="71F50476">
      <w:pPr>
        <w:pStyle w:val="16"/>
      </w:pPr>
      <w:r>
        <w:rPr>
          <w:b w:val="0"/>
          <w:i w:val="0"/>
        </w:rPr>
        <w:t>至少支持三类角色：管理员、内容运营、只读访问（业务服务）。</w:t>
      </w:r>
    </w:p>
    <w:p w14:paraId="5B876261">
      <w:pPr>
        <w:pStyle w:val="16"/>
      </w:pPr>
      <w:r>
        <w:rPr>
          <w:b w:val="0"/>
          <w:i w:val="0"/>
        </w:rPr>
        <w:t>支持审计留痕：记录导入/更新/删除等操作（时间、操作者、对象），并可导出。</w:t>
      </w:r>
    </w:p>
    <w:p w14:paraId="5F66AC09">
      <w:pPr>
        <w:pStyle w:val="16"/>
      </w:pPr>
      <w:r>
        <w:rPr>
          <w:b w:val="0"/>
          <w:i w:val="0"/>
        </w:rPr>
        <w:t>支持备份与恢复（数据集导出/配置导出），便于版本回滚与现场快速恢复。</w:t>
      </w:r>
    </w:p>
    <w:p w14:paraId="41D3155B">
      <w:pPr>
        <w:pStyle w:val="5"/>
      </w:pPr>
      <w:r>
        <w:rPr>
          <w:rFonts w:ascii="微软雅黑" w:hAnsi="微软雅黑" w:eastAsia="微软雅黑"/>
          <w:b/>
          <w:color w:val="000000"/>
          <w:sz w:val="32"/>
        </w:rPr>
        <w:t>FR-14 实施计划与人力投入</w:t>
      </w:r>
    </w:p>
    <w:p w14:paraId="6B338E6C">
      <w:pPr>
        <w:pStyle w:val="16"/>
      </w:pPr>
      <w:r>
        <w:rPr>
          <w:b w:val="0"/>
          <w:i w:val="0"/>
        </w:rPr>
        <w:t>需给出软件实施计划（阶段划分、里程碑、每阶段交付物），并估算人力投入（人月）。</w:t>
      </w:r>
    </w:p>
    <w:p w14:paraId="574F8F5F">
      <w:pPr>
        <w:pStyle w:val="16"/>
      </w:pPr>
      <w:r>
        <w:rPr>
          <w:b w:val="0"/>
          <w:i w:val="0"/>
        </w:rPr>
        <w:t>人力估算需能与软件详细设计条目对应，作为预算与排期依据。</w:t>
      </w:r>
    </w:p>
    <w:p w14:paraId="3C3B984A">
      <w:pPr>
        <w:pStyle w:val="4"/>
      </w:pPr>
      <w:r>
        <w:rPr>
          <w:rFonts w:ascii="微软雅黑" w:hAnsi="微软雅黑" w:eastAsia="微软雅黑"/>
          <w:b/>
          <w:color w:val="000000"/>
          <w:sz w:val="40"/>
        </w:rPr>
        <w:t>3. 非功能需求</w:t>
      </w:r>
    </w:p>
    <w:p w14:paraId="0B7F08DA">
      <w:pPr>
        <w:pStyle w:val="16"/>
      </w:pPr>
      <w:r>
        <w:rPr>
          <w:b w:val="0"/>
          <w:i w:val="0"/>
        </w:rPr>
        <w:t>NFR-1 延迟：首句播报尽可能 &lt; 6s（现场网络允许时）</w:t>
      </w:r>
    </w:p>
    <w:p w14:paraId="574D3F5E">
      <w:pPr>
        <w:pStyle w:val="16"/>
      </w:pPr>
      <w:r>
        <w:rPr>
          <w:b w:val="0"/>
          <w:i w:val="0"/>
        </w:rPr>
        <w:t>NFR-2 稳定：长时间运行（&gt;8h）不内存泄漏，不累积连接</w:t>
      </w:r>
    </w:p>
    <w:p w14:paraId="38D9D6F5">
      <w:pPr>
        <w:pStyle w:val="16"/>
      </w:pPr>
      <w:r>
        <w:rPr>
          <w:b w:val="0"/>
          <w:i w:val="0"/>
        </w:rPr>
        <w:t>NFR-3 可维护：代码逻辑清晰</w:t>
      </w:r>
    </w:p>
    <w:p w14:paraId="5153E5AB">
      <w:pPr>
        <w:pStyle w:val="16"/>
      </w:pPr>
      <w:r>
        <w:rPr>
          <w:b w:val="0"/>
          <w:i w:val="0"/>
        </w:rPr>
        <w:t>NFR-4 可扩展：预留培训/教学接口方便日后扩展</w:t>
      </w:r>
    </w:p>
    <w:p w14:paraId="1DCDB329">
      <w:pPr>
        <w:pStyle w:val="16"/>
      </w:pPr>
      <w:r>
        <w:rPr>
          <w:b w:val="0"/>
          <w:i w:val="0"/>
        </w:rPr>
        <w:t>NFR-5 安全：配置与密钥最小暴露、关键操作可审计、敏感内容不外泄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BE0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qFormat/>
    <w:uiPriority w:val="0"/>
    <w:pPr>
      <w:spacing w:before="200" w:after="200" w:line="276" w:lineRule="auto"/>
      <w:ind w:left="640" w:right="64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character" w:customStyle="1" w:styleId="165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2117</Words>
  <Characters>2298</Characters>
  <Lines>0</Lines>
  <Paragraphs>0</Paragraphs>
  <TotalTime>1</TotalTime>
  <ScaleCrop>false</ScaleCrop>
  <LinksUpToDate>false</LinksUpToDate>
  <CharactersWithSpaces>2364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zeyu</cp:lastModifiedBy>
  <dcterms:modified xsi:type="dcterms:W3CDTF">2025-12-25T14:20:54Z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eyJoZGlkIjoiZGViZGQ5NjMwMWFkZTcxODE3OGUwNGY0ZmM3YWJiODAiLCJ1c2VySWQiOiI5NDczNDA4NTUifQ==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420C0ED2F5B9475382D7C75F1D643E9B_12</vt:lpwstr>
  </property>
</Properties>
</file>