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C04FD">
      <w:pPr>
        <w:jc w:val="center"/>
      </w:pPr>
      <w:r>
        <w:rPr>
          <w:rFonts w:ascii="微软雅黑" w:hAnsi="微软雅黑" w:eastAsia="微软雅黑"/>
          <w:b w:val="0"/>
          <w:i w:val="0"/>
          <w:strike w:val="0"/>
        </w:rPr>
        <w:t>﻿</w:t>
      </w:r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 xml:space="preserve"> </w:t>
      </w:r>
      <w:r>
        <w:rPr>
          <w:rFonts w:hint="eastAsia" w:ascii="微软雅黑" w:hAnsi="微软雅黑" w:eastAsia="微软雅黑"/>
          <w:b/>
          <w:bCs/>
          <w:i w:val="0"/>
          <w:strike w:val="0"/>
          <w:sz w:val="52"/>
          <w:szCs w:val="52"/>
          <w:lang w:val="en-US" w:eastAsia="zh-CN"/>
        </w:rPr>
        <w:t>软件</w:t>
      </w:r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预算清单</w:t>
      </w:r>
    </w:p>
    <w:p w14:paraId="1A866CA7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标准方案预算</w:t>
      </w:r>
      <w:bookmarkStart w:id="0" w:name="_GoBack"/>
      <w:bookmarkEnd w:id="0"/>
    </w:p>
    <w:p w14:paraId="1469FE5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1.1 人力成本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800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F476637">
            <w:pPr>
              <w:spacing w:after="0" w:line="240" w:lineRule="auto"/>
            </w:pPr>
            <w:r>
              <w:rPr>
                <w:b/>
              </w:rPr>
              <w:t>对应阶段/SD</w:t>
            </w:r>
          </w:p>
        </w:tc>
        <w:tc>
          <w:tcPr>
            <w:tcW w:w="1234" w:type="dxa"/>
            <w:vAlign w:val="center"/>
          </w:tcPr>
          <w:p w14:paraId="3807EFC8">
            <w:pPr>
              <w:spacing w:after="0" w:line="240" w:lineRule="auto"/>
            </w:pPr>
            <w:r>
              <w:rPr>
                <w:b/>
              </w:rPr>
              <w:t>成本项</w:t>
            </w:r>
          </w:p>
        </w:tc>
        <w:tc>
          <w:tcPr>
            <w:tcW w:w="1234" w:type="dxa"/>
            <w:vAlign w:val="center"/>
          </w:tcPr>
          <w:p w14:paraId="59B393DF">
            <w:pPr>
              <w:spacing w:after="0" w:line="240" w:lineRule="auto"/>
            </w:pPr>
            <w:r>
              <w:rPr>
                <w:b/>
              </w:rPr>
              <w:t>规格/说明</w:t>
            </w:r>
          </w:p>
        </w:tc>
        <w:tc>
          <w:tcPr>
            <w:tcW w:w="1234" w:type="dxa"/>
            <w:vAlign w:val="center"/>
          </w:tcPr>
          <w:p w14:paraId="7D79A978">
            <w:pPr>
              <w:spacing w:after="0" w:line="240" w:lineRule="auto"/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w="1234" w:type="dxa"/>
            <w:vAlign w:val="center"/>
          </w:tcPr>
          <w:p w14:paraId="2D387DD5">
            <w:pPr>
              <w:spacing w:after="0" w:line="240" w:lineRule="auto"/>
              <w:jc w:val="right"/>
            </w:pPr>
            <w:r>
              <w:rPr>
                <w:b/>
              </w:rPr>
              <w:t>单价（元）</w:t>
            </w:r>
          </w:p>
        </w:tc>
        <w:tc>
          <w:tcPr>
            <w:tcW w:w="1234" w:type="dxa"/>
            <w:vAlign w:val="center"/>
          </w:tcPr>
          <w:p w14:paraId="53F5F925">
            <w:pPr>
              <w:spacing w:after="0" w:line="240" w:lineRule="auto"/>
              <w:jc w:val="right"/>
            </w:pPr>
            <w:r>
              <w:rPr>
                <w:b/>
              </w:rPr>
              <w:t>小计（元）</w:t>
            </w:r>
          </w:p>
        </w:tc>
        <w:tc>
          <w:tcPr>
            <w:tcW w:w="1234" w:type="dxa"/>
            <w:vAlign w:val="center"/>
          </w:tcPr>
          <w:p w14:paraId="2668C742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1628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BBB423A">
            <w:pPr>
              <w:spacing w:after="0" w:line="240" w:lineRule="auto"/>
            </w:pPr>
            <w:r>
              <w:t>S1（SD-8、SD-6）</w:t>
            </w:r>
          </w:p>
        </w:tc>
        <w:tc>
          <w:tcPr>
            <w:tcW w:w="1234" w:type="dxa"/>
            <w:vAlign w:val="center"/>
          </w:tcPr>
          <w:p w14:paraId="45AE41E8">
            <w:pPr>
              <w:spacing w:after="0" w:line="240" w:lineRule="auto"/>
            </w:pPr>
            <w:r>
              <w:t>软件开发与联调</w:t>
            </w:r>
          </w:p>
        </w:tc>
        <w:tc>
          <w:tcPr>
            <w:tcW w:w="1234" w:type="dxa"/>
            <w:vAlign w:val="center"/>
          </w:tcPr>
          <w:p w14:paraId="2EEEC64F">
            <w:pPr>
              <w:spacing w:after="0" w:line="240" w:lineRule="auto"/>
            </w:pPr>
            <w:r>
              <w:t>配置/日志/指标框架与最小闭环</w:t>
            </w:r>
          </w:p>
        </w:tc>
        <w:tc>
          <w:tcPr>
            <w:tcW w:w="1234" w:type="dxa"/>
            <w:vAlign w:val="center"/>
          </w:tcPr>
          <w:p w14:paraId="4A180473">
            <w:pPr>
              <w:spacing w:after="0" w:line="240" w:lineRule="auto"/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70CCD1E5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35BB58C5">
            <w:pPr>
              <w:spacing w:after="0" w:line="240" w:lineRule="auto"/>
              <w:jc w:val="right"/>
            </w:pPr>
            <w:r>
              <w:t>16667</w:t>
            </w:r>
          </w:p>
        </w:tc>
        <w:tc>
          <w:tcPr>
            <w:tcW w:w="1234" w:type="dxa"/>
            <w:vAlign w:val="center"/>
          </w:tcPr>
          <w:p w14:paraId="775DE793">
            <w:pPr>
              <w:spacing w:after="0" w:line="240" w:lineRule="auto"/>
            </w:pPr>
            <w:r>
              <w:t>参考 SD-16.1</w:t>
            </w:r>
          </w:p>
        </w:tc>
      </w:tr>
      <w:tr w14:paraId="650A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16822E0B">
            <w:pPr>
              <w:spacing w:after="0" w:line="240" w:lineRule="auto"/>
            </w:pPr>
            <w:r>
              <w:t>S2（SD-1、SD-2、SD-9）</w:t>
            </w:r>
          </w:p>
        </w:tc>
        <w:tc>
          <w:tcPr>
            <w:tcW w:w="1234" w:type="dxa"/>
            <w:vAlign w:val="center"/>
          </w:tcPr>
          <w:p w14:paraId="49D49D4F">
            <w:pPr>
              <w:spacing w:after="0" w:line="240" w:lineRule="auto"/>
            </w:pPr>
            <w:r>
              <w:t>软件开发与联调</w:t>
            </w:r>
          </w:p>
        </w:tc>
        <w:tc>
          <w:tcPr>
            <w:tcW w:w="1234" w:type="dxa"/>
            <w:vAlign w:val="center"/>
          </w:tcPr>
          <w:p w14:paraId="73ADA040">
            <w:pPr>
              <w:spacing w:after="0" w:line="240" w:lineRule="auto"/>
            </w:pPr>
            <w:r>
              <w:t>讲解/打断/离线预录音降级</w:t>
            </w:r>
          </w:p>
        </w:tc>
        <w:tc>
          <w:tcPr>
            <w:tcW w:w="1234" w:type="dxa"/>
            <w:vAlign w:val="center"/>
          </w:tcPr>
          <w:p w14:paraId="0A2A3870">
            <w:pPr>
              <w:spacing w:after="0" w:line="240" w:lineRule="auto"/>
              <w:jc w:val="right"/>
            </w:pPr>
            <w:r>
              <w:t>2.0</w:t>
            </w:r>
          </w:p>
        </w:tc>
        <w:tc>
          <w:tcPr>
            <w:tcW w:w="1234" w:type="dxa"/>
            <w:vAlign w:val="center"/>
          </w:tcPr>
          <w:p w14:paraId="63125391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383B8010">
            <w:pPr>
              <w:spacing w:after="0" w:line="240" w:lineRule="auto"/>
              <w:jc w:val="right"/>
            </w:pPr>
            <w:r>
              <w:t>66666</w:t>
            </w:r>
          </w:p>
        </w:tc>
        <w:tc>
          <w:tcPr>
            <w:tcW w:w="1234" w:type="dxa"/>
            <w:vAlign w:val="center"/>
          </w:tcPr>
          <w:p w14:paraId="5CB5C88B">
            <w:pPr>
              <w:spacing w:after="0" w:line="240" w:lineRule="auto"/>
            </w:pPr>
            <w:r>
              <w:t>参考 SD-16.1</w:t>
            </w:r>
          </w:p>
        </w:tc>
      </w:tr>
      <w:tr w14:paraId="296F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52A1E00">
            <w:pPr>
              <w:spacing w:after="0" w:line="240" w:lineRule="auto"/>
            </w:pPr>
            <w:r>
              <w:t>S3（SD-3、SD-4）</w:t>
            </w:r>
          </w:p>
        </w:tc>
        <w:tc>
          <w:tcPr>
            <w:tcW w:w="1234" w:type="dxa"/>
            <w:vAlign w:val="center"/>
          </w:tcPr>
          <w:p w14:paraId="6EFC7A37">
            <w:pPr>
              <w:spacing w:after="0" w:line="240" w:lineRule="auto"/>
            </w:pPr>
            <w:r>
              <w:t>软件开发与联调</w:t>
            </w:r>
          </w:p>
        </w:tc>
        <w:tc>
          <w:tcPr>
            <w:tcW w:w="1234" w:type="dxa"/>
            <w:vAlign w:val="center"/>
          </w:tcPr>
          <w:p w14:paraId="086012F5">
            <w:pPr>
              <w:spacing w:after="0" w:line="240" w:lineRule="auto"/>
            </w:pPr>
            <w:r>
              <w:t>录音上传/分段播报/稳定性处理</w:t>
            </w:r>
          </w:p>
        </w:tc>
        <w:tc>
          <w:tcPr>
            <w:tcW w:w="1234" w:type="dxa"/>
            <w:vAlign w:val="center"/>
          </w:tcPr>
          <w:p w14:paraId="76AF40D7">
            <w:pPr>
              <w:spacing w:after="0" w:line="240" w:lineRule="auto"/>
              <w:jc w:val="right"/>
            </w:pPr>
            <w:r>
              <w:t>1.5</w:t>
            </w:r>
          </w:p>
        </w:tc>
        <w:tc>
          <w:tcPr>
            <w:tcW w:w="1234" w:type="dxa"/>
            <w:vAlign w:val="center"/>
          </w:tcPr>
          <w:p w14:paraId="1A3F00F1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356B48EA">
            <w:pPr>
              <w:spacing w:after="0" w:line="240" w:lineRule="auto"/>
              <w:jc w:val="right"/>
            </w:pPr>
            <w:r>
              <w:t>50000</w:t>
            </w:r>
          </w:p>
        </w:tc>
        <w:tc>
          <w:tcPr>
            <w:tcW w:w="1234" w:type="dxa"/>
            <w:vAlign w:val="center"/>
          </w:tcPr>
          <w:p w14:paraId="4855AE08">
            <w:pPr>
              <w:spacing w:after="0" w:line="240" w:lineRule="auto"/>
            </w:pPr>
            <w:r>
              <w:t>参考 SD-16.1</w:t>
            </w:r>
          </w:p>
        </w:tc>
      </w:tr>
      <w:tr w14:paraId="2797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06B72C1">
            <w:pPr>
              <w:spacing w:after="0" w:line="240" w:lineRule="auto"/>
            </w:pPr>
            <w:r>
              <w:t>S4（SD-5）</w:t>
            </w:r>
          </w:p>
        </w:tc>
        <w:tc>
          <w:tcPr>
            <w:tcW w:w="1234" w:type="dxa"/>
            <w:vAlign w:val="center"/>
          </w:tcPr>
          <w:p w14:paraId="0C259514">
            <w:pPr>
              <w:spacing w:after="0" w:line="240" w:lineRule="auto"/>
            </w:pPr>
            <w:r>
              <w:t>软件开发与联调</w:t>
            </w:r>
          </w:p>
        </w:tc>
        <w:tc>
          <w:tcPr>
            <w:tcW w:w="1234" w:type="dxa"/>
            <w:vAlign w:val="center"/>
          </w:tcPr>
          <w:p w14:paraId="11E4357F">
            <w:pPr>
              <w:spacing w:after="0" w:line="240" w:lineRule="auto"/>
            </w:pPr>
            <w:r>
              <w:t>移动联动对接与失败恢复（硬件/导航对接）</w:t>
            </w:r>
          </w:p>
        </w:tc>
        <w:tc>
          <w:tcPr>
            <w:tcW w:w="1234" w:type="dxa"/>
            <w:vAlign w:val="center"/>
          </w:tcPr>
          <w:p w14:paraId="265FE596">
            <w:pPr>
              <w:spacing w:after="0" w:line="240" w:lineRule="auto"/>
              <w:jc w:val="right"/>
            </w:pPr>
            <w:r>
              <w:t>1.0</w:t>
            </w:r>
          </w:p>
        </w:tc>
        <w:tc>
          <w:tcPr>
            <w:tcW w:w="1234" w:type="dxa"/>
            <w:vAlign w:val="center"/>
          </w:tcPr>
          <w:p w14:paraId="1D038B08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73B51EE4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2FC93A35">
            <w:pPr>
              <w:spacing w:after="0" w:line="240" w:lineRule="auto"/>
            </w:pPr>
            <w:r>
              <w:t>参考 SD-16.1</w:t>
            </w:r>
          </w:p>
        </w:tc>
      </w:tr>
      <w:tr w14:paraId="112A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238E6D14">
            <w:pPr>
              <w:spacing w:after="0" w:line="240" w:lineRule="auto"/>
            </w:pPr>
            <w:r>
              <w:t>S5（SD-12、SD-13、SD-14、SD-15）</w:t>
            </w:r>
          </w:p>
        </w:tc>
        <w:tc>
          <w:tcPr>
            <w:tcW w:w="1234" w:type="dxa"/>
            <w:vAlign w:val="center"/>
          </w:tcPr>
          <w:p w14:paraId="08C1837D">
            <w:pPr>
              <w:spacing w:after="0" w:line="240" w:lineRule="auto"/>
            </w:pPr>
            <w:r>
              <w:t>软件开发与联调</w:t>
            </w:r>
          </w:p>
        </w:tc>
        <w:tc>
          <w:tcPr>
            <w:tcW w:w="1234" w:type="dxa"/>
            <w:vAlign w:val="center"/>
          </w:tcPr>
          <w:p w14:paraId="501E1159">
            <w:pPr>
              <w:spacing w:after="0" w:line="240" w:lineRule="auto"/>
            </w:pPr>
            <w:r>
              <w:t>知识库建设、清洗入库、权限/审计与可追溯</w:t>
            </w:r>
          </w:p>
        </w:tc>
        <w:tc>
          <w:tcPr>
            <w:tcW w:w="1234" w:type="dxa"/>
            <w:vAlign w:val="center"/>
          </w:tcPr>
          <w:p w14:paraId="686D6DA6">
            <w:pPr>
              <w:spacing w:after="0" w:line="240" w:lineRule="auto"/>
              <w:jc w:val="right"/>
            </w:pPr>
            <w:r>
              <w:t>2.0</w:t>
            </w:r>
          </w:p>
        </w:tc>
        <w:tc>
          <w:tcPr>
            <w:tcW w:w="1234" w:type="dxa"/>
            <w:vAlign w:val="center"/>
          </w:tcPr>
          <w:p w14:paraId="475551F4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7058FC79">
            <w:pPr>
              <w:spacing w:after="0" w:line="240" w:lineRule="auto"/>
              <w:jc w:val="right"/>
            </w:pPr>
            <w:r>
              <w:t>66666</w:t>
            </w:r>
          </w:p>
        </w:tc>
        <w:tc>
          <w:tcPr>
            <w:tcW w:w="1234" w:type="dxa"/>
            <w:vAlign w:val="center"/>
          </w:tcPr>
          <w:p w14:paraId="3CA2E3DF">
            <w:pPr>
              <w:spacing w:after="0" w:line="240" w:lineRule="auto"/>
            </w:pPr>
            <w:r>
              <w:t>参考 SD-16.1</w:t>
            </w:r>
          </w:p>
        </w:tc>
      </w:tr>
      <w:tr w14:paraId="2A70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AA7906C">
            <w:pPr>
              <w:spacing w:after="0" w:line="240" w:lineRule="auto"/>
            </w:pPr>
            <w:r>
              <w:t>S6（SD-6、SD-10、SD-11）</w:t>
            </w:r>
          </w:p>
        </w:tc>
        <w:tc>
          <w:tcPr>
            <w:tcW w:w="1234" w:type="dxa"/>
            <w:vAlign w:val="center"/>
          </w:tcPr>
          <w:p w14:paraId="2BCC8703">
            <w:pPr>
              <w:spacing w:after="0" w:line="240" w:lineRule="auto"/>
            </w:pPr>
            <w:r>
              <w:t>测试与交付收口</w:t>
            </w:r>
          </w:p>
        </w:tc>
        <w:tc>
          <w:tcPr>
            <w:tcW w:w="1234" w:type="dxa"/>
            <w:vAlign w:val="center"/>
          </w:tcPr>
          <w:p w14:paraId="0FF47E3A">
            <w:pPr>
              <w:spacing w:after="0" w:line="240" w:lineRule="auto"/>
            </w:pPr>
            <w:r>
              <w:t>指标验证/稳定性测试/运行手册与操作说明</w:t>
            </w:r>
          </w:p>
        </w:tc>
        <w:tc>
          <w:tcPr>
            <w:tcW w:w="1234" w:type="dxa"/>
            <w:vAlign w:val="center"/>
          </w:tcPr>
          <w:p w14:paraId="7E57FB6A">
            <w:pPr>
              <w:spacing w:after="0" w:line="240" w:lineRule="auto"/>
              <w:jc w:val="right"/>
            </w:pPr>
            <w:r>
              <w:t>1.0</w:t>
            </w:r>
          </w:p>
        </w:tc>
        <w:tc>
          <w:tcPr>
            <w:tcW w:w="1234" w:type="dxa"/>
            <w:vAlign w:val="center"/>
          </w:tcPr>
          <w:p w14:paraId="23E3FCC7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53BD7438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5DE12EC9">
            <w:pPr>
              <w:spacing w:after="0" w:line="240" w:lineRule="auto"/>
            </w:pPr>
            <w:r>
              <w:t>参考 SD-16.1</w:t>
            </w:r>
          </w:p>
        </w:tc>
      </w:tr>
      <w:tr w14:paraId="4535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4541601E">
            <w:pPr>
              <w:spacing w:after="0" w:line="240" w:lineRule="auto"/>
            </w:pPr>
          </w:p>
        </w:tc>
        <w:tc>
          <w:tcPr>
            <w:tcW w:w="1234" w:type="dxa"/>
            <w:vAlign w:val="center"/>
          </w:tcPr>
          <w:p w14:paraId="57956AE5">
            <w:pPr>
              <w:spacing w:after="0" w:line="240" w:lineRule="auto"/>
            </w:pPr>
          </w:p>
        </w:tc>
        <w:tc>
          <w:tcPr>
            <w:tcW w:w="1234" w:type="dxa"/>
            <w:vAlign w:val="center"/>
          </w:tcPr>
          <w:p w14:paraId="41007ED2">
            <w:pPr>
              <w:spacing w:after="0" w:line="240" w:lineRule="auto"/>
            </w:pPr>
            <w:r>
              <w:rPr>
                <w:b/>
              </w:rPr>
              <w:t>人力合计</w:t>
            </w:r>
          </w:p>
        </w:tc>
        <w:tc>
          <w:tcPr>
            <w:tcW w:w="1234" w:type="dxa"/>
            <w:vAlign w:val="center"/>
          </w:tcPr>
          <w:p w14:paraId="69DA10E4">
            <w:pPr>
              <w:spacing w:after="0" w:line="240" w:lineRule="auto"/>
              <w:jc w:val="right"/>
            </w:pPr>
            <w:r>
              <w:rPr>
                <w:b/>
              </w:rPr>
              <w:t>8.0</w:t>
            </w:r>
          </w:p>
        </w:tc>
        <w:tc>
          <w:tcPr>
            <w:tcW w:w="1234" w:type="dxa"/>
            <w:vAlign w:val="center"/>
          </w:tcPr>
          <w:p w14:paraId="76B88C73">
            <w:pPr>
              <w:spacing w:after="0" w:line="240" w:lineRule="auto"/>
              <w:jc w:val="right"/>
            </w:pPr>
          </w:p>
        </w:tc>
        <w:tc>
          <w:tcPr>
            <w:tcW w:w="1234" w:type="dxa"/>
            <w:vAlign w:val="center"/>
          </w:tcPr>
          <w:p w14:paraId="1D8A6852">
            <w:pPr>
              <w:spacing w:after="0" w:line="240" w:lineRule="auto"/>
              <w:jc w:val="right"/>
            </w:pPr>
            <w:r>
              <w:rPr>
                <w:b/>
              </w:rPr>
              <w:t>266664</w:t>
            </w:r>
          </w:p>
        </w:tc>
        <w:tc>
          <w:tcPr>
            <w:tcW w:w="1234" w:type="dxa"/>
            <w:vAlign w:val="center"/>
          </w:tcPr>
          <w:p w14:paraId="0C4111CF">
            <w:pPr>
              <w:spacing w:after="0" w:line="240" w:lineRule="auto"/>
            </w:pPr>
            <w:r>
              <w:t>取整</w:t>
            </w:r>
          </w:p>
        </w:tc>
      </w:tr>
    </w:tbl>
    <w:p w14:paraId="0C26E9F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1.2 非人力（仅 Token，按需）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168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1E2F1234">
            <w:pPr>
              <w:spacing w:after="0" w:line="240" w:lineRule="auto"/>
            </w:pPr>
            <w:r>
              <w:rPr>
                <w:b/>
              </w:rPr>
              <w:t>对应 SD</w:t>
            </w:r>
          </w:p>
        </w:tc>
        <w:tc>
          <w:tcPr>
            <w:tcW w:w="1234" w:type="dxa"/>
            <w:vAlign w:val="center"/>
          </w:tcPr>
          <w:p w14:paraId="2731CBAF">
            <w:pPr>
              <w:spacing w:after="0" w:line="240" w:lineRule="auto"/>
            </w:pPr>
            <w:r>
              <w:rPr>
                <w:b/>
              </w:rPr>
              <w:t>成本项</w:t>
            </w:r>
          </w:p>
        </w:tc>
        <w:tc>
          <w:tcPr>
            <w:tcW w:w="1234" w:type="dxa"/>
            <w:vAlign w:val="center"/>
          </w:tcPr>
          <w:p w14:paraId="73F2DC69">
            <w:pPr>
              <w:spacing w:after="0" w:line="240" w:lineRule="auto"/>
            </w:pPr>
            <w:r>
              <w:rPr>
                <w:b/>
              </w:rPr>
              <w:t>规格/说明</w:t>
            </w:r>
          </w:p>
        </w:tc>
        <w:tc>
          <w:tcPr>
            <w:tcW w:w="1234" w:type="dxa"/>
            <w:vAlign w:val="center"/>
          </w:tcPr>
          <w:p w14:paraId="1FB69EC0">
            <w:pPr>
              <w:spacing w:after="0" w:line="240" w:lineRule="auto"/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w="1234" w:type="dxa"/>
            <w:vAlign w:val="center"/>
          </w:tcPr>
          <w:p w14:paraId="3F2872EB">
            <w:pPr>
              <w:spacing w:after="0" w:line="240" w:lineRule="auto"/>
              <w:jc w:val="right"/>
            </w:pPr>
            <w:r>
              <w:rPr>
                <w:b/>
              </w:rPr>
              <w:t>单价（元）</w:t>
            </w:r>
          </w:p>
        </w:tc>
        <w:tc>
          <w:tcPr>
            <w:tcW w:w="1234" w:type="dxa"/>
            <w:vAlign w:val="center"/>
          </w:tcPr>
          <w:p w14:paraId="359F7697">
            <w:pPr>
              <w:spacing w:after="0" w:line="240" w:lineRule="auto"/>
              <w:jc w:val="right"/>
            </w:pPr>
            <w:r>
              <w:rPr>
                <w:b/>
              </w:rPr>
              <w:t>小计（元）</w:t>
            </w:r>
          </w:p>
        </w:tc>
        <w:tc>
          <w:tcPr>
            <w:tcW w:w="1234" w:type="dxa"/>
            <w:vAlign w:val="center"/>
          </w:tcPr>
          <w:p w14:paraId="6C418B92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4AEA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0D63AFC">
            <w:pPr>
              <w:spacing w:after="0" w:line="240" w:lineRule="auto"/>
            </w:pPr>
            <w:r>
              <w:t>SD-10/SD-12</w:t>
            </w:r>
          </w:p>
        </w:tc>
        <w:tc>
          <w:tcPr>
            <w:tcW w:w="1234" w:type="dxa"/>
            <w:vAlign w:val="center"/>
          </w:tcPr>
          <w:p w14:paraId="0BA6E376">
            <w:pPr>
              <w:spacing w:after="0" w:line="240" w:lineRule="auto"/>
            </w:pPr>
            <w:r>
              <w:t>模型 Token 消耗（联调/验收期）</w:t>
            </w:r>
          </w:p>
        </w:tc>
        <w:tc>
          <w:tcPr>
            <w:tcW w:w="1234" w:type="dxa"/>
            <w:vAlign w:val="center"/>
          </w:tcPr>
          <w:p w14:paraId="420AFAA1">
            <w:pPr>
              <w:spacing w:after="0" w:line="240" w:lineRule="auto"/>
            </w:pPr>
            <w:r>
              <w:t>线上模型调用费用（若全部本地可为 0）</w:t>
            </w:r>
          </w:p>
        </w:tc>
        <w:tc>
          <w:tcPr>
            <w:tcW w:w="1234" w:type="dxa"/>
            <w:vAlign w:val="center"/>
          </w:tcPr>
          <w:p w14:paraId="4E7B4B62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65C76672">
            <w:pPr>
              <w:spacing w:after="0" w:line="240" w:lineRule="auto"/>
              <w:jc w:val="right"/>
            </w:pPr>
            <w:r>
              <w:t>12000</w:t>
            </w:r>
          </w:p>
        </w:tc>
        <w:tc>
          <w:tcPr>
            <w:tcW w:w="1234" w:type="dxa"/>
            <w:vAlign w:val="center"/>
          </w:tcPr>
          <w:p w14:paraId="23C6D9AD">
            <w:pPr>
              <w:spacing w:after="0" w:line="240" w:lineRule="auto"/>
              <w:jc w:val="right"/>
            </w:pPr>
            <w:r>
              <w:t>12000</w:t>
            </w:r>
          </w:p>
        </w:tc>
        <w:tc>
          <w:tcPr>
            <w:tcW w:w="1234" w:type="dxa"/>
            <w:vAlign w:val="center"/>
          </w:tcPr>
          <w:p w14:paraId="01B66D90">
            <w:pPr>
              <w:spacing w:after="0" w:line="240" w:lineRule="auto"/>
            </w:pPr>
            <w:r>
              <w:t>可选</w:t>
            </w:r>
          </w:p>
        </w:tc>
      </w:tr>
    </w:tbl>
    <w:p w14:paraId="51AE86CE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2. 分期实施口径</w:t>
      </w:r>
    </w:p>
    <w:p w14:paraId="73A6A61C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3. 汇总</w:t>
      </w:r>
    </w:p>
    <w:p w14:paraId="118F3423">
      <w:pPr>
        <w:pStyle w:val="16"/>
      </w:pPr>
      <w:r>
        <w:rPr>
          <w:b w:val="0"/>
          <w:i w:val="0"/>
        </w:rPr>
        <w:t>人力成本（8.0 人月）：266664 元</w:t>
      </w:r>
    </w:p>
    <w:p w14:paraId="5AA820C8">
      <w:pPr>
        <w:pStyle w:val="16"/>
      </w:pPr>
      <w:r>
        <w:rPr>
          <w:b w:val="0"/>
          <w:i w:val="0"/>
        </w:rPr>
        <w:t>非人力小计（本期，按需）：12000 元（Token 12000）</w:t>
      </w:r>
    </w:p>
    <w:p w14:paraId="332E3A4D">
      <w:pPr>
        <w:pStyle w:val="16"/>
      </w:pPr>
      <w:r>
        <w:rPr>
          <w:b w:val="0"/>
          <w:i w:val="0"/>
        </w:rPr>
        <w:t>预备费（按非人力 10%）：1200 元</w:t>
      </w:r>
    </w:p>
    <w:p w14:paraId="296ED8B5">
      <w:pPr>
        <w:pStyle w:val="16"/>
      </w:pPr>
      <w:r>
        <w:rPr>
          <w:b w:val="0"/>
          <w:i w:val="0"/>
        </w:rPr>
        <w:t>总价（标准方案，示例）：</w:t>
      </w:r>
      <w:r>
        <w:rPr>
          <w:b/>
          <w:i w:val="0"/>
        </w:rPr>
        <w:t>279864 元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5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qFormat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657</Characters>
  <Lines>0</Lines>
  <Paragraphs>0</Paragraphs>
  <TotalTime>0</TotalTime>
  <ScaleCrop>false</ScaleCrop>
  <LinksUpToDate>false</LinksUpToDate>
  <CharactersWithSpaces>683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125D3D801A824F78AE8287EBC31AE505_12</vt:lpwstr>
  </property>
</Properties>
</file>