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A72CF">
      <w:pPr>
        <w:jc w:val="center"/>
        <w:rPr>
          <w:rFonts w:hint="eastAsia" w:ascii="微软雅黑" w:hAnsi="微软雅黑" w:eastAsia="微软雅黑"/>
          <w:b/>
          <w:bCs/>
          <w:i w:val="0"/>
          <w:strike w:val="0"/>
          <w:sz w:val="52"/>
          <w:szCs w:val="52"/>
          <w:lang w:val="en-US" w:eastAsia="zh-CN"/>
        </w:rPr>
      </w:pPr>
      <w:bookmarkStart w:id="0" w:name="_GoBack"/>
      <w:bookmarkEnd w:id="0"/>
      <w:r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  <w:t>﻿ 软件详细设计</w:t>
      </w:r>
      <w:r>
        <w:rPr>
          <w:rFonts w:hint="eastAsia" w:ascii="微软雅黑" w:hAnsi="微软雅黑" w:eastAsia="微软雅黑"/>
          <w:b/>
          <w:bCs/>
          <w:i w:val="0"/>
          <w:strike w:val="0"/>
          <w:sz w:val="52"/>
          <w:szCs w:val="52"/>
          <w:lang w:val="en-US" w:eastAsia="zh-CN"/>
        </w:rPr>
        <w:t>文档</w:t>
      </w:r>
    </w:p>
    <w:p w14:paraId="793BBE29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1. 需求对齐（FR/NFR → SD）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58B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vAlign w:val="center"/>
          </w:tcPr>
          <w:p w14:paraId="6EED0F60">
            <w:pPr>
              <w:spacing w:after="0" w:line="240" w:lineRule="auto"/>
            </w:pPr>
            <w:r>
              <w:rPr>
                <w:b/>
              </w:rPr>
              <w:t>软件需求</w:t>
            </w:r>
          </w:p>
        </w:tc>
        <w:tc>
          <w:tcPr>
            <w:tcW w:w="4320" w:type="dxa"/>
            <w:vAlign w:val="center"/>
          </w:tcPr>
          <w:p w14:paraId="61A727E5">
            <w:pPr>
              <w:spacing w:after="0" w:line="240" w:lineRule="auto"/>
            </w:pPr>
            <w:r>
              <w:rPr>
                <w:b/>
              </w:rPr>
              <w:t>对应软件详细设计条目（SD）</w:t>
            </w:r>
          </w:p>
        </w:tc>
      </w:tr>
      <w:tr w14:paraId="07970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730EE8D">
            <w:pPr>
              <w:spacing w:after="0" w:line="240" w:lineRule="auto"/>
            </w:pPr>
            <w:r>
              <w:t>FR-1 连续讲解</w:t>
            </w:r>
          </w:p>
        </w:tc>
        <w:tc>
          <w:tcPr>
            <w:tcW w:w="4320" w:type="dxa"/>
            <w:vAlign w:val="center"/>
          </w:tcPr>
          <w:p w14:paraId="6BFD4FED">
            <w:pPr>
              <w:spacing w:after="0" w:line="240" w:lineRule="auto"/>
            </w:pPr>
            <w:r>
              <w:t>SD-1、SD-5、SD-8</w:t>
            </w:r>
          </w:p>
        </w:tc>
      </w:tr>
      <w:tr w14:paraId="11F8B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9A03E64">
            <w:pPr>
              <w:spacing w:after="0" w:line="240" w:lineRule="auto"/>
            </w:pPr>
            <w:r>
              <w:t>FR-2 观众问答（打断机制）</w:t>
            </w:r>
          </w:p>
        </w:tc>
        <w:tc>
          <w:tcPr>
            <w:tcW w:w="4320" w:type="dxa"/>
            <w:vAlign w:val="center"/>
          </w:tcPr>
          <w:p w14:paraId="3FB80941">
            <w:pPr>
              <w:spacing w:after="0" w:line="240" w:lineRule="auto"/>
            </w:pPr>
            <w:r>
              <w:t>SD-2、SD-6</w:t>
            </w:r>
          </w:p>
        </w:tc>
      </w:tr>
      <w:tr w14:paraId="3BA4A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CEADC8B">
            <w:pPr>
              <w:spacing w:after="0" w:line="240" w:lineRule="auto"/>
            </w:pPr>
            <w:r>
              <w:t>FR-3 语音输入（ASR）</w:t>
            </w:r>
          </w:p>
        </w:tc>
        <w:tc>
          <w:tcPr>
            <w:tcW w:w="4320" w:type="dxa"/>
            <w:vAlign w:val="center"/>
          </w:tcPr>
          <w:p w14:paraId="0B91AA54">
            <w:pPr>
              <w:spacing w:after="0" w:line="240" w:lineRule="auto"/>
            </w:pPr>
            <w:r>
              <w:t>SD-3、SD-6</w:t>
            </w:r>
          </w:p>
        </w:tc>
      </w:tr>
      <w:tr w14:paraId="2D9E0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44CB1A2">
            <w:pPr>
              <w:spacing w:after="0" w:line="240" w:lineRule="auto"/>
            </w:pPr>
            <w:r>
              <w:t>FR-4 语音播报（TTS）</w:t>
            </w:r>
          </w:p>
        </w:tc>
        <w:tc>
          <w:tcPr>
            <w:tcW w:w="4320" w:type="dxa"/>
            <w:vAlign w:val="center"/>
          </w:tcPr>
          <w:p w14:paraId="3BF25BF2">
            <w:pPr>
              <w:spacing w:after="0" w:line="240" w:lineRule="auto"/>
            </w:pPr>
            <w:r>
              <w:t>SD-4、SD-6</w:t>
            </w:r>
          </w:p>
        </w:tc>
      </w:tr>
      <w:tr w14:paraId="1C644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2D6D88A">
            <w:pPr>
              <w:spacing w:after="0" w:line="240" w:lineRule="auto"/>
            </w:pPr>
            <w:r>
              <w:t>FR-5 移动与站点到达</w:t>
            </w:r>
          </w:p>
        </w:tc>
        <w:tc>
          <w:tcPr>
            <w:tcW w:w="4320" w:type="dxa"/>
            <w:vAlign w:val="center"/>
          </w:tcPr>
          <w:p w14:paraId="62414304">
            <w:pPr>
              <w:spacing w:after="0" w:line="240" w:lineRule="auto"/>
            </w:pPr>
            <w:r>
              <w:t>SD-5、SD-6</w:t>
            </w:r>
          </w:p>
        </w:tc>
      </w:tr>
      <w:tr w14:paraId="530ED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0F548EC">
            <w:pPr>
              <w:spacing w:after="0" w:line="240" w:lineRule="auto"/>
            </w:pPr>
            <w:r>
              <w:t>FR-6 运维与可观测性</w:t>
            </w:r>
          </w:p>
        </w:tc>
        <w:tc>
          <w:tcPr>
            <w:tcW w:w="4320" w:type="dxa"/>
            <w:vAlign w:val="center"/>
          </w:tcPr>
          <w:p w14:paraId="41E6A272">
            <w:pPr>
              <w:spacing w:after="0" w:line="240" w:lineRule="auto"/>
            </w:pPr>
            <w:r>
              <w:t>SD-6</w:t>
            </w:r>
          </w:p>
        </w:tc>
      </w:tr>
      <w:tr w14:paraId="470B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5B99602">
            <w:pPr>
              <w:spacing w:after="0" w:line="240" w:lineRule="auto"/>
            </w:pPr>
            <w:r>
              <w:t>FR-7 历史与复用</w:t>
            </w:r>
          </w:p>
        </w:tc>
        <w:tc>
          <w:tcPr>
            <w:tcW w:w="4320" w:type="dxa"/>
            <w:vAlign w:val="center"/>
          </w:tcPr>
          <w:p w14:paraId="5FAB5ABF">
            <w:pPr>
              <w:spacing w:after="0" w:line="240" w:lineRule="auto"/>
            </w:pPr>
            <w:r>
              <w:t>SD-7</w:t>
            </w:r>
          </w:p>
        </w:tc>
      </w:tr>
      <w:tr w14:paraId="12330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F647283">
            <w:pPr>
              <w:spacing w:after="0" w:line="240" w:lineRule="auto"/>
            </w:pPr>
            <w:r>
              <w:t>FR-8 配置与站点管理</w:t>
            </w:r>
          </w:p>
        </w:tc>
        <w:tc>
          <w:tcPr>
            <w:tcW w:w="4320" w:type="dxa"/>
            <w:vAlign w:val="center"/>
          </w:tcPr>
          <w:p w14:paraId="05183259">
            <w:pPr>
              <w:spacing w:after="0" w:line="240" w:lineRule="auto"/>
            </w:pPr>
            <w:r>
              <w:t>SD-8</w:t>
            </w:r>
          </w:p>
        </w:tc>
      </w:tr>
      <w:tr w14:paraId="0797C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C6B1963">
            <w:pPr>
              <w:spacing w:after="0" w:line="240" w:lineRule="auto"/>
            </w:pPr>
            <w:r>
              <w:t>FR-9 降级与恢复</w:t>
            </w:r>
          </w:p>
        </w:tc>
        <w:tc>
          <w:tcPr>
            <w:tcW w:w="4320" w:type="dxa"/>
            <w:vAlign w:val="center"/>
          </w:tcPr>
          <w:p w14:paraId="297596A0">
            <w:pPr>
              <w:spacing w:after="0" w:line="240" w:lineRule="auto"/>
            </w:pPr>
            <w:r>
              <w:t>SD-9</w:t>
            </w:r>
          </w:p>
        </w:tc>
      </w:tr>
      <w:tr w14:paraId="6D49C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198136F">
            <w:pPr>
              <w:spacing w:after="0" w:line="240" w:lineRule="auto"/>
            </w:pPr>
            <w:r>
              <w:t>FR-10 知识库接入与内容更新</w:t>
            </w:r>
          </w:p>
        </w:tc>
        <w:tc>
          <w:tcPr>
            <w:tcW w:w="4320" w:type="dxa"/>
            <w:vAlign w:val="center"/>
          </w:tcPr>
          <w:p w14:paraId="1D0122EB">
            <w:pPr>
              <w:spacing w:after="0" w:line="240" w:lineRule="auto"/>
            </w:pPr>
            <w:r>
              <w:t>SD-12</w:t>
            </w:r>
          </w:p>
        </w:tc>
      </w:tr>
      <w:tr w14:paraId="7E5D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D770128">
            <w:pPr>
              <w:spacing w:after="0" w:line="240" w:lineRule="auto"/>
            </w:pPr>
            <w:r>
              <w:t>FR-11 数据清洗与导入工具链</w:t>
            </w:r>
          </w:p>
        </w:tc>
        <w:tc>
          <w:tcPr>
            <w:tcW w:w="4320" w:type="dxa"/>
            <w:vAlign w:val="center"/>
          </w:tcPr>
          <w:p w14:paraId="249D544D">
            <w:pPr>
              <w:spacing w:after="0" w:line="240" w:lineRule="auto"/>
            </w:pPr>
            <w:r>
              <w:t>SD-13</w:t>
            </w:r>
          </w:p>
        </w:tc>
      </w:tr>
      <w:tr w14:paraId="15A33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61CE415">
            <w:pPr>
              <w:spacing w:after="0" w:line="240" w:lineRule="auto"/>
            </w:pPr>
            <w:r>
              <w:t>FR-12 权限与密钥管理</w:t>
            </w:r>
          </w:p>
        </w:tc>
        <w:tc>
          <w:tcPr>
            <w:tcW w:w="4320" w:type="dxa"/>
            <w:vAlign w:val="center"/>
          </w:tcPr>
          <w:p w14:paraId="7EE15DE0">
            <w:pPr>
              <w:spacing w:after="0" w:line="240" w:lineRule="auto"/>
            </w:pPr>
            <w:r>
              <w:t>SD-14</w:t>
            </w:r>
          </w:p>
        </w:tc>
      </w:tr>
      <w:tr w14:paraId="5EE1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E53008B">
            <w:pPr>
              <w:spacing w:after="0" w:line="240" w:lineRule="auto"/>
            </w:pPr>
            <w:r>
              <w:t>FR-13 知识库平台部署与权限治理</w:t>
            </w:r>
          </w:p>
        </w:tc>
        <w:tc>
          <w:tcPr>
            <w:tcW w:w="4320" w:type="dxa"/>
            <w:vAlign w:val="center"/>
          </w:tcPr>
          <w:p w14:paraId="1ED252CE">
            <w:pPr>
              <w:spacing w:after="0" w:line="240" w:lineRule="auto"/>
            </w:pPr>
            <w:r>
              <w:t>SD-15</w:t>
            </w:r>
          </w:p>
        </w:tc>
      </w:tr>
      <w:tr w14:paraId="2810B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5AA4AA4">
            <w:pPr>
              <w:spacing w:after="0" w:line="240" w:lineRule="auto"/>
            </w:pPr>
            <w:r>
              <w:t>FR-14 实施计划与人力投入</w:t>
            </w:r>
          </w:p>
        </w:tc>
        <w:tc>
          <w:tcPr>
            <w:tcW w:w="4320" w:type="dxa"/>
            <w:vAlign w:val="center"/>
          </w:tcPr>
          <w:p w14:paraId="3DF01AB6">
            <w:pPr>
              <w:spacing w:after="0" w:line="240" w:lineRule="auto"/>
            </w:pPr>
            <w:r>
              <w:t>SD-16</w:t>
            </w:r>
          </w:p>
        </w:tc>
      </w:tr>
      <w:tr w14:paraId="4E6C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83095A4">
            <w:pPr>
              <w:spacing w:after="0" w:line="240" w:lineRule="auto"/>
            </w:pPr>
            <w:r>
              <w:t>NFR-1 延迟</w:t>
            </w:r>
          </w:p>
        </w:tc>
        <w:tc>
          <w:tcPr>
            <w:tcW w:w="4320" w:type="dxa"/>
            <w:vAlign w:val="center"/>
          </w:tcPr>
          <w:p w14:paraId="5961CE28">
            <w:pPr>
              <w:spacing w:after="0" w:line="240" w:lineRule="auto"/>
            </w:pPr>
            <w:r>
              <w:t>SD-10</w:t>
            </w:r>
          </w:p>
        </w:tc>
      </w:tr>
      <w:tr w14:paraId="78228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8996B23">
            <w:pPr>
              <w:spacing w:after="0" w:line="240" w:lineRule="auto"/>
            </w:pPr>
            <w:r>
              <w:t>NFR-2 稳定</w:t>
            </w:r>
          </w:p>
        </w:tc>
        <w:tc>
          <w:tcPr>
            <w:tcW w:w="4320" w:type="dxa"/>
            <w:vAlign w:val="center"/>
          </w:tcPr>
          <w:p w14:paraId="1E0B58C2">
            <w:pPr>
              <w:spacing w:after="0" w:line="240" w:lineRule="auto"/>
            </w:pPr>
            <w:r>
              <w:t>SD-10</w:t>
            </w:r>
          </w:p>
        </w:tc>
      </w:tr>
      <w:tr w14:paraId="2D865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1297A19">
            <w:pPr>
              <w:spacing w:after="0" w:line="240" w:lineRule="auto"/>
            </w:pPr>
            <w:r>
              <w:t>NFR-3 可维护</w:t>
            </w:r>
          </w:p>
        </w:tc>
        <w:tc>
          <w:tcPr>
            <w:tcW w:w="4320" w:type="dxa"/>
            <w:vAlign w:val="center"/>
          </w:tcPr>
          <w:p w14:paraId="6E0B1272">
            <w:pPr>
              <w:spacing w:after="0" w:line="240" w:lineRule="auto"/>
            </w:pPr>
            <w:r>
              <w:t>SD-11</w:t>
            </w:r>
          </w:p>
        </w:tc>
      </w:tr>
      <w:tr w14:paraId="572BE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3EF47E1">
            <w:pPr>
              <w:spacing w:after="0" w:line="240" w:lineRule="auto"/>
            </w:pPr>
            <w:r>
              <w:t>NFR-4 可扩展</w:t>
            </w:r>
          </w:p>
        </w:tc>
        <w:tc>
          <w:tcPr>
            <w:tcW w:w="4320" w:type="dxa"/>
            <w:vAlign w:val="center"/>
          </w:tcPr>
          <w:p w14:paraId="34CF2FC0">
            <w:pPr>
              <w:spacing w:after="0" w:line="240" w:lineRule="auto"/>
            </w:pPr>
            <w:r>
              <w:t>SD-11</w:t>
            </w:r>
          </w:p>
        </w:tc>
      </w:tr>
      <w:tr w14:paraId="5A0D7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2C6F857">
            <w:pPr>
              <w:spacing w:after="0" w:line="240" w:lineRule="auto"/>
            </w:pPr>
            <w:r>
              <w:t>NFR-5 安全</w:t>
            </w:r>
          </w:p>
        </w:tc>
        <w:tc>
          <w:tcPr>
            <w:tcW w:w="4320" w:type="dxa"/>
            <w:vAlign w:val="center"/>
          </w:tcPr>
          <w:p w14:paraId="502536F9">
            <w:pPr>
              <w:spacing w:after="0" w:line="240" w:lineRule="auto"/>
            </w:pPr>
            <w:r>
              <w:t>SD-14</w:t>
            </w:r>
          </w:p>
        </w:tc>
      </w:tr>
    </w:tbl>
    <w:p w14:paraId="328AC4E2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SD-1 连续讲解（对应 FR-1）</w:t>
      </w:r>
    </w:p>
    <w:p w14:paraId="5BF676C9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SD-1.1 讲解模型</w:t>
      </w:r>
    </w:p>
    <w:p w14:paraId="0A10A5BF">
      <w:pPr>
        <w:pStyle w:val="16"/>
      </w:pPr>
      <w:r>
        <w:rPr>
          <w:b w:val="0"/>
          <w:i w:val="0"/>
        </w:rPr>
        <w:t>“讲解”视为对某个站点的讲解任务，输入为：</w:t>
      </w:r>
    </w:p>
    <w:p w14:paraId="466C3034">
      <w:pPr>
        <w:pStyle w:val="16"/>
      </w:pPr>
      <w:r>
        <w:rPr>
          <w:b w:val="0"/>
          <w:i w:val="0"/>
        </w:rPr>
        <w:t>（每站讲解时长）</w:t>
      </w:r>
    </w:p>
    <w:p w14:paraId="682D05BE">
      <w:pPr>
        <w:pStyle w:val="16"/>
      </w:pPr>
      <w:r>
        <w:rPr>
          <w:b w:val="0"/>
          <w:i w:val="0"/>
        </w:rPr>
        <w:t>（讲解风格：偏通俗/偏专业等，默认值即可）</w:t>
      </w:r>
    </w:p>
    <w:p w14:paraId="69438EA7">
      <w:pPr>
        <w:pStyle w:val="16"/>
      </w:pPr>
      <w:r>
        <w:rPr>
          <w:b w:val="0"/>
          <w:i w:val="0"/>
        </w:rPr>
        <w:t>（上一站结尾承接语，可选）</w:t>
      </w:r>
    </w:p>
    <w:p w14:paraId="79E03AA2">
      <w:pPr>
        <w:pStyle w:val="16"/>
      </w:pPr>
      <w:r>
        <w:rPr>
          <w:b w:val="0"/>
          <w:i w:val="0"/>
        </w:rPr>
        <w:t>输出为：</w:t>
      </w:r>
    </w:p>
    <w:p w14:paraId="70C2375D">
      <w:pPr>
        <w:pStyle w:val="16"/>
      </w:pPr>
      <w:r>
        <w:rPr>
          <w:b w:val="0"/>
          <w:i w:val="0"/>
        </w:rPr>
        <w:t>可播报的分段文本（按段落/句子分段）</w:t>
      </w:r>
    </w:p>
    <w:p w14:paraId="0F25A80B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SD-1.2 讲解控制动作</w:t>
      </w:r>
    </w:p>
    <w:p w14:paraId="7D122275">
      <w:r>
        <w:rPr>
          <w:rFonts w:ascii="微软雅黑" w:hAnsi="微软雅黑" w:eastAsia="微软雅黑"/>
          <w:b w:val="0"/>
          <w:i w:val="0"/>
          <w:strike w:val="0"/>
        </w:rPr>
        <w:t>控制动作（UI 按钮）对应内部事件：</w:t>
      </w:r>
    </w:p>
    <w:p w14:paraId="5E0F2EF4">
      <w:pPr>
        <w:pStyle w:val="16"/>
      </w:pPr>
      <w:r>
        <w:rPr>
          <w:b w:val="0"/>
          <w:i w:val="0"/>
        </w:rPr>
        <w:t>：从第 1 站开始</w:t>
      </w:r>
    </w:p>
    <w:p w14:paraId="56F6D234">
      <w:pPr>
        <w:pStyle w:val="16"/>
      </w:pPr>
      <w:r>
        <w:rPr>
          <w:b w:val="0"/>
          <w:i w:val="0"/>
        </w:rPr>
        <w:t>：暂停（停止播报/停止移动，保留当前进度）</w:t>
      </w:r>
    </w:p>
    <w:p w14:paraId="529BE8E5">
      <w:pPr>
        <w:pStyle w:val="16"/>
      </w:pPr>
      <w:r>
        <w:rPr>
          <w:b w:val="0"/>
          <w:i w:val="0"/>
        </w:rPr>
        <w:t>：继续当前站（若处于暂停）</w:t>
      </w:r>
    </w:p>
    <w:p w14:paraId="3A725ED5">
      <w:pPr>
        <w:pStyle w:val="16"/>
      </w:pPr>
      <w:r>
        <w:rPr>
          <w:b w:val="0"/>
          <w:i w:val="0"/>
        </w:rPr>
        <w:t>：切换站点（需先走到目标站点，再开始讲解）</w:t>
      </w:r>
    </w:p>
    <w:p w14:paraId="75A587F0">
      <w:pPr>
        <w:pStyle w:val="16"/>
      </w:pPr>
      <w:r>
        <w:rPr>
          <w:b w:val="0"/>
          <w:i w:val="0"/>
        </w:rPr>
        <w:t>：清空状态，回到 idle</w:t>
      </w:r>
    </w:p>
    <w:p w14:paraId="11556196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SD-1.3 承接策略（避免重复过渡）</w:t>
      </w:r>
    </w:p>
    <w:p w14:paraId="4ED8C4F2">
      <w:pPr>
        <w:pStyle w:val="16"/>
      </w:pPr>
      <w:r>
        <w:rPr>
          <w:b w:val="0"/>
          <w:i w:val="0"/>
        </w:rPr>
        <w:t>保存上一站讲解尾句（例如最后 1~2 句）</w:t>
      </w:r>
    </w:p>
    <w:p w14:paraId="13BA1514">
      <w:pPr>
        <w:pStyle w:val="16"/>
      </w:pPr>
      <w:r>
        <w:rPr>
          <w:b w:val="0"/>
          <w:i w:val="0"/>
        </w:rPr>
        <w:t>若尾句含“接下来/下一站/欢迎来到”等过渡词，则在下一站开头压缩/清空尾句，减少撞词</w:t>
      </w:r>
    </w:p>
    <w:p w14:paraId="789EE8AB">
      <w:pPr>
        <w:pStyle w:val="16"/>
      </w:pPr>
      <w:r>
        <w:rPr>
          <w:b w:val="0"/>
          <w:i w:val="0"/>
        </w:rPr>
        <w:t>下一站 prompt 加入：</w:t>
      </w:r>
    </w:p>
    <w:p w14:paraId="13CA632E">
      <w:pPr>
        <w:pStyle w:val="16"/>
      </w:pPr>
      <w:r>
        <w:rPr>
          <w:b w:val="0"/>
          <w:i w:val="0"/>
        </w:rPr>
        <w:t>“衔接要求”（连续模式下避免固定话术）</w:t>
      </w:r>
    </w:p>
    <w:p w14:paraId="66993AFD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SD-2 问答与打断机制（对应 FR-2）</w:t>
      </w:r>
    </w:p>
    <w:p w14:paraId="008611F5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SD-2.1 request_id 与 run_id</w:t>
      </w:r>
    </w:p>
    <w:p w14:paraId="683ED9D0">
      <w:pPr>
        <w:pStyle w:val="16"/>
      </w:pPr>
      <w:r>
        <w:rPr>
          <w:b w:val="0"/>
          <w:i w:val="0"/>
        </w:rPr>
        <w:t>每次问答/讲解请求生成（用于全链路追踪与取消）</w:t>
      </w:r>
    </w:p>
    <w:p w14:paraId="26E1584D">
      <w:pPr>
        <w:pStyle w:val="16"/>
      </w:pPr>
      <w:r>
        <w:rPr>
          <w:b w:val="0"/>
          <w:i w:val="0"/>
        </w:rPr>
        <w:t>前端（控制端）保存当前活动 与</w:t>
      </w:r>
    </w:p>
    <w:p w14:paraId="0116668D">
      <w:pPr>
        <w:pStyle w:val="16"/>
      </w:pPr>
      <w:r>
        <w:rPr>
          <w:b w:val="0"/>
          <w:i w:val="0"/>
        </w:rPr>
        <w:t>新请求进入时：</w:t>
      </w:r>
    </w:p>
    <w:p w14:paraId="3AFAE979">
      <w:pPr>
        <w:pStyle w:val="16"/>
      </w:pPr>
      <w:r>
        <w:rPr>
          <w:b w:val="0"/>
          <w:i w:val="0"/>
        </w:rPr>
        <w:t>发送 到服务端（服务端必须让 in-flight 处理尽快退出）</w:t>
      </w:r>
    </w:p>
    <w:p w14:paraId="36FF5C65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SD-2.2 取消的范围</w:t>
      </w:r>
    </w:p>
    <w:p w14:paraId="2DCBD63A">
      <w:r>
        <w:rPr>
          <w:rFonts w:ascii="微软雅黑" w:hAnsi="微软雅黑" w:eastAsia="微软雅黑"/>
          <w:b w:val="0"/>
          <w:i w:val="0"/>
          <w:strike w:val="0"/>
        </w:rPr>
        <w:t>取消必须覆盖：</w:t>
      </w:r>
    </w:p>
    <w:p w14:paraId="39DE2720">
      <w:pPr>
        <w:pStyle w:val="16"/>
      </w:pPr>
      <w:r>
        <w:rPr>
          <w:b w:val="0"/>
          <w:i w:val="0"/>
        </w:rPr>
        <w:t>正在进行的问答/讲解文本流（RAG/SSE）</w:t>
      </w:r>
    </w:p>
    <w:p w14:paraId="50790A9A">
      <w:pPr>
        <w:pStyle w:val="16"/>
      </w:pPr>
      <w:r>
        <w:rPr>
          <w:b w:val="0"/>
          <w:i w:val="0"/>
        </w:rPr>
        <w:t>TTS 合成请求（若已发起）</w:t>
      </w:r>
    </w:p>
    <w:p w14:paraId="569B8A2A">
      <w:pPr>
        <w:pStyle w:val="16"/>
      </w:pPr>
      <w:r>
        <w:rPr>
          <w:b w:val="0"/>
          <w:i w:val="0"/>
        </w:rPr>
        <w:t>音频播放（控制端）</w:t>
      </w:r>
    </w:p>
    <w:p w14:paraId="1B109FF1">
      <w:pPr>
        <w:pStyle w:val="16"/>
      </w:pPr>
      <w:r>
        <w:rPr>
          <w:b w:val="0"/>
          <w:i w:val="0"/>
        </w:rPr>
        <w:t>ASR（若在录音/上传/识别）</w:t>
      </w:r>
    </w:p>
    <w:p w14:paraId="74D3D900">
      <w:pPr>
        <w:pStyle w:val="16"/>
      </w:pPr>
      <w:r>
        <w:rPr>
          <w:b w:val="0"/>
          <w:i w:val="0"/>
        </w:rPr>
        <w:t>移动（若正在前往站点）</w:t>
      </w:r>
    </w:p>
    <w:p w14:paraId="504D3FC5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SD-2.3 问答结束后的继续策略</w:t>
      </w:r>
    </w:p>
    <w:p w14:paraId="603D6EAA">
      <w:pPr>
        <w:pStyle w:val="16"/>
      </w:pPr>
      <w:r>
        <w:rPr>
          <w:b w:val="0"/>
          <w:i w:val="0"/>
        </w:rPr>
        <w:t>问答结束后，提供两个恢复入口：</w:t>
      </w:r>
    </w:p>
    <w:p w14:paraId="37D5D938">
      <w:pPr>
        <w:pStyle w:val="16"/>
      </w:pPr>
      <w:r>
        <w:rPr>
          <w:b w:val="0"/>
          <w:i w:val="0"/>
        </w:rPr>
        <w:t>“进入下一站”（切站并讲解）</w:t>
      </w:r>
    </w:p>
    <w:p w14:paraId="67E38DA3">
      <w:pPr>
        <w:pStyle w:val="16"/>
      </w:pPr>
      <w:r>
        <w:rPr>
          <w:b w:val="0"/>
          <w:i w:val="0"/>
        </w:rPr>
        <w:t>恢复时仍遵循承接策略（避免重复开场）</w:t>
      </w:r>
    </w:p>
    <w:p w14:paraId="3C4665FC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SD-3 语音输入（ASR）（对应 FR-3）</w:t>
      </w:r>
    </w:p>
    <w:p w14:paraId="00F3EFA9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SD-3.1 交互策略</w:t>
      </w:r>
    </w:p>
    <w:p w14:paraId="65F6D872">
      <w:pPr>
        <w:pStyle w:val="16"/>
      </w:pPr>
      <w:r>
        <w:rPr>
          <w:b w:val="0"/>
          <w:i w:val="0"/>
        </w:rPr>
        <w:t>语音输入默认流程：</w:t>
      </w:r>
    </w:p>
    <w:p w14:paraId="7A1E4883">
      <w:pPr>
        <w:pStyle w:val="16"/>
      </w:pPr>
      <w:r>
        <w:rPr>
          <w:b w:val="0"/>
          <w:i w:val="0"/>
        </w:rPr>
        <w:t>结束录音后上传识别</w:t>
      </w:r>
    </w:p>
    <w:p w14:paraId="574BB746">
      <w:pPr>
        <w:pStyle w:val="16"/>
      </w:pPr>
      <w:r>
        <w:rPr>
          <w:b w:val="0"/>
          <w:i w:val="0"/>
        </w:rPr>
        <w:t>识别结果回填到输入框（不自动提交）</w:t>
      </w:r>
    </w:p>
    <w:p w14:paraId="605E02E1">
      <w:pPr>
        <w:pStyle w:val="16"/>
      </w:pPr>
      <w:r>
        <w:rPr>
          <w:b w:val="0"/>
          <w:i w:val="0"/>
        </w:rPr>
        <w:t>识别失败提示：</w:t>
      </w:r>
    </w:p>
    <w:p w14:paraId="1814D721">
      <w:pPr>
        <w:pStyle w:val="16"/>
      </w:pPr>
      <w:r>
        <w:rPr>
          <w:b w:val="0"/>
          <w:i w:val="0"/>
        </w:rPr>
        <w:t>提供“重试”和“手动输入”入口</w:t>
      </w:r>
    </w:p>
    <w:p w14:paraId="3EDAC8E9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SD-3.2 音频处理约定</w:t>
      </w:r>
    </w:p>
    <w:p w14:paraId="34C78D70">
      <w:pPr>
        <w:pStyle w:val="16"/>
      </w:pPr>
      <w:r>
        <w:rPr>
          <w:b w:val="0"/>
          <w:i w:val="0"/>
        </w:rPr>
        <w:t>采样率统一到 16k mono（如录音为 48k/双声道，控制端需转码）</w:t>
      </w:r>
    </w:p>
    <w:p w14:paraId="263F8D25">
      <w:pPr>
        <w:pStyle w:val="16"/>
      </w:pPr>
      <w:r>
        <w:rPr>
          <w:b w:val="0"/>
          <w:i w:val="0"/>
        </w:rPr>
        <w:t>上传格式以浏览器可用为准（webm/ogg/mp4），服务端负责兼容解码或要求控制端转 wav</w:t>
      </w:r>
    </w:p>
    <w:p w14:paraId="0978E07A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SD-4 语音播报（TTS）（对应 FR-4）</w:t>
      </w:r>
    </w:p>
    <w:p w14:paraId="3ED1B10A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SD-4.1 流式播报与分段</w:t>
      </w:r>
    </w:p>
    <w:p w14:paraId="244A9266">
      <w:pPr>
        <w:pStyle w:val="16"/>
      </w:pPr>
      <w:r>
        <w:rPr>
          <w:b w:val="0"/>
          <w:i w:val="0"/>
        </w:rPr>
        <w:t>播报以“段”为单位：每个段落独立合成并立刻播放（边合成边播）</w:t>
      </w:r>
    </w:p>
    <w:p w14:paraId="29D755F1">
      <w:pPr>
        <w:pStyle w:val="16"/>
      </w:pPr>
      <w:r>
        <w:rPr>
          <w:b w:val="0"/>
          <w:i w:val="0"/>
        </w:rPr>
        <w:t>段落来源：</w:t>
      </w:r>
    </w:p>
    <w:p w14:paraId="11CADC7D">
      <w:pPr>
        <w:pStyle w:val="16"/>
      </w:pPr>
      <w:r>
        <w:rPr>
          <w:b w:val="0"/>
          <w:i w:val="0"/>
        </w:rPr>
        <w:t>若无 segment，控制端可按标点/字数做兜底分段（但优先以服务端分段为准）</w:t>
      </w:r>
    </w:p>
    <w:p w14:paraId="25B69824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SD-4.2 播放控制</w:t>
      </w:r>
    </w:p>
    <w:p w14:paraId="5C03408E">
      <w:pPr>
        <w:pStyle w:val="16"/>
      </w:pPr>
      <w:r>
        <w:rPr>
          <w:b w:val="0"/>
          <w:i w:val="0"/>
        </w:rPr>
        <w:t>播放队列支持：</w:t>
      </w:r>
    </w:p>
    <w:p w14:paraId="163CE41D">
      <w:pPr>
        <w:pStyle w:val="16"/>
      </w:pPr>
      <w:r>
        <w:rPr>
          <w:b w:val="0"/>
          <w:i w:val="0"/>
        </w:rPr>
        <w:t>快速停止当前音频</w:t>
      </w:r>
    </w:p>
    <w:p w14:paraId="1013F4B7">
      <w:pPr>
        <w:pStyle w:val="16"/>
      </w:pPr>
      <w:r>
        <w:rPr>
          <w:b w:val="0"/>
          <w:i w:val="0"/>
        </w:rPr>
        <w:t>禁止重入（同一时刻只允许一个播放 run）</w:t>
      </w:r>
    </w:p>
    <w:p w14:paraId="42C047BE">
      <w:pPr>
        <w:pStyle w:val="16"/>
      </w:pPr>
      <w:r>
        <w:rPr>
          <w:b w:val="0"/>
          <w:i w:val="0"/>
        </w:rPr>
        <w:t>打断触发后：</w:t>
      </w:r>
    </w:p>
    <w:p w14:paraId="7BC115D4">
      <w:pPr>
        <w:pStyle w:val="16"/>
      </w:pPr>
      <w:r>
        <w:rPr>
          <w:b w:val="0"/>
          <w:i w:val="0"/>
        </w:rPr>
        <w:t>丢弃所有未播放的段落与未完成的合成请求</w:t>
      </w:r>
    </w:p>
    <w:p w14:paraId="1DB4C235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SD-4.3 白噪音与卡顿控制</w:t>
      </w:r>
    </w:p>
    <w:p w14:paraId="421F7EC4">
      <w:pPr>
        <w:pStyle w:val="16"/>
      </w:pPr>
      <w:r>
        <w:rPr>
          <w:b w:val="0"/>
          <w:i w:val="0"/>
        </w:rPr>
        <w:t>采样率统一（建议 16k）</w:t>
      </w:r>
    </w:p>
    <w:p w14:paraId="59F051DC">
      <w:pPr>
        <w:pStyle w:val="16"/>
      </w:pPr>
      <w:r>
        <w:rPr>
          <w:b w:val="0"/>
          <w:i w:val="0"/>
        </w:rPr>
        <w:t>流式 wav 处理：只处理首段 header，后续只喂 PCM（避免重复 header 造成噪音）</w:t>
      </w:r>
    </w:p>
    <w:p w14:paraId="03B78284">
      <w:pPr>
        <w:pStyle w:val="16"/>
      </w:pPr>
      <w:r>
        <w:rPr>
          <w:b w:val="0"/>
          <w:i w:val="0"/>
        </w:rPr>
        <w:t>异常音频：检测连续静音/异常幅度，触发降级（仅文本展示 + 可重试）</w:t>
      </w:r>
    </w:p>
    <w:p w14:paraId="0B35BAAA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SD-5 移动与站点到达（对应 FR-5、关联 FR-1）</w:t>
      </w:r>
    </w:p>
    <w:p w14:paraId="0C8A9DD4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SD-5.1 对接方式</w:t>
      </w:r>
    </w:p>
    <w:p w14:paraId="5EC7888B">
      <w:pPr>
        <w:pStyle w:val="16"/>
      </w:pPr>
      <w:r>
        <w:rPr>
          <w:b w:val="0"/>
          <w:i w:val="0"/>
        </w:rPr>
        <w:t>软件侧只依赖“对接能力语义”，不绑定协议细节：</w:t>
      </w:r>
    </w:p>
    <w:p w14:paraId="0F9C20BA">
      <w:pPr>
        <w:pStyle w:val="16"/>
      </w:pPr>
      <w:r>
        <w:rPr>
          <w:b w:val="0"/>
          <w:i w:val="0"/>
        </w:rPr>
        <w:t>：取消移动</w:t>
      </w:r>
    </w:p>
    <w:p w14:paraId="184C18FB">
      <w:pPr>
        <w:pStyle w:val="16"/>
      </w:pPr>
      <w:r>
        <w:rPr>
          <w:b w:val="0"/>
          <w:i w:val="0"/>
        </w:rPr>
        <w:t>：查询状态（idle/moving/arrived/failed/cancelled/estop）</w:t>
      </w:r>
    </w:p>
    <w:p w14:paraId="6B7588DF">
      <w:pPr>
        <w:pStyle w:val="16"/>
      </w:pPr>
      <w:r>
        <w:rPr>
          <w:b w:val="0"/>
          <w:i w:val="0"/>
        </w:rPr>
        <w:t>站点 ID 以配置为准，与第三方站点清单一致</w:t>
      </w:r>
    </w:p>
    <w:p w14:paraId="6998529B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SD-5.2 讲解与移动联动</w:t>
      </w:r>
    </w:p>
    <w:p w14:paraId="15667292">
      <w:pPr>
        <w:pStyle w:val="16"/>
      </w:pPr>
      <w:r>
        <w:rPr>
          <w:b w:val="0"/>
          <w:i w:val="0"/>
        </w:rPr>
        <w:t>切站动作（next/prev/jump/start）流程：</w:t>
      </w:r>
    </w:p>
    <w:p w14:paraId="4BA72F6D">
      <w:pPr>
        <w:pStyle w:val="16"/>
      </w:pPr>
      <w:r>
        <w:rPr>
          <w:b w:val="0"/>
          <w:i w:val="0"/>
        </w:rPr>
        <w:t>监听到站（arrived）后触发该站讲解请求</w:t>
      </w:r>
    </w:p>
    <w:p w14:paraId="0AE411BC">
      <w:pPr>
        <w:pStyle w:val="16"/>
      </w:pPr>
      <w:r>
        <w:rPr>
          <w:b w:val="0"/>
          <w:i w:val="0"/>
        </w:rPr>
        <w:t>移动失败（failed/estop/timeout）则停止并提示人工介入，不进入讲解</w:t>
      </w:r>
    </w:p>
    <w:p w14:paraId="18E9F998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SD-5.3 异常处理</w:t>
      </w:r>
    </w:p>
    <w:p w14:paraId="4324D0FD">
      <w:pPr>
        <w:pStyle w:val="16"/>
      </w:pPr>
      <w:r>
        <w:rPr>
          <w:b w:val="0"/>
          <w:i w:val="0"/>
        </w:rPr>
        <w:t>：提示“移动失败，请人工协助”，并提供“重试移动/跳过该站/暂停”按钮</w:t>
      </w:r>
    </w:p>
    <w:p w14:paraId="045E6810">
      <w:pPr>
        <w:pStyle w:val="16"/>
      </w:pPr>
      <w:r>
        <w:rPr>
          <w:b w:val="0"/>
          <w:i w:val="0"/>
        </w:rPr>
        <w:t>：进入锁定状态，提示“急停已触发”，必须人工复位后才能继续</w:t>
      </w:r>
    </w:p>
    <w:p w14:paraId="78949564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SD-6 运维与可观测性（对应 FR-6、关联 FR-2/3/4/5）</w:t>
      </w:r>
    </w:p>
    <w:p w14:paraId="5DEBF99E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SD-6.1 关键指标</w:t>
      </w:r>
    </w:p>
    <w:p w14:paraId="164391FA">
      <w:r>
        <w:rPr>
          <w:rFonts w:ascii="微软雅黑" w:hAnsi="微软雅黑" w:eastAsia="微软雅黑"/>
          <w:b w:val="0"/>
          <w:i w:val="0"/>
          <w:strike w:val="0"/>
        </w:rPr>
        <w:t>每次请求至少记录：</w:t>
      </w:r>
    </w:p>
    <w:p w14:paraId="576BF82B">
      <w:pPr>
        <w:pStyle w:val="16"/>
      </w:pPr>
      <w:r>
        <w:rPr>
          <w:b w:val="0"/>
          <w:i w:val="0"/>
        </w:rPr>
        <w:t>、、、动作类型（讲解/问答/切站）</w:t>
      </w:r>
    </w:p>
    <w:p w14:paraId="69C994C7">
      <w:pPr>
        <w:pStyle w:val="16"/>
      </w:pPr>
      <w:r>
        <w:rPr>
          <w:b w:val="0"/>
          <w:i w:val="0"/>
        </w:rPr>
        <w:t>时间线（建议字段）：</w:t>
      </w:r>
    </w:p>
    <w:p w14:paraId="62D796F9">
      <w:pPr>
        <w:pStyle w:val="16"/>
      </w:pPr>
      <w:r>
        <w:rPr>
          <w:b w:val="0"/>
          <w:i w:val="0"/>
        </w:rPr>
        <w:t>（获取到第一段内容）</w:t>
      </w:r>
    </w:p>
    <w:p w14:paraId="328853F9">
      <w:pPr>
        <w:pStyle w:val="16"/>
      </w:pPr>
      <w:r>
        <w:rPr>
          <w:b w:val="0"/>
          <w:i w:val="0"/>
        </w:rPr>
        <w:t>（第一段可播报文本产生）</w:t>
      </w:r>
    </w:p>
    <w:p w14:paraId="23A465EF">
      <w:pPr>
        <w:pStyle w:val="16"/>
      </w:pPr>
      <w:r>
        <w:rPr>
          <w:b w:val="0"/>
          <w:i w:val="0"/>
        </w:rPr>
        <w:t>（第一包音频到达）</w:t>
      </w:r>
    </w:p>
    <w:p w14:paraId="445EECC2">
      <w:pPr>
        <w:pStyle w:val="16"/>
      </w:pPr>
      <w:r>
        <w:rPr>
          <w:b w:val="0"/>
          <w:i w:val="0"/>
        </w:rPr>
        <w:t>（播报完成）</w:t>
      </w:r>
    </w:p>
    <w:p w14:paraId="2B68A21A">
      <w:pPr>
        <w:pStyle w:val="16"/>
      </w:pPr>
      <w:r>
        <w:rPr>
          <w:b w:val="0"/>
          <w:i w:val="0"/>
        </w:rPr>
        <w:t>移动状态事件：</w:t>
      </w:r>
    </w:p>
    <w:p w14:paraId="7EF5B77C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SD-6.1.1 指标口径表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A4A1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vAlign w:val="center"/>
          </w:tcPr>
          <w:p w14:paraId="2DD399C7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1728" w:type="dxa"/>
            <w:vAlign w:val="center"/>
          </w:tcPr>
          <w:p w14:paraId="60D65431">
            <w:pPr>
              <w:spacing w:after="0" w:line="240" w:lineRule="auto"/>
            </w:pPr>
            <w:r>
              <w:rPr>
                <w:b/>
              </w:rPr>
              <w:t>来源</w:t>
            </w:r>
          </w:p>
        </w:tc>
        <w:tc>
          <w:tcPr>
            <w:tcW w:w="1728" w:type="dxa"/>
            <w:vAlign w:val="center"/>
          </w:tcPr>
          <w:p w14:paraId="4A980BEC">
            <w:pPr>
              <w:spacing w:after="0" w:line="240" w:lineRule="auto"/>
            </w:pPr>
            <w:r>
              <w:rPr>
                <w:b/>
              </w:rPr>
              <w:t>计算口径</w:t>
            </w:r>
          </w:p>
        </w:tc>
        <w:tc>
          <w:tcPr>
            <w:tcW w:w="1728" w:type="dxa"/>
            <w:vAlign w:val="center"/>
          </w:tcPr>
          <w:p w14:paraId="05CD019D">
            <w:pPr>
              <w:spacing w:after="0" w:line="240" w:lineRule="auto"/>
            </w:pPr>
            <w:r>
              <w:rPr>
                <w:b/>
              </w:rPr>
              <w:t>依赖</w:t>
            </w:r>
          </w:p>
        </w:tc>
        <w:tc>
          <w:tcPr>
            <w:tcW w:w="1728" w:type="dxa"/>
            <w:vAlign w:val="center"/>
          </w:tcPr>
          <w:p w14:paraId="4B15288B">
            <w:pPr>
              <w:spacing w:after="0" w:line="240" w:lineRule="auto"/>
            </w:pPr>
            <w:r>
              <w:rPr>
                <w:b/>
              </w:rPr>
              <w:t>验收方式</w:t>
            </w:r>
          </w:p>
        </w:tc>
      </w:tr>
      <w:tr w14:paraId="076A6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8548C11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29AF40DD">
            <w:pPr>
              <w:spacing w:after="0" w:line="240" w:lineRule="auto"/>
            </w:pPr>
            <w:r>
              <w:t xml:space="preserve">后端 </w:t>
            </w:r>
          </w:p>
        </w:tc>
        <w:tc>
          <w:tcPr>
            <w:tcW w:w="1728" w:type="dxa"/>
            <w:vAlign w:val="center"/>
          </w:tcPr>
          <w:p w14:paraId="48E35162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30C9FF99">
            <w:pPr>
              <w:spacing w:after="0" w:line="240" w:lineRule="auto"/>
            </w:pPr>
            <w:r>
              <w:t>无</w:t>
            </w:r>
          </w:p>
        </w:tc>
        <w:tc>
          <w:tcPr>
            <w:tcW w:w="1728" w:type="dxa"/>
            <w:vAlign w:val="center"/>
          </w:tcPr>
          <w:p w14:paraId="21B8C35F">
            <w:pPr>
              <w:spacing w:after="0" w:line="240" w:lineRule="auto"/>
            </w:pPr>
            <w:r>
              <w:t xml:space="preserve">发起一次问答后，查询 </w:t>
            </w:r>
          </w:p>
        </w:tc>
      </w:tr>
      <w:tr w14:paraId="60FC1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524AC18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5FC342DF">
            <w:pPr>
              <w:spacing w:after="0" w:line="240" w:lineRule="auto"/>
            </w:pPr>
            <w:r>
              <w:t xml:space="preserve">后端 </w:t>
            </w:r>
          </w:p>
        </w:tc>
        <w:tc>
          <w:tcPr>
            <w:tcW w:w="1728" w:type="dxa"/>
            <w:vAlign w:val="center"/>
          </w:tcPr>
          <w:p w14:paraId="28EDB65B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5F19070A">
            <w:pPr>
              <w:spacing w:after="0" w:line="240" w:lineRule="auto"/>
            </w:pPr>
            <w:r>
              <w:t>无</w:t>
            </w:r>
          </w:p>
        </w:tc>
        <w:tc>
          <w:tcPr>
            <w:tcW w:w="1728" w:type="dxa"/>
            <w:vAlign w:val="center"/>
          </w:tcPr>
          <w:p w14:paraId="0866A07F">
            <w:pPr>
              <w:spacing w:after="0" w:line="240" w:lineRule="auto"/>
            </w:pPr>
            <w:r>
              <w:t>同上</w:t>
            </w:r>
          </w:p>
        </w:tc>
      </w:tr>
      <w:tr w14:paraId="7F806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5E08ADA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474E6638">
            <w:pPr>
              <w:spacing w:after="0" w:line="240" w:lineRule="auto"/>
            </w:pPr>
            <w:r>
              <w:t xml:space="preserve">后端 </w:t>
            </w:r>
          </w:p>
        </w:tc>
        <w:tc>
          <w:tcPr>
            <w:tcW w:w="1728" w:type="dxa"/>
            <w:vAlign w:val="center"/>
          </w:tcPr>
          <w:p w14:paraId="5D6B3C33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4F7801FC">
            <w:pPr>
              <w:spacing w:after="0" w:line="240" w:lineRule="auto"/>
            </w:pPr>
            <w:r>
              <w:t>无</w:t>
            </w:r>
          </w:p>
        </w:tc>
        <w:tc>
          <w:tcPr>
            <w:tcW w:w="1728" w:type="dxa"/>
            <w:vAlign w:val="center"/>
          </w:tcPr>
          <w:p w14:paraId="2E72AC99">
            <w:pPr>
              <w:spacing w:after="0" w:line="240" w:lineRule="auto"/>
            </w:pPr>
            <w:r>
              <w:t>同上</w:t>
            </w:r>
          </w:p>
        </w:tc>
      </w:tr>
      <w:tr w14:paraId="69D4E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4E33F96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5C7323FC">
            <w:pPr>
              <w:spacing w:after="0" w:line="240" w:lineRule="auto"/>
            </w:pPr>
            <w:r>
              <w:t xml:space="preserve">后端 </w:t>
            </w:r>
          </w:p>
        </w:tc>
        <w:tc>
          <w:tcPr>
            <w:tcW w:w="1728" w:type="dxa"/>
            <w:vAlign w:val="center"/>
          </w:tcPr>
          <w:p w14:paraId="3B8CA887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2E2E9D8D">
            <w:pPr>
              <w:spacing w:after="0" w:line="240" w:lineRule="auto"/>
            </w:pPr>
            <w:r>
              <w:t>前端需回传  事件</w:t>
            </w:r>
          </w:p>
        </w:tc>
        <w:tc>
          <w:tcPr>
            <w:tcW w:w="1728" w:type="dxa"/>
            <w:vAlign w:val="center"/>
          </w:tcPr>
          <w:p w14:paraId="6261CDF8">
            <w:pPr>
              <w:spacing w:after="0" w:line="240" w:lineRule="auto"/>
            </w:pPr>
            <w:r>
              <w:t>同上</w:t>
            </w:r>
          </w:p>
        </w:tc>
      </w:tr>
      <w:tr w14:paraId="68E0E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6AFB00B">
            <w:pPr>
              <w:spacing w:after="0" w:line="240" w:lineRule="auto"/>
            </w:pPr>
            <w:r>
              <w:t>事件时间线导出</w:t>
            </w:r>
          </w:p>
        </w:tc>
        <w:tc>
          <w:tcPr>
            <w:tcW w:w="1728" w:type="dxa"/>
            <w:vAlign w:val="center"/>
          </w:tcPr>
          <w:p w14:paraId="7AE23458">
            <w:pPr>
              <w:spacing w:after="0" w:line="240" w:lineRule="auto"/>
            </w:pPr>
            <w:r>
              <w:t xml:space="preserve">后端 </w:t>
            </w:r>
          </w:p>
        </w:tc>
        <w:tc>
          <w:tcPr>
            <w:tcW w:w="1728" w:type="dxa"/>
            <w:vAlign w:val="center"/>
          </w:tcPr>
          <w:p w14:paraId="1F48D8FE">
            <w:pPr>
              <w:spacing w:after="0" w:line="240" w:lineRule="auto"/>
            </w:pPr>
            <w:r>
              <w:t>NDJSON 每行一个 event（含 ）</w:t>
            </w:r>
          </w:p>
        </w:tc>
        <w:tc>
          <w:tcPr>
            <w:tcW w:w="1728" w:type="dxa"/>
            <w:vAlign w:val="center"/>
          </w:tcPr>
          <w:p w14:paraId="326A2406">
            <w:pPr>
              <w:spacing w:after="0" w:line="240" w:lineRule="auto"/>
            </w:pPr>
            <w:r>
              <w:t>无</w:t>
            </w:r>
          </w:p>
        </w:tc>
        <w:tc>
          <w:tcPr>
            <w:tcW w:w="1728" w:type="dxa"/>
            <w:vAlign w:val="center"/>
          </w:tcPr>
          <w:p w14:paraId="19165344">
            <w:pPr>
              <w:spacing w:after="0" w:line="240" w:lineRule="auto"/>
            </w:pPr>
          </w:p>
        </w:tc>
      </w:tr>
      <w:tr w14:paraId="3DAEF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0554EC8">
            <w:pPr>
              <w:spacing w:after="0" w:line="240" w:lineRule="auto"/>
            </w:pPr>
            <w:r>
              <w:t>一键诊断</w:t>
            </w:r>
          </w:p>
        </w:tc>
        <w:tc>
          <w:tcPr>
            <w:tcW w:w="1728" w:type="dxa"/>
            <w:vAlign w:val="center"/>
          </w:tcPr>
          <w:p w14:paraId="1057F2F1">
            <w:pPr>
              <w:spacing w:after="0" w:line="240" w:lineRule="auto"/>
            </w:pPr>
            <w:r>
              <w:t xml:space="preserve">后端 </w:t>
            </w:r>
          </w:p>
        </w:tc>
        <w:tc>
          <w:tcPr>
            <w:tcW w:w="1728" w:type="dxa"/>
            <w:vAlign w:val="center"/>
          </w:tcPr>
          <w:p w14:paraId="4D825570">
            <w:pPr>
              <w:spacing w:after="0" w:line="240" w:lineRule="auto"/>
            </w:pPr>
            <w:r>
              <w:t>返回依赖/连通/离线资产概况</w:t>
            </w:r>
          </w:p>
        </w:tc>
        <w:tc>
          <w:tcPr>
            <w:tcW w:w="1728" w:type="dxa"/>
            <w:vAlign w:val="center"/>
          </w:tcPr>
          <w:p w14:paraId="5EE412FF">
            <w:pPr>
              <w:spacing w:after="0" w:line="240" w:lineRule="auto"/>
            </w:pPr>
            <w:r>
              <w:t>无</w:t>
            </w:r>
          </w:p>
        </w:tc>
        <w:tc>
          <w:tcPr>
            <w:tcW w:w="1728" w:type="dxa"/>
            <w:vAlign w:val="center"/>
          </w:tcPr>
          <w:p w14:paraId="67F5C03E">
            <w:pPr>
              <w:spacing w:after="0" w:line="240" w:lineRule="auto"/>
            </w:pPr>
            <w:r>
              <w:t xml:space="preserve">访问 </w:t>
            </w:r>
          </w:p>
        </w:tc>
      </w:tr>
      <w:tr w14:paraId="4A51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80C1B99">
            <w:pPr>
              <w:spacing w:after="0" w:line="240" w:lineRule="auto"/>
            </w:pPr>
            <w:r>
              <w:t>日志导出</w:t>
            </w:r>
          </w:p>
        </w:tc>
        <w:tc>
          <w:tcPr>
            <w:tcW w:w="1728" w:type="dxa"/>
            <w:vAlign w:val="center"/>
          </w:tcPr>
          <w:p w14:paraId="0651F8E2">
            <w:pPr>
              <w:spacing w:after="0" w:line="240" w:lineRule="auto"/>
            </w:pPr>
            <w:r>
              <w:t xml:space="preserve">后端 </w:t>
            </w:r>
          </w:p>
        </w:tc>
        <w:tc>
          <w:tcPr>
            <w:tcW w:w="1728" w:type="dxa"/>
            <w:vAlign w:val="center"/>
          </w:tcPr>
          <w:p w14:paraId="30AE70A2">
            <w:pPr>
              <w:spacing w:after="0" w:line="240" w:lineRule="auto"/>
            </w:pPr>
            <w:r>
              <w:t xml:space="preserve"> + </w:t>
            </w:r>
          </w:p>
        </w:tc>
        <w:tc>
          <w:tcPr>
            <w:tcW w:w="1728" w:type="dxa"/>
            <w:vAlign w:val="center"/>
          </w:tcPr>
          <w:p w14:paraId="032D3FD1">
            <w:pPr>
              <w:spacing w:after="0" w:line="240" w:lineRule="auto"/>
            </w:pPr>
            <w:r>
              <w:t>无</w:t>
            </w:r>
          </w:p>
        </w:tc>
        <w:tc>
          <w:tcPr>
            <w:tcW w:w="1728" w:type="dxa"/>
            <w:vAlign w:val="center"/>
          </w:tcPr>
          <w:p w14:paraId="5261A011">
            <w:pPr>
              <w:spacing w:after="0" w:line="240" w:lineRule="auto"/>
            </w:pPr>
            <w:r>
              <w:t xml:space="preserve">访问  与 </w:t>
            </w:r>
          </w:p>
        </w:tc>
      </w:tr>
    </w:tbl>
    <w:p w14:paraId="220AA1D6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SD-6.2 调试面板</w:t>
      </w:r>
    </w:p>
    <w:p w14:paraId="644589DE">
      <w:r>
        <w:rPr>
          <w:rFonts w:ascii="微软雅黑" w:hAnsi="微软雅黑" w:eastAsia="微软雅黑"/>
          <w:b w:val="0"/>
          <w:i w:val="0"/>
          <w:strike w:val="0"/>
        </w:rPr>
        <w:t>调试面板至少展示：</w:t>
      </w:r>
    </w:p>
    <w:p w14:paraId="33DB04DC">
      <w:pPr>
        <w:pStyle w:val="16"/>
      </w:pPr>
      <w:r>
        <w:rPr>
          <w:b w:val="0"/>
          <w:i w:val="0"/>
        </w:rPr>
        <w:t>当前站点与移动状态</w:t>
      </w:r>
    </w:p>
    <w:p w14:paraId="2FB5F7A2">
      <w:pPr>
        <w:pStyle w:val="16"/>
      </w:pPr>
      <w:r>
        <w:rPr>
          <w:b w:val="0"/>
          <w:i w:val="0"/>
        </w:rPr>
        <w:t>当前请求的关键耗时与是否已取消</w:t>
      </w:r>
    </w:p>
    <w:p w14:paraId="1C8CDA82">
      <w:pPr>
        <w:pStyle w:val="16"/>
      </w:pPr>
      <w:r>
        <w:rPr>
          <w:b w:val="0"/>
          <w:i w:val="0"/>
        </w:rPr>
        <w:t>最近一次失败原因（ASR/TTS/RAG/移动）</w:t>
      </w:r>
    </w:p>
    <w:p w14:paraId="09FF2A78">
      <w:pPr>
        <w:pStyle w:val="16"/>
      </w:pPr>
      <w:r>
        <w:rPr>
          <w:b w:val="0"/>
          <w:i w:val="0"/>
        </w:rPr>
        <w:t>一键诊断入口与日志导出入口（交付运维使用）</w:t>
      </w:r>
    </w:p>
    <w:p w14:paraId="734F63E2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SD-7 历史与复用（对应 FR-7）</w:t>
      </w:r>
    </w:p>
    <w:p w14:paraId="1EDA749C">
      <w:pPr>
        <w:pStyle w:val="16"/>
      </w:pPr>
      <w:r>
        <w:rPr>
          <w:b w:val="0"/>
          <w:i w:val="0"/>
        </w:rPr>
        <w:t>保存：</w:t>
      </w:r>
    </w:p>
    <w:p w14:paraId="0E0841C0">
      <w:pPr>
        <w:pStyle w:val="16"/>
      </w:pPr>
      <w:r>
        <w:rPr>
          <w:b w:val="0"/>
          <w:i w:val="0"/>
        </w:rPr>
        <w:t>聚合：同问题计数、按最近时间排序</w:t>
      </w:r>
    </w:p>
    <w:p w14:paraId="5210826E">
      <w:pPr>
        <w:pStyle w:val="16"/>
      </w:pPr>
      <w:r>
        <w:rPr>
          <w:b w:val="0"/>
          <w:i w:val="0"/>
        </w:rPr>
        <w:t>交互：点击历史问题回填到输入框</w:t>
      </w:r>
    </w:p>
    <w:p w14:paraId="23EBF932">
      <w:pPr>
        <w:pStyle w:val="16"/>
      </w:pPr>
      <w:r>
        <w:rPr>
          <w:b w:val="0"/>
          <w:i w:val="0"/>
        </w:rPr>
        <w:t>清理：提供保留条数或按天清理策略（与运维策略一致）</w:t>
      </w:r>
    </w:p>
    <w:p w14:paraId="21069579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SD-8 配置与站点管理（对应 FR-8）</w:t>
      </w:r>
    </w:p>
    <w:p w14:paraId="0F209E39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SD-8.1 配置项范围</w:t>
      </w:r>
    </w:p>
    <w:p w14:paraId="5AE44820">
      <w:r>
        <w:rPr>
          <w:rFonts w:ascii="微软雅黑" w:hAnsi="微软雅黑" w:eastAsia="微软雅黑"/>
          <w:b w:val="0"/>
          <w:i w:val="0"/>
          <w:strike w:val="0"/>
        </w:rPr>
        <w:t>配置文件至少包含：</w:t>
      </w:r>
    </w:p>
    <w:p w14:paraId="0DCF139B">
      <w:pPr>
        <w:pStyle w:val="16"/>
      </w:pPr>
      <w:r>
        <w:rPr>
          <w:b w:val="0"/>
          <w:i w:val="0"/>
        </w:rPr>
        <w:t>站点列表（顺序、、、）</w:t>
      </w:r>
    </w:p>
    <w:p w14:paraId="7CF701EF">
      <w:pPr>
        <w:pStyle w:val="16"/>
      </w:pPr>
      <w:r>
        <w:rPr>
          <w:b w:val="0"/>
          <w:i w:val="0"/>
        </w:rPr>
        <w:t>外部依赖开关与地址（RAG/ASR/TTS，可本机/内网）</w:t>
      </w:r>
    </w:p>
    <w:p w14:paraId="552AAC47">
      <w:pPr>
        <w:pStyle w:val="16"/>
      </w:pPr>
      <w:r>
        <w:rPr>
          <w:b w:val="0"/>
          <w:i w:val="0"/>
        </w:rPr>
        <w:t>导航对接地址（若需要）</w:t>
      </w:r>
    </w:p>
    <w:p w14:paraId="1017EF40">
      <w:pPr>
        <w:pStyle w:val="16"/>
      </w:pPr>
      <w:r>
        <w:rPr>
          <w:b w:val="0"/>
          <w:i w:val="0"/>
        </w:rPr>
        <w:t>运行参数（日志级别、超时、重试次数）</w:t>
      </w:r>
    </w:p>
    <w:p w14:paraId="2E3C2C54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SD-8.2 配置生效方式</w:t>
      </w:r>
    </w:p>
    <w:p w14:paraId="79217CFA">
      <w:pPr>
        <w:pStyle w:val="16"/>
      </w:pPr>
      <w:r>
        <w:rPr>
          <w:b w:val="0"/>
          <w:i w:val="0"/>
        </w:rPr>
        <w:t>支持导入/导出/备份（生成带时间戳的备份）</w:t>
      </w:r>
    </w:p>
    <w:p w14:paraId="20F3F3B6">
      <w:pPr>
        <w:pStyle w:val="16"/>
      </w:pPr>
      <w:r>
        <w:rPr>
          <w:b w:val="0"/>
          <w:i w:val="0"/>
        </w:rPr>
        <w:t>配置变更后允许“重启服务生效”（不强制在线热更新）</w:t>
      </w:r>
    </w:p>
    <w:p w14:paraId="7796A849">
      <w:pPr>
        <w:pStyle w:val="16"/>
      </w:pPr>
      <w:r>
        <w:rPr>
          <w:b w:val="0"/>
          <w:i w:val="0"/>
        </w:rPr>
        <w:t>配置校验：缺字段/格式错时给出明确错误，不启动或进入安全默认配置</w:t>
      </w:r>
    </w:p>
    <w:p w14:paraId="59F6CA16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SD-9 降级与恢复（对应 FR-9）</w:t>
      </w:r>
    </w:p>
    <w:p w14:paraId="5F7A2239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SD-9.1 降级触发条件</w:t>
      </w:r>
    </w:p>
    <w:p w14:paraId="64C999E6">
      <w:pPr>
        <w:pStyle w:val="16"/>
      </w:pPr>
      <w:r>
        <w:rPr>
          <w:b w:val="0"/>
          <w:i w:val="0"/>
        </w:rPr>
        <w:t>RAG 不可用（超时/错误/返回空）</w:t>
      </w:r>
    </w:p>
    <w:p w14:paraId="32131B80">
      <w:pPr>
        <w:pStyle w:val="16"/>
      </w:pPr>
      <w:r>
        <w:rPr>
          <w:b w:val="0"/>
          <w:i w:val="0"/>
        </w:rPr>
        <w:t>ASR 不可用（连续失败/设备不可用）</w:t>
      </w:r>
    </w:p>
    <w:p w14:paraId="74E580F8">
      <w:pPr>
        <w:pStyle w:val="16"/>
      </w:pPr>
      <w:r>
        <w:rPr>
          <w:b w:val="0"/>
          <w:i w:val="0"/>
        </w:rPr>
        <w:t>TTS 不可用（返回失败/音频异常）</w:t>
      </w:r>
    </w:p>
    <w:p w14:paraId="7DE7E184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SD-9.1.1 触发判定表（明确入口）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3B35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6F0BDD1">
            <w:pPr>
              <w:spacing w:after="0" w:line="240" w:lineRule="auto"/>
            </w:pPr>
            <w:r>
              <w:rPr>
                <w:b/>
              </w:rPr>
              <w:t>触发源</w:t>
            </w:r>
          </w:p>
        </w:tc>
        <w:tc>
          <w:tcPr>
            <w:tcW w:w="2160" w:type="dxa"/>
            <w:vAlign w:val="center"/>
          </w:tcPr>
          <w:p w14:paraId="059663CF">
            <w:pPr>
              <w:spacing w:after="0" w:line="240" w:lineRule="auto"/>
            </w:pPr>
            <w:r>
              <w:rPr>
                <w:b/>
              </w:rPr>
              <w:t>触发条件（示例）</w:t>
            </w:r>
          </w:p>
        </w:tc>
        <w:tc>
          <w:tcPr>
            <w:tcW w:w="2160" w:type="dxa"/>
            <w:vAlign w:val="center"/>
          </w:tcPr>
          <w:p w14:paraId="39F212C2">
            <w:pPr>
              <w:spacing w:after="0" w:line="240" w:lineRule="auto"/>
            </w:pPr>
            <w:r>
              <w:rPr>
                <w:b/>
              </w:rPr>
              <w:t>系统行为</w:t>
            </w:r>
          </w:p>
        </w:tc>
        <w:tc>
          <w:tcPr>
            <w:tcW w:w="2160" w:type="dxa"/>
            <w:vAlign w:val="center"/>
          </w:tcPr>
          <w:p w14:paraId="7C6413CC">
            <w:pPr>
              <w:spacing w:after="0" w:line="240" w:lineRule="auto"/>
            </w:pPr>
            <w:r>
              <w:rPr>
                <w:b/>
              </w:rPr>
              <w:t>退出/恢复</w:t>
            </w:r>
          </w:p>
        </w:tc>
      </w:tr>
      <w:tr w14:paraId="34B94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CA8E9F5">
            <w:pPr>
              <w:spacing w:after="0" w:line="240" w:lineRule="auto"/>
            </w:pPr>
            <w:r>
              <w:t>运维人工</w:t>
            </w:r>
          </w:p>
        </w:tc>
        <w:tc>
          <w:tcPr>
            <w:tcW w:w="2160" w:type="dxa"/>
            <w:vAlign w:val="center"/>
          </w:tcPr>
          <w:p w14:paraId="6737A385">
            <w:pPr>
              <w:spacing w:after="0" w:line="240" w:lineRule="auto"/>
            </w:pPr>
            <w:r>
              <w:t>点击“离线播报”</w:t>
            </w:r>
          </w:p>
        </w:tc>
        <w:tc>
          <w:tcPr>
            <w:tcW w:w="2160" w:type="dxa"/>
            <w:vAlign w:val="center"/>
          </w:tcPr>
          <w:p w14:paraId="64B8B528">
            <w:pPr>
              <w:spacing w:after="0" w:line="240" w:lineRule="auto"/>
            </w:pPr>
            <w:r>
              <w:t>立即打断当前 run，开始按清单播放离线预录音</w:t>
            </w:r>
          </w:p>
        </w:tc>
        <w:tc>
          <w:tcPr>
            <w:tcW w:w="2160" w:type="dxa"/>
            <w:vAlign w:val="center"/>
          </w:tcPr>
          <w:p w14:paraId="729B632A">
            <w:pPr>
              <w:spacing w:after="0" w:line="240" w:lineRule="auto"/>
            </w:pPr>
            <w:r>
              <w:t>点击“停止离线”，回到在线模式</w:t>
            </w:r>
          </w:p>
        </w:tc>
      </w:tr>
      <w:tr w14:paraId="1AEA5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E26AD93">
            <w:pPr>
              <w:spacing w:after="0" w:line="240" w:lineRule="auto"/>
            </w:pPr>
            <w:r>
              <w:t>RAG 异常</w:t>
            </w:r>
          </w:p>
        </w:tc>
        <w:tc>
          <w:tcPr>
            <w:tcW w:w="2160" w:type="dxa"/>
            <w:vAlign w:val="center"/>
          </w:tcPr>
          <w:p w14:paraId="1FB4A5E0">
            <w:pPr>
              <w:spacing w:after="0" w:line="240" w:lineRule="auto"/>
            </w:pPr>
            <w:r>
              <w:t xml:space="preserve"> 或持续失败/超时</w:t>
            </w:r>
          </w:p>
        </w:tc>
        <w:tc>
          <w:tcPr>
            <w:tcW w:w="2160" w:type="dxa"/>
            <w:vAlign w:val="center"/>
          </w:tcPr>
          <w:p w14:paraId="1B7FDE4D">
            <w:pPr>
              <w:spacing w:after="0" w:line="240" w:lineRule="auto"/>
            </w:pPr>
            <w:r>
              <w:t>提示在线不可用；允许人工进入离线播报</w:t>
            </w:r>
          </w:p>
        </w:tc>
        <w:tc>
          <w:tcPr>
            <w:tcW w:w="2160" w:type="dxa"/>
            <w:vAlign w:val="center"/>
          </w:tcPr>
          <w:p w14:paraId="4DA5D5A1">
            <w:pPr>
              <w:spacing w:after="0" w:line="240" w:lineRule="auto"/>
            </w:pPr>
            <w:r>
              <w:t>由人工停止离线后恢复在线</w:t>
            </w:r>
          </w:p>
        </w:tc>
      </w:tr>
      <w:tr w14:paraId="3322F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4B21096">
            <w:pPr>
              <w:spacing w:after="0" w:line="240" w:lineRule="auto"/>
            </w:pPr>
            <w:r>
              <w:t>音频异常</w:t>
            </w:r>
          </w:p>
        </w:tc>
        <w:tc>
          <w:tcPr>
            <w:tcW w:w="2160" w:type="dxa"/>
            <w:vAlign w:val="center"/>
          </w:tcPr>
          <w:p w14:paraId="76E2B635">
            <w:pPr>
              <w:spacing w:after="0" w:line="240" w:lineRule="auto"/>
            </w:pPr>
            <w:r>
              <w:t>检测到白噪/静音/削波等异常导致不可播</w:t>
            </w:r>
          </w:p>
        </w:tc>
        <w:tc>
          <w:tcPr>
            <w:tcW w:w="2160" w:type="dxa"/>
            <w:vAlign w:val="center"/>
          </w:tcPr>
          <w:p w14:paraId="2BF5EE68">
            <w:pPr>
              <w:spacing w:after="0" w:line="240" w:lineRule="auto"/>
            </w:pPr>
            <w:r>
              <w:t>降级为“仅文本”（在线）或由人工切离线播报</w:t>
            </w:r>
          </w:p>
        </w:tc>
        <w:tc>
          <w:tcPr>
            <w:tcW w:w="2160" w:type="dxa"/>
            <w:vAlign w:val="center"/>
          </w:tcPr>
          <w:p w14:paraId="070F7E7C">
            <w:pPr>
              <w:spacing w:after="0" w:line="240" w:lineRule="auto"/>
            </w:pPr>
            <w:r>
              <w:t>文本继续可用；或人工切离线</w:t>
            </w:r>
          </w:p>
        </w:tc>
      </w:tr>
    </w:tbl>
    <w:p w14:paraId="795B6BA0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SD-9.2 降级策略</w:t>
      </w:r>
    </w:p>
    <w:p w14:paraId="0E448830">
      <w:pPr>
        <w:pStyle w:val="16"/>
      </w:pPr>
      <w:r>
        <w:rPr>
          <w:b w:val="0"/>
          <w:i w:val="0"/>
        </w:rPr>
        <w:t>讲解降级（主方案）：整段预录音离线播报（按清单顺序播放，可打断）</w:t>
      </w:r>
    </w:p>
    <w:p w14:paraId="5B16F467">
      <w:pPr>
        <w:pStyle w:val="16"/>
      </w:pPr>
      <w:r>
        <w:rPr>
          <w:b w:val="0"/>
          <w:i w:val="0"/>
        </w:rPr>
        <w:t>讲解降级（可选/下一期）：本地脚本文本兜底（按站点准备简短讲解文本），至少能显示文本（若 TTS 可用可播报）</w:t>
      </w:r>
    </w:p>
    <w:p w14:paraId="173BD7BD">
      <w:pPr>
        <w:pStyle w:val="16"/>
      </w:pPr>
      <w:r>
        <w:rPr>
          <w:b w:val="0"/>
          <w:i w:val="0"/>
        </w:rPr>
        <w:t>问答降级：提示“暂时无法联网检索/系统繁忙，请稍后重试或咨询工作人员”，避免胡编</w:t>
      </w:r>
    </w:p>
    <w:p w14:paraId="47498AEE">
      <w:pPr>
        <w:pStyle w:val="16"/>
      </w:pPr>
      <w:r>
        <w:rPr>
          <w:b w:val="0"/>
          <w:i w:val="0"/>
        </w:rPr>
        <w:t>恢复策略：</w:t>
      </w:r>
    </w:p>
    <w:p w14:paraId="6C8296E9">
      <w:pPr>
        <w:pStyle w:val="16"/>
      </w:pPr>
      <w:r>
        <w:rPr>
          <w:b w:val="0"/>
          <w:i w:val="0"/>
        </w:rPr>
        <w:t>恢复后从当前站继续，避免重复开场</w:t>
      </w:r>
    </w:p>
    <w:p w14:paraId="4E5EE7ED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SD-9.2.1 降级/恢复流程表（现场可执行）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5ED7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070160C">
            <w:pPr>
              <w:spacing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2160" w:type="dxa"/>
            <w:vAlign w:val="center"/>
          </w:tcPr>
          <w:p w14:paraId="4D79C2A8">
            <w:pPr>
              <w:spacing w:after="0" w:line="240" w:lineRule="auto"/>
            </w:pPr>
            <w:r>
              <w:rPr>
                <w:b/>
              </w:rPr>
              <w:t>用户可见提示</w:t>
            </w:r>
          </w:p>
        </w:tc>
        <w:tc>
          <w:tcPr>
            <w:tcW w:w="2160" w:type="dxa"/>
            <w:vAlign w:val="center"/>
          </w:tcPr>
          <w:p w14:paraId="00A27C91">
            <w:pPr>
              <w:spacing w:after="0" w:line="240" w:lineRule="auto"/>
            </w:pPr>
            <w:r>
              <w:rPr>
                <w:b/>
              </w:rPr>
              <w:t>可用操作</w:t>
            </w:r>
          </w:p>
        </w:tc>
        <w:tc>
          <w:tcPr>
            <w:tcW w:w="2160" w:type="dxa"/>
            <w:vAlign w:val="center"/>
          </w:tcPr>
          <w:p w14:paraId="3A762B45">
            <w:pPr>
              <w:spacing w:after="0" w:line="240" w:lineRule="auto"/>
            </w:pPr>
            <w:r>
              <w:rPr>
                <w:b/>
              </w:rPr>
              <w:t>关键约束</w:t>
            </w:r>
          </w:p>
        </w:tc>
      </w:tr>
      <w:tr w14:paraId="5F674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2831231">
            <w:pPr>
              <w:spacing w:after="0" w:line="240" w:lineRule="auto"/>
            </w:pPr>
            <w:r>
              <w:t>在线正常</w:t>
            </w:r>
          </w:p>
        </w:tc>
        <w:tc>
          <w:tcPr>
            <w:tcW w:w="2160" w:type="dxa"/>
            <w:vAlign w:val="center"/>
          </w:tcPr>
          <w:p w14:paraId="76DAEFC6">
            <w:pPr>
              <w:spacing w:after="0" w:line="240" w:lineRule="auto"/>
            </w:pPr>
            <w:r>
              <w:t>正常问答/讲解</w:t>
            </w:r>
          </w:p>
        </w:tc>
        <w:tc>
          <w:tcPr>
            <w:tcW w:w="2160" w:type="dxa"/>
            <w:vAlign w:val="center"/>
          </w:tcPr>
          <w:p w14:paraId="78CCC52E">
            <w:pPr>
              <w:spacing w:after="0" w:line="240" w:lineRule="auto"/>
            </w:pPr>
            <w:r>
              <w:t>开始/暂停/继续/切站/离线播报</w:t>
            </w:r>
          </w:p>
        </w:tc>
        <w:tc>
          <w:tcPr>
            <w:tcW w:w="2160" w:type="dxa"/>
            <w:vAlign w:val="center"/>
          </w:tcPr>
          <w:p w14:paraId="2F2EDF8C">
            <w:pPr>
              <w:spacing w:after="0" w:line="240" w:lineRule="auto"/>
            </w:pPr>
            <w:r>
              <w:t>新请求进入必须能取消旧 run</w:t>
            </w:r>
          </w:p>
        </w:tc>
      </w:tr>
      <w:tr w14:paraId="70AE4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45C055E">
            <w:pPr>
              <w:spacing w:after="0" w:line="240" w:lineRule="auto"/>
            </w:pPr>
            <w:r>
              <w:t>在线异常（RAG/网络）</w:t>
            </w:r>
          </w:p>
        </w:tc>
        <w:tc>
          <w:tcPr>
            <w:tcW w:w="2160" w:type="dxa"/>
            <w:vAlign w:val="center"/>
          </w:tcPr>
          <w:p w14:paraId="6E3E8B58">
            <w:pPr>
              <w:spacing w:after="0" w:line="240" w:lineRule="auto"/>
            </w:pPr>
            <w:r>
              <w:t>在线不可用提示</w:t>
            </w:r>
          </w:p>
        </w:tc>
        <w:tc>
          <w:tcPr>
            <w:tcW w:w="2160" w:type="dxa"/>
            <w:vAlign w:val="center"/>
          </w:tcPr>
          <w:p w14:paraId="7E73A4A3">
            <w:pPr>
              <w:spacing w:after="0" w:line="240" w:lineRule="auto"/>
            </w:pPr>
            <w:r>
              <w:t>切离线播报 / 稍后重试</w:t>
            </w:r>
          </w:p>
        </w:tc>
        <w:tc>
          <w:tcPr>
            <w:tcW w:w="2160" w:type="dxa"/>
            <w:vAlign w:val="center"/>
          </w:tcPr>
          <w:p w14:paraId="5DB45566">
            <w:pPr>
              <w:spacing w:after="0" w:line="240" w:lineRule="auto"/>
            </w:pPr>
            <w:r>
              <w:t>不允许胡编；可用明确兜底话术</w:t>
            </w:r>
          </w:p>
        </w:tc>
      </w:tr>
      <w:tr w14:paraId="483F1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312AB64">
            <w:pPr>
              <w:spacing w:after="0" w:line="240" w:lineRule="auto"/>
            </w:pPr>
            <w:r>
              <w:t>在线异常（音频）</w:t>
            </w:r>
          </w:p>
        </w:tc>
        <w:tc>
          <w:tcPr>
            <w:tcW w:w="2160" w:type="dxa"/>
            <w:vAlign w:val="center"/>
          </w:tcPr>
          <w:p w14:paraId="7C99F39F">
            <w:pPr>
              <w:spacing w:after="0" w:line="240" w:lineRule="auto"/>
            </w:pPr>
            <w:r>
              <w:t>“音频异常：已降级为仅文本（可重试）”</w:t>
            </w:r>
          </w:p>
        </w:tc>
        <w:tc>
          <w:tcPr>
            <w:tcW w:w="2160" w:type="dxa"/>
            <w:vAlign w:val="center"/>
          </w:tcPr>
          <w:p w14:paraId="7542EAAE">
            <w:pPr>
              <w:spacing w:after="0" w:line="240" w:lineRule="auto"/>
            </w:pPr>
            <w:r>
              <w:t>仅文本继续 / 切离线播报</w:t>
            </w:r>
          </w:p>
        </w:tc>
        <w:tc>
          <w:tcPr>
            <w:tcW w:w="2160" w:type="dxa"/>
            <w:vAlign w:val="center"/>
          </w:tcPr>
          <w:p w14:paraId="1327EA23">
            <w:pPr>
              <w:spacing w:after="0" w:line="240" w:lineRule="auto"/>
            </w:pPr>
            <w:r>
              <w:t>不应继续播放异常音频</w:t>
            </w:r>
          </w:p>
        </w:tc>
      </w:tr>
      <w:tr w14:paraId="564E5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C360772">
            <w:pPr>
              <w:spacing w:after="0" w:line="240" w:lineRule="auto"/>
            </w:pPr>
            <w:r>
              <w:t>离线播报中</w:t>
            </w:r>
          </w:p>
        </w:tc>
        <w:tc>
          <w:tcPr>
            <w:tcW w:w="2160" w:type="dxa"/>
            <w:vAlign w:val="center"/>
          </w:tcPr>
          <w:p w14:paraId="545DF3E4">
            <w:pPr>
              <w:spacing w:after="0" w:line="240" w:lineRule="auto"/>
            </w:pPr>
            <w:r>
              <w:t>“离线播报中…”</w:t>
            </w:r>
          </w:p>
        </w:tc>
        <w:tc>
          <w:tcPr>
            <w:tcW w:w="2160" w:type="dxa"/>
            <w:vAlign w:val="center"/>
          </w:tcPr>
          <w:p w14:paraId="37CA2E6E">
            <w:pPr>
              <w:spacing w:after="0" w:line="240" w:lineRule="auto"/>
            </w:pPr>
            <w:r>
              <w:t>停止离线 / 打断 / 切站</w:t>
            </w:r>
          </w:p>
        </w:tc>
        <w:tc>
          <w:tcPr>
            <w:tcW w:w="2160" w:type="dxa"/>
            <w:vAlign w:val="center"/>
          </w:tcPr>
          <w:p w14:paraId="47FB9735">
            <w:pPr>
              <w:spacing w:after="0" w:line="240" w:lineRule="auto"/>
            </w:pPr>
            <w:r>
              <w:t>离线播报必须可打断，避免旧音频残留</w:t>
            </w:r>
          </w:p>
        </w:tc>
      </w:tr>
    </w:tbl>
    <w:p w14:paraId="728F4FDA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SD-10 非功能：性能与稳定（对应 NFR-1/NFR-2）</w:t>
      </w:r>
    </w:p>
    <w:p w14:paraId="6A293B1E">
      <w:pPr>
        <w:pStyle w:val="16"/>
      </w:pPr>
      <w:r>
        <w:rPr>
          <w:b w:val="0"/>
          <w:i w:val="0"/>
        </w:rPr>
        <w:t>首句可听时间目标：在现场网络可用时，尽量在 6s 内听到首句（以 P50/P90 指标统计）</w:t>
      </w:r>
    </w:p>
    <w:p w14:paraId="1AD51CDE">
      <w:pPr>
        <w:pStyle w:val="16"/>
      </w:pPr>
      <w:r>
        <w:rPr>
          <w:b w:val="0"/>
          <w:i w:val="0"/>
        </w:rPr>
        <w:t>运行稳定：长时间运行不应出现连接堆积、内存持续增长</w:t>
      </w:r>
    </w:p>
    <w:p w14:paraId="6324DB8E">
      <w:pPr>
        <w:pStyle w:val="16"/>
      </w:pPr>
      <w:r>
        <w:rPr>
          <w:b w:val="0"/>
          <w:i w:val="0"/>
        </w:rPr>
        <w:t>保护措施：</w:t>
      </w:r>
    </w:p>
    <w:p w14:paraId="3613CDF6">
      <w:pPr>
        <w:pStyle w:val="16"/>
      </w:pPr>
      <w:r>
        <w:rPr>
          <w:b w:val="0"/>
          <w:i w:val="0"/>
        </w:rPr>
        <w:t>并发限制：同一控制端同一时刻只允许一个“活动 run”</w:t>
      </w:r>
    </w:p>
    <w:p w14:paraId="31233D76">
      <w:pPr>
        <w:pStyle w:val="16"/>
      </w:pPr>
      <w:r>
        <w:rPr>
          <w:b w:val="0"/>
          <w:i w:val="0"/>
        </w:rPr>
        <w:t>失败重试：外部服务重试次数有限，避免无限重试导致系统抖动</w:t>
      </w:r>
    </w:p>
    <w:p w14:paraId="30A20960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SD-11 非功能：可维护与可扩展（对应 NFR-3/NFR-4）</w:t>
      </w:r>
    </w:p>
    <w:p w14:paraId="1B728BB2">
      <w:pPr>
        <w:pStyle w:val="16"/>
      </w:pPr>
      <w:r>
        <w:rPr>
          <w:b w:val="0"/>
          <w:i w:val="0"/>
        </w:rPr>
        <w:t>模块划分建议：</w:t>
      </w:r>
    </w:p>
    <w:p w14:paraId="64F9544E">
      <w:pPr>
        <w:pStyle w:val="16"/>
      </w:pPr>
      <w:r>
        <w:rPr>
          <w:b w:val="0"/>
          <w:i w:val="0"/>
        </w:rPr>
        <w:t>编排层（讲解/问答/切站流程）</w:t>
      </w:r>
    </w:p>
    <w:p w14:paraId="4EEAC692">
      <w:pPr>
        <w:pStyle w:val="16"/>
      </w:pPr>
      <w:r>
        <w:rPr>
          <w:b w:val="0"/>
          <w:i w:val="0"/>
        </w:rPr>
        <w:t>适配层（RAG/ASR/TTS/导航）</w:t>
      </w:r>
    </w:p>
    <w:p w14:paraId="36D7D8CB">
      <w:pPr>
        <w:pStyle w:val="16"/>
      </w:pPr>
      <w:r>
        <w:rPr>
          <w:b w:val="0"/>
          <w:i w:val="0"/>
        </w:rPr>
        <w:t>存储层（历史/配置/日志）</w:t>
      </w:r>
    </w:p>
    <w:p w14:paraId="7CB08A6D">
      <w:pPr>
        <w:pStyle w:val="16"/>
      </w:pPr>
      <w:r>
        <w:rPr>
          <w:b w:val="0"/>
          <w:i w:val="0"/>
        </w:rPr>
        <w:t>预留扩展点：</w:t>
      </w:r>
    </w:p>
    <w:p w14:paraId="4BBCA249">
      <w:pPr>
        <w:pStyle w:val="16"/>
      </w:pPr>
      <w:r>
        <w:rPr>
          <w:b w:val="0"/>
          <w:i w:val="0"/>
        </w:rPr>
        <w:t>外部服务替换只影响适配层（不改编排层）</w:t>
      </w:r>
    </w:p>
    <w:p w14:paraId="15546A9E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SD-12 知识库接入与内容更新（对应 FR-10）</w:t>
      </w:r>
    </w:p>
    <w:p w14:paraId="33E2C44E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SD-12.1 知识库对象模型</w:t>
      </w:r>
    </w:p>
    <w:p w14:paraId="17B94728">
      <w:pPr>
        <w:pStyle w:val="16"/>
      </w:pPr>
      <w:r>
        <w:rPr>
          <w:b w:val="0"/>
          <w:i w:val="0"/>
        </w:rPr>
        <w:t>核心对象：</w:t>
      </w:r>
    </w:p>
    <w:p w14:paraId="6B233E79">
      <w:pPr>
        <w:pStyle w:val="16"/>
      </w:pPr>
      <w:r>
        <w:rPr>
          <w:b w:val="0"/>
          <w:i w:val="0"/>
        </w:rPr>
        <w:t xml:space="preserve"> 或：面向讲解/问答的会话/智能体配置（由平台能力决定）</w:t>
      </w:r>
    </w:p>
    <w:p w14:paraId="0CE675D5">
      <w:pPr>
        <w:pStyle w:val="16"/>
      </w:pPr>
      <w:r>
        <w:rPr>
          <w:b w:val="0"/>
          <w:i w:val="0"/>
        </w:rPr>
        <w:t>业务侧配置项（配置化，不写死在代码里）：</w:t>
      </w:r>
    </w:p>
    <w:p w14:paraId="12956161">
      <w:pPr>
        <w:pStyle w:val="16"/>
      </w:pPr>
      <w:r>
        <w:rPr>
          <w:b w:val="0"/>
          <w:i w:val="0"/>
        </w:rPr>
        <w:t>访问凭证（只读 key/token）</w:t>
      </w:r>
    </w:p>
    <w:p w14:paraId="512AEAC1">
      <w:pPr>
        <w:pStyle w:val="16"/>
      </w:pPr>
      <w:r>
        <w:rPr>
          <w:b w:val="0"/>
          <w:i w:val="0"/>
        </w:rPr>
        <w:t>默认数据集/默认会话（以及可选的候选列表）</w:t>
      </w:r>
    </w:p>
    <w:p w14:paraId="0481A22E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SD-12.2 生效与切换策略</w:t>
      </w:r>
    </w:p>
    <w:p w14:paraId="649AAF67">
      <w:pPr>
        <w:pStyle w:val="16"/>
      </w:pPr>
      <w:r>
        <w:rPr>
          <w:b w:val="0"/>
          <w:i w:val="0"/>
        </w:rPr>
        <w:t>配置变更（切数据集/切会话）：</w:t>
      </w:r>
    </w:p>
    <w:p w14:paraId="466202BB">
      <w:pPr>
        <w:pStyle w:val="16"/>
      </w:pPr>
      <w:r>
        <w:rPr>
          <w:b w:val="0"/>
          <w:i w:val="0"/>
        </w:rPr>
        <w:t>可选增强：热加载（需保证并发安全与回滚能力）</w:t>
      </w:r>
    </w:p>
    <w:p w14:paraId="7FBD4689">
      <w:pPr>
        <w:pStyle w:val="16"/>
      </w:pPr>
      <w:r>
        <w:rPr>
          <w:b w:val="0"/>
          <w:i w:val="0"/>
        </w:rPr>
        <w:t>内容更新生效：</w:t>
      </w:r>
    </w:p>
    <w:p w14:paraId="0ADD8C67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SD-12.3 可追溯性（运维侧）</w:t>
      </w:r>
    </w:p>
    <w:p w14:paraId="16FE83D8">
      <w:pPr>
        <w:pStyle w:val="16"/>
      </w:pPr>
      <w:r>
        <w:rPr>
          <w:b w:val="0"/>
          <w:i w:val="0"/>
        </w:rPr>
        <w:t>若平台支持引用（citation/source），业务侧应保留并在运维日志中记录：</w:t>
      </w:r>
    </w:p>
    <w:p w14:paraId="07E74829">
      <w:pPr>
        <w:pStyle w:val="16"/>
      </w:pPr>
      <w:r>
        <w:rPr>
          <w:b w:val="0"/>
          <w:i w:val="0"/>
        </w:rPr>
        <w:t>若平台不支持引用，至少记录：</w:t>
      </w:r>
    </w:p>
    <w:p w14:paraId="12942563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SD-13 数据清洗与导入工具链（对应 FR-11）</w:t>
      </w:r>
    </w:p>
    <w:p w14:paraId="216ACB16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SD-13.1 输入与输出</w:t>
      </w:r>
    </w:p>
    <w:p w14:paraId="53BFE5A9">
      <w:pPr>
        <w:pStyle w:val="16"/>
      </w:pPr>
      <w:r>
        <w:rPr>
          <w:b w:val="0"/>
          <w:i w:val="0"/>
        </w:rPr>
        <w:t>输入：原始资料（PPT/Word/PDF/手册/FAQ/参数表/展板文案）</w:t>
      </w:r>
    </w:p>
    <w:p w14:paraId="0C3A1EA9">
      <w:pPr>
        <w:pStyle w:val="16"/>
      </w:pPr>
      <w:r>
        <w:rPr>
          <w:b w:val="0"/>
          <w:i w:val="0"/>
        </w:rPr>
        <w:t>输出：</w:t>
      </w:r>
    </w:p>
    <w:p w14:paraId="4BFAF9A7">
      <w:pPr>
        <w:pStyle w:val="16"/>
      </w:pPr>
      <w:r>
        <w:rPr>
          <w:b w:val="0"/>
          <w:i w:val="0"/>
        </w:rPr>
        <w:t>导入记录（版本号、数量、失败原因）</w:t>
      </w:r>
    </w:p>
    <w:p w14:paraId="28D60DCC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SD-13.2 清洗规则（最小集）</w:t>
      </w:r>
    </w:p>
    <w:p w14:paraId="7EEAE90B">
      <w:pPr>
        <w:pStyle w:val="14"/>
      </w:pPr>
      <w:r>
        <w:rPr>
          <w:b w:val="0"/>
          <w:i w:val="0"/>
        </w:rPr>
        <w:t>抽取：文本抽取 + 扫描件 OCR（如有）</w:t>
      </w:r>
    </w:p>
    <w:p w14:paraId="051A65DA">
      <w:pPr>
        <w:pStyle w:val="14"/>
      </w:pPr>
      <w:r>
        <w:rPr>
          <w:b w:val="0"/>
          <w:i w:val="0"/>
        </w:rPr>
        <w:t>去噪：页眉页脚、目录、页码、重复标题、乱码</w:t>
      </w:r>
    </w:p>
    <w:p w14:paraId="78FCDA4E">
      <w:pPr>
        <w:pStyle w:val="14"/>
      </w:pPr>
      <w:r>
        <w:rPr>
          <w:b w:val="0"/>
          <w:i w:val="0"/>
        </w:rPr>
        <w:t>统一：全角/半角、标点、空白、单位格式（例如 mm/厘米）</w:t>
      </w:r>
    </w:p>
    <w:p w14:paraId="568E7778">
      <w:pPr>
        <w:pStyle w:val="14"/>
      </w:pPr>
      <w:r>
        <w:rPr>
          <w:b w:val="0"/>
          <w:i w:val="0"/>
        </w:rPr>
        <w:t>去重：同段落/同句相似内容去重</w:t>
      </w:r>
    </w:p>
    <w:p w14:paraId="258861A1">
      <w:pPr>
        <w:pStyle w:val="14"/>
      </w:pPr>
      <w:r>
        <w:rPr>
          <w:b w:val="0"/>
          <w:i w:val="0"/>
        </w:rPr>
        <w:t>分段：按标题层级/自然段切分，长度建议 200~600 字（按平台调参）</w:t>
      </w:r>
    </w:p>
    <w:p w14:paraId="66055699">
      <w:pPr>
        <w:pStyle w:val="14"/>
      </w:pPr>
      <w:r>
        <w:rPr>
          <w:b w:val="0"/>
          <w:i w:val="0"/>
        </w:rPr>
        <w:t>元数据： 至少四类</w:t>
      </w:r>
    </w:p>
    <w:p w14:paraId="70357E77">
      <w:pPr>
        <w:pStyle w:val="14"/>
      </w:pPr>
      <w:r>
        <w:rPr>
          <w:b w:val="0"/>
          <w:i w:val="0"/>
        </w:rPr>
        <w:t>抽检：随机抽样若干条检索验证（可用 10~30 条起步）</w:t>
      </w:r>
    </w:p>
    <w:p w14:paraId="57864E42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SD-13.3 增量更新与回滚</w:t>
      </w:r>
    </w:p>
    <w:p w14:paraId="708E028F">
      <w:pPr>
        <w:pStyle w:val="16"/>
      </w:pPr>
      <w:r>
        <w:rPr>
          <w:b w:val="0"/>
          <w:i w:val="0"/>
        </w:rPr>
        <w:t>增量：新增/替换某个资料时，只更新对应来源与版本，不影响其他来源</w:t>
      </w:r>
    </w:p>
    <w:p w14:paraId="69DF1805">
      <w:pPr>
        <w:pStyle w:val="16"/>
      </w:pPr>
      <w:r>
        <w:rPr>
          <w:b w:val="0"/>
          <w:i w:val="0"/>
        </w:rPr>
        <w:t>回滚：保留上一版本数据集（或可通过版本号回滚），确保现场问题可快速恢复</w:t>
      </w:r>
    </w:p>
    <w:p w14:paraId="53F05B1D">
      <w:pPr>
        <w:pStyle w:val="16"/>
      </w:pPr>
      <w:r>
        <w:rPr>
          <w:b w:val="0"/>
          <w:i w:val="0"/>
        </w:rPr>
        <w:t>记录：每次导入生成导入清单（文件列表、条目数、版本号、操作者）</w:t>
      </w:r>
    </w:p>
    <w:p w14:paraId="210684DE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SD-14 权限、密钥与安全（对应 FR-12、NFR-5）</w:t>
      </w:r>
    </w:p>
    <w:p w14:paraId="5DE544B7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SD-14.1 凭证分离</w:t>
      </w:r>
    </w:p>
    <w:p w14:paraId="5D383921">
      <w:pPr>
        <w:pStyle w:val="16"/>
      </w:pPr>
      <w:r>
        <w:rPr>
          <w:b w:val="0"/>
          <w:i w:val="0"/>
        </w:rPr>
        <w:t>业务服务：只读凭证（仅用于检索/问答）</w:t>
      </w:r>
    </w:p>
    <w:p w14:paraId="0F2D4D6F">
      <w:pPr>
        <w:pStyle w:val="16"/>
      </w:pPr>
      <w:r>
        <w:rPr>
          <w:b w:val="0"/>
          <w:i w:val="0"/>
        </w:rPr>
        <w:t>内容导入：独立的运营/管理员凭证（可写入数据集、可管理文档）</w:t>
      </w:r>
    </w:p>
    <w:p w14:paraId="66A60BDD">
      <w:pPr>
        <w:pStyle w:val="16"/>
      </w:pPr>
      <w:r>
        <w:rPr>
          <w:b w:val="0"/>
          <w:i w:val="0"/>
        </w:rPr>
        <w:t>严禁将管理员凭证放入机器人现场运行环境</w:t>
      </w:r>
    </w:p>
    <w:p w14:paraId="014508DD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SD-14.2 密钥存储与轮换</w:t>
      </w:r>
    </w:p>
    <w:p w14:paraId="05070829">
      <w:pPr>
        <w:pStyle w:val="16"/>
      </w:pPr>
      <w:r>
        <w:rPr>
          <w:b w:val="0"/>
          <w:i w:val="0"/>
        </w:rPr>
        <w:t>存储：</w:t>
      </w:r>
    </w:p>
    <w:p w14:paraId="1438294B">
      <w:pPr>
        <w:pStyle w:val="16"/>
      </w:pPr>
      <w:r>
        <w:rPr>
          <w:b w:val="0"/>
          <w:i w:val="0"/>
        </w:rPr>
        <w:t>日志中不得打印完整密钥</w:t>
      </w:r>
    </w:p>
    <w:p w14:paraId="422A4C86">
      <w:pPr>
        <w:pStyle w:val="16"/>
      </w:pPr>
      <w:r>
        <w:rPr>
          <w:b w:val="0"/>
          <w:i w:val="0"/>
        </w:rPr>
        <w:t>轮换：</w:t>
      </w:r>
    </w:p>
    <w:p w14:paraId="22AA4B6C">
      <w:pPr>
        <w:pStyle w:val="16"/>
      </w:pPr>
      <w:r>
        <w:rPr>
          <w:b w:val="0"/>
          <w:i w:val="0"/>
        </w:rPr>
        <w:t>轮换过程提供回退方案（保留旧 key 但限制使用窗口）</w:t>
      </w:r>
    </w:p>
    <w:p w14:paraId="59645789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SD-14.3 操作审计与敏感内容边界</w:t>
      </w:r>
    </w:p>
    <w:p w14:paraId="3945D03A">
      <w:pPr>
        <w:pStyle w:val="16"/>
      </w:pPr>
      <w:r>
        <w:rPr>
          <w:b w:val="0"/>
          <w:i w:val="0"/>
        </w:rPr>
        <w:t>导入/删除/更新动作需有审计记录（平台侧为主，业务侧记录摘要即可）</w:t>
      </w:r>
    </w:p>
    <w:p w14:paraId="04E38116">
      <w:pPr>
        <w:pStyle w:val="16"/>
      </w:pPr>
      <w:r>
        <w:rPr>
          <w:b w:val="0"/>
          <w:i w:val="0"/>
        </w:rPr>
        <w:t>敏感内容：</w:t>
      </w:r>
    </w:p>
    <w:p w14:paraId="24CC1F1E">
      <w:pPr>
        <w:pStyle w:val="16"/>
      </w:pPr>
      <w:r>
        <w:rPr>
          <w:b w:val="0"/>
          <w:i w:val="0"/>
        </w:rPr>
        <w:t>通过数据清洗阶段的 标记与平台权限控制</w:t>
      </w:r>
    </w:p>
    <w:p w14:paraId="148B1016">
      <w:pPr>
        <w:pStyle w:val="16"/>
      </w:pPr>
      <w:r>
        <w:rPr>
          <w:b w:val="0"/>
          <w:i w:val="0"/>
        </w:rPr>
        <w:t>业务侧在提示与输出中避免泄露内部敏感字段（例如价格、未公开信息）</w:t>
      </w:r>
    </w:p>
    <w:p w14:paraId="70236028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SD-15 知识库平台部署与权限治理（对应 FR-13）</w:t>
      </w:r>
    </w:p>
    <w:p w14:paraId="1468BA3A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SD-15.1 部署形态</w:t>
      </w:r>
    </w:p>
    <w:p w14:paraId="3584071F">
      <w:pPr>
        <w:pStyle w:val="16"/>
      </w:pPr>
      <w:r>
        <w:rPr>
          <w:b w:val="0"/>
          <w:i w:val="0"/>
        </w:rPr>
        <w:t>单机部署：知识库平台与业务服务在同一台主机运行（适合快速落地，但维护与备份压力较大）。</w:t>
      </w:r>
    </w:p>
    <w:p w14:paraId="153156FD">
      <w:pPr>
        <w:pStyle w:val="16"/>
      </w:pPr>
      <w:r>
        <w:rPr>
          <w:b w:val="0"/>
          <w:i w:val="0"/>
        </w:rPr>
        <w:t>内网部署（推荐）：知识库平台部署在内网服务器/虚拟机，机器人侧仅通过只读凭证访问，便于集中维护与备份。</w:t>
      </w:r>
    </w:p>
    <w:p w14:paraId="1222D1D6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SD-15.2 角色与权限</w:t>
      </w:r>
    </w:p>
    <w:p w14:paraId="4A38663E">
      <w:r>
        <w:rPr>
          <w:rFonts w:ascii="微软雅黑" w:hAnsi="微软雅黑" w:eastAsia="微软雅黑"/>
          <w:b w:val="0"/>
          <w:i w:val="0"/>
          <w:strike w:val="0"/>
        </w:rPr>
        <w:t>至少三类角色：</w:t>
      </w:r>
    </w:p>
    <w:p w14:paraId="17ED065A">
      <w:pPr>
        <w:pStyle w:val="16"/>
      </w:pPr>
      <w:r>
        <w:rPr>
          <w:b w:val="0"/>
          <w:i w:val="0"/>
        </w:rPr>
        <w:t>管理员：平台配置、用户/密钥管理、数据集权限配置</w:t>
      </w:r>
    </w:p>
    <w:p w14:paraId="6EB19312">
      <w:pPr>
        <w:pStyle w:val="16"/>
      </w:pPr>
      <w:r>
        <w:rPr>
          <w:b w:val="0"/>
          <w:i w:val="0"/>
        </w:rPr>
        <w:t>内容运营：文档导入/更新、查看导入结果</w:t>
      </w:r>
    </w:p>
    <w:p w14:paraId="75BB0B97">
      <w:pPr>
        <w:pStyle w:val="16"/>
      </w:pPr>
      <w:r>
        <w:rPr>
          <w:b w:val="0"/>
          <w:i w:val="0"/>
        </w:rPr>
        <w:t>只读访问：业务服务调用检索/问答，不具备导入权限</w:t>
      </w:r>
    </w:p>
    <w:p w14:paraId="1F554BDE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SD-15.3 审计与备份</w:t>
      </w:r>
    </w:p>
    <w:p w14:paraId="3DD46945">
      <w:pPr>
        <w:pStyle w:val="16"/>
      </w:pPr>
      <w:r>
        <w:rPr>
          <w:b w:val="0"/>
          <w:i w:val="0"/>
        </w:rPr>
        <w:t>审计：导入/更新/删除应有留痕（时间、操作者、数据集/文档），可在平台侧查询或导出。</w:t>
      </w:r>
    </w:p>
    <w:p w14:paraId="57866A29">
      <w:pPr>
        <w:pStyle w:val="16"/>
      </w:pPr>
      <w:r>
        <w:rPr>
          <w:b w:val="0"/>
          <w:i w:val="0"/>
        </w:rPr>
        <w:t>备份与回滚：</w:t>
      </w:r>
    </w:p>
    <w:p w14:paraId="1940C6DB">
      <w:pPr>
        <w:pStyle w:val="16"/>
      </w:pPr>
      <w:r>
        <w:rPr>
          <w:b w:val="0"/>
          <w:i w:val="0"/>
        </w:rPr>
        <w:t>版本回滚可按“版本号/日期”恢复到上一可用版本</w:t>
      </w:r>
    </w:p>
    <w:p w14:paraId="428CA940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SD-15.4 敏感内容治理（与 SD-14 配合）</w:t>
      </w:r>
    </w:p>
    <w:p w14:paraId="29B4E166">
      <w:pPr>
        <w:pStyle w:val="16"/>
      </w:pPr>
      <w:r>
        <w:rPr>
          <w:b w:val="0"/>
          <w:i w:val="0"/>
        </w:rPr>
        <w:t>在清洗与元数据阶段标记（公开/内部）</w:t>
      </w:r>
    </w:p>
    <w:p w14:paraId="0A27253A">
      <w:pPr>
        <w:pStyle w:val="16"/>
      </w:pPr>
      <w:r>
        <w:rPr>
          <w:b w:val="0"/>
          <w:i w:val="0"/>
        </w:rPr>
        <w:t>平台侧按角色限制可见范围；业务侧默认只读访问不应命中内部敏感数据</w:t>
      </w:r>
    </w:p>
    <w:p w14:paraId="0D1FFB00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SD-16 实施计划与人力投入（对应 FR-14）</w:t>
      </w:r>
    </w:p>
    <w:p w14:paraId="1D0B31F7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SD-16.1 阶段划分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8269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2A87CF4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1728" w:type="dxa"/>
            <w:vAlign w:val="center"/>
          </w:tcPr>
          <w:p w14:paraId="13DD1BE4">
            <w:pPr>
              <w:spacing w:after="0" w:line="240" w:lineRule="auto"/>
            </w:pPr>
            <w:r>
              <w:rPr>
                <w:b/>
              </w:rPr>
              <w:t>覆盖的 SD 条目</w:t>
            </w:r>
          </w:p>
        </w:tc>
        <w:tc>
          <w:tcPr>
            <w:tcW w:w="1728" w:type="dxa"/>
            <w:vAlign w:val="center"/>
          </w:tcPr>
          <w:p w14:paraId="1505D432">
            <w:pPr>
              <w:spacing w:after="0" w:line="240" w:lineRule="auto"/>
            </w:pPr>
            <w:r>
              <w:rPr>
                <w:b/>
              </w:rPr>
              <w:t>主要工作内容</w:t>
            </w:r>
          </w:p>
        </w:tc>
        <w:tc>
          <w:tcPr>
            <w:tcW w:w="1728" w:type="dxa"/>
            <w:vAlign w:val="center"/>
          </w:tcPr>
          <w:p w14:paraId="6273B860">
            <w:pPr>
              <w:spacing w:after="0" w:line="240" w:lineRule="auto"/>
            </w:pPr>
            <w:r>
              <w:rPr>
                <w:b/>
              </w:rPr>
              <w:t>主要交付物</w:t>
            </w:r>
          </w:p>
        </w:tc>
        <w:tc>
          <w:tcPr>
            <w:tcW w:w="1728" w:type="dxa"/>
            <w:vAlign w:val="center"/>
          </w:tcPr>
          <w:p w14:paraId="7CE0B2A3">
            <w:pPr>
              <w:spacing w:after="0" w:line="240" w:lineRule="auto"/>
              <w:jc w:val="right"/>
            </w:pPr>
            <w:r>
              <w:rPr>
                <w:b/>
              </w:rPr>
              <w:t>建议人月（合计）</w:t>
            </w:r>
          </w:p>
        </w:tc>
      </w:tr>
      <w:tr w14:paraId="72E6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F19B665">
            <w:pPr>
              <w:spacing w:after="0" w:line="240" w:lineRule="auto"/>
            </w:pPr>
            <w:r>
              <w:t>S1 基础框架与配置</w:t>
            </w:r>
          </w:p>
        </w:tc>
        <w:tc>
          <w:tcPr>
            <w:tcW w:w="1728" w:type="dxa"/>
            <w:vAlign w:val="center"/>
          </w:tcPr>
          <w:p w14:paraId="2378DD70">
            <w:pPr>
              <w:spacing w:after="0" w:line="240" w:lineRule="auto"/>
            </w:pPr>
            <w:r>
              <w:t>SD-8、SD-6</w:t>
            </w:r>
          </w:p>
        </w:tc>
        <w:tc>
          <w:tcPr>
            <w:tcW w:w="1728" w:type="dxa"/>
            <w:vAlign w:val="center"/>
          </w:tcPr>
          <w:p w14:paraId="32DB2328">
            <w:pPr>
              <w:spacing w:after="0" w:line="240" w:lineRule="auto"/>
            </w:pPr>
            <w:r>
              <w:t>配置结构、日志/指标框架、环境参数与密钥加载</w:t>
            </w:r>
          </w:p>
        </w:tc>
        <w:tc>
          <w:tcPr>
            <w:tcW w:w="1728" w:type="dxa"/>
            <w:vAlign w:val="center"/>
          </w:tcPr>
          <w:p w14:paraId="73348F59">
            <w:pPr>
              <w:spacing w:after="0" w:line="240" w:lineRule="auto"/>
            </w:pPr>
            <w:r>
              <w:t>配置模板、日志与指标最小集</w:t>
            </w:r>
          </w:p>
        </w:tc>
        <w:tc>
          <w:tcPr>
            <w:tcW w:w="1728" w:type="dxa"/>
            <w:vAlign w:val="center"/>
          </w:tcPr>
          <w:p w14:paraId="1D1E2B08">
            <w:pPr>
              <w:spacing w:after="0" w:line="240" w:lineRule="auto"/>
              <w:jc w:val="right"/>
            </w:pPr>
            <w:r>
              <w:t>0.5</w:t>
            </w:r>
          </w:p>
        </w:tc>
      </w:tr>
      <w:tr w14:paraId="1B8D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0037946">
            <w:pPr>
              <w:spacing w:after="0" w:line="240" w:lineRule="auto"/>
            </w:pPr>
            <w:r>
              <w:t>S2 讲解/问答编排</w:t>
            </w:r>
          </w:p>
        </w:tc>
        <w:tc>
          <w:tcPr>
            <w:tcW w:w="1728" w:type="dxa"/>
            <w:vAlign w:val="center"/>
          </w:tcPr>
          <w:p w14:paraId="045AFB67">
            <w:pPr>
              <w:spacing w:after="0" w:line="240" w:lineRule="auto"/>
            </w:pPr>
            <w:r>
              <w:t>SD-1、SD-2、SD-9</w:t>
            </w:r>
          </w:p>
        </w:tc>
        <w:tc>
          <w:tcPr>
            <w:tcW w:w="1728" w:type="dxa"/>
            <w:vAlign w:val="center"/>
          </w:tcPr>
          <w:p w14:paraId="65A6BBD8">
            <w:pPr>
              <w:spacing w:after="0" w:line="240" w:lineRule="auto"/>
            </w:pPr>
            <w:r>
              <w:t>讲解流程、打断机制、降级策略落地</w:t>
            </w:r>
          </w:p>
        </w:tc>
        <w:tc>
          <w:tcPr>
            <w:tcW w:w="1728" w:type="dxa"/>
            <w:vAlign w:val="center"/>
          </w:tcPr>
          <w:p w14:paraId="08C524E9">
            <w:pPr>
              <w:spacing w:after="0" w:line="240" w:lineRule="auto"/>
            </w:pPr>
            <w:r>
              <w:t>连续讲解与打断可用、降级可用</w:t>
            </w:r>
          </w:p>
        </w:tc>
        <w:tc>
          <w:tcPr>
            <w:tcW w:w="1728" w:type="dxa"/>
            <w:vAlign w:val="center"/>
          </w:tcPr>
          <w:p w14:paraId="23FADB14">
            <w:pPr>
              <w:spacing w:after="0" w:line="240" w:lineRule="auto"/>
              <w:jc w:val="right"/>
            </w:pPr>
            <w:r>
              <w:t>2.0</w:t>
            </w:r>
          </w:p>
        </w:tc>
      </w:tr>
      <w:tr w14:paraId="2DE3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825E9F6">
            <w:pPr>
              <w:spacing w:after="0" w:line="240" w:lineRule="auto"/>
            </w:pPr>
            <w:r>
              <w:t>S3 语音链路</w:t>
            </w:r>
          </w:p>
        </w:tc>
        <w:tc>
          <w:tcPr>
            <w:tcW w:w="1728" w:type="dxa"/>
            <w:vAlign w:val="center"/>
          </w:tcPr>
          <w:p w14:paraId="3DC1FAB0">
            <w:pPr>
              <w:spacing w:after="0" w:line="240" w:lineRule="auto"/>
            </w:pPr>
            <w:r>
              <w:t>SD-3、SD-4</w:t>
            </w:r>
          </w:p>
        </w:tc>
        <w:tc>
          <w:tcPr>
            <w:tcW w:w="1728" w:type="dxa"/>
            <w:vAlign w:val="center"/>
          </w:tcPr>
          <w:p w14:paraId="69C332B6">
            <w:pPr>
              <w:spacing w:after="0" w:line="240" w:lineRule="auto"/>
            </w:pPr>
            <w:r>
              <w:t>录音上传、分段播报、播放中断与稳定性处理</w:t>
            </w:r>
          </w:p>
        </w:tc>
        <w:tc>
          <w:tcPr>
            <w:tcW w:w="1728" w:type="dxa"/>
            <w:vAlign w:val="center"/>
          </w:tcPr>
          <w:p w14:paraId="2F57BD6B">
            <w:pPr>
              <w:spacing w:after="0" w:line="240" w:lineRule="auto"/>
            </w:pPr>
            <w:r>
              <w:t>语音输入/播报闭环</w:t>
            </w:r>
          </w:p>
        </w:tc>
        <w:tc>
          <w:tcPr>
            <w:tcW w:w="1728" w:type="dxa"/>
            <w:vAlign w:val="center"/>
          </w:tcPr>
          <w:p w14:paraId="78748E40">
            <w:pPr>
              <w:spacing w:after="0" w:line="240" w:lineRule="auto"/>
              <w:jc w:val="right"/>
            </w:pPr>
            <w:r>
              <w:t>1.5</w:t>
            </w:r>
          </w:p>
        </w:tc>
      </w:tr>
      <w:tr w14:paraId="78E95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1D09750">
            <w:pPr>
              <w:spacing w:after="0" w:line="240" w:lineRule="auto"/>
            </w:pPr>
            <w:r>
              <w:t>S4 移动联动</w:t>
            </w:r>
          </w:p>
        </w:tc>
        <w:tc>
          <w:tcPr>
            <w:tcW w:w="1728" w:type="dxa"/>
            <w:vAlign w:val="center"/>
          </w:tcPr>
          <w:p w14:paraId="1751DE18">
            <w:pPr>
              <w:spacing w:after="0" w:line="240" w:lineRule="auto"/>
            </w:pPr>
            <w:r>
              <w:t>SD-5</w:t>
            </w:r>
          </w:p>
        </w:tc>
        <w:tc>
          <w:tcPr>
            <w:tcW w:w="1728" w:type="dxa"/>
            <w:vAlign w:val="center"/>
          </w:tcPr>
          <w:p w14:paraId="698CC508">
            <w:pPr>
              <w:spacing w:after="0" w:line="240" w:lineRule="auto"/>
            </w:pPr>
            <w:r>
              <w:t>切站触发移动、到站后讲解、失败提示与恢复路径</w:t>
            </w:r>
          </w:p>
        </w:tc>
        <w:tc>
          <w:tcPr>
            <w:tcW w:w="1728" w:type="dxa"/>
            <w:vAlign w:val="center"/>
          </w:tcPr>
          <w:p w14:paraId="77FF488B">
            <w:pPr>
              <w:spacing w:after="0" w:line="240" w:lineRule="auto"/>
            </w:pPr>
            <w:r>
              <w:t>切站联动可用</w:t>
            </w:r>
          </w:p>
        </w:tc>
        <w:tc>
          <w:tcPr>
            <w:tcW w:w="1728" w:type="dxa"/>
            <w:vAlign w:val="center"/>
          </w:tcPr>
          <w:p w14:paraId="1FF5281D">
            <w:pPr>
              <w:spacing w:after="0" w:line="240" w:lineRule="auto"/>
              <w:jc w:val="right"/>
            </w:pPr>
            <w:r>
              <w:t>1.0</w:t>
            </w:r>
          </w:p>
        </w:tc>
      </w:tr>
      <w:tr w14:paraId="4AC2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6131AAB">
            <w:pPr>
              <w:spacing w:after="0" w:line="240" w:lineRule="auto"/>
            </w:pPr>
            <w:r>
              <w:t>S5 知识库建设与权限</w:t>
            </w:r>
          </w:p>
        </w:tc>
        <w:tc>
          <w:tcPr>
            <w:tcW w:w="1728" w:type="dxa"/>
            <w:vAlign w:val="center"/>
          </w:tcPr>
          <w:p w14:paraId="2818682F">
            <w:pPr>
              <w:spacing w:after="0" w:line="240" w:lineRule="auto"/>
            </w:pPr>
            <w:r>
              <w:t>SD-12、SD-13、SD-14、SD-15</w:t>
            </w:r>
          </w:p>
        </w:tc>
        <w:tc>
          <w:tcPr>
            <w:tcW w:w="1728" w:type="dxa"/>
            <w:vAlign w:val="center"/>
          </w:tcPr>
          <w:p w14:paraId="6EC871B3">
            <w:pPr>
              <w:spacing w:after="0" w:line="240" w:lineRule="auto"/>
            </w:pPr>
            <w:r>
              <w:t>平台部署、清洗入库、增量更新、权限/审计、可追溯</w:t>
            </w:r>
          </w:p>
        </w:tc>
        <w:tc>
          <w:tcPr>
            <w:tcW w:w="1728" w:type="dxa"/>
            <w:vAlign w:val="center"/>
          </w:tcPr>
          <w:p w14:paraId="074540AC">
            <w:pPr>
              <w:spacing w:after="0" w:line="240" w:lineRule="auto"/>
            </w:pPr>
            <w:r>
              <w:t>首版知识库可用、更新与权限可用</w:t>
            </w:r>
          </w:p>
        </w:tc>
        <w:tc>
          <w:tcPr>
            <w:tcW w:w="1728" w:type="dxa"/>
            <w:vAlign w:val="center"/>
          </w:tcPr>
          <w:p w14:paraId="6D06D1E4">
            <w:pPr>
              <w:spacing w:after="0" w:line="240" w:lineRule="auto"/>
              <w:jc w:val="right"/>
            </w:pPr>
            <w:r>
              <w:t>2.0</w:t>
            </w:r>
          </w:p>
        </w:tc>
      </w:tr>
      <w:tr w14:paraId="19C2E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01FA946">
            <w:pPr>
              <w:spacing w:after="0" w:line="240" w:lineRule="auto"/>
            </w:pPr>
            <w:r>
              <w:t>S6 测试与交付</w:t>
            </w:r>
          </w:p>
        </w:tc>
        <w:tc>
          <w:tcPr>
            <w:tcW w:w="1728" w:type="dxa"/>
            <w:vAlign w:val="center"/>
          </w:tcPr>
          <w:p w14:paraId="732C1B35">
            <w:pPr>
              <w:spacing w:after="0" w:line="240" w:lineRule="auto"/>
            </w:pPr>
            <w:r>
              <w:t>SD-6、SD-10、SD-11</w:t>
            </w:r>
          </w:p>
        </w:tc>
        <w:tc>
          <w:tcPr>
            <w:tcW w:w="1728" w:type="dxa"/>
            <w:vAlign w:val="center"/>
          </w:tcPr>
          <w:p w14:paraId="29ED1E62">
            <w:pPr>
              <w:spacing w:after="0" w:line="240" w:lineRule="auto"/>
            </w:pPr>
            <w:r>
              <w:t>指标验证、稳定性测试、运行手册与操作说明</w:t>
            </w:r>
          </w:p>
        </w:tc>
        <w:tc>
          <w:tcPr>
            <w:tcW w:w="1728" w:type="dxa"/>
            <w:vAlign w:val="center"/>
          </w:tcPr>
          <w:p w14:paraId="22E64B65">
            <w:pPr>
              <w:spacing w:after="0" w:line="240" w:lineRule="auto"/>
            </w:pPr>
            <w:r>
              <w:t>交付包、测试报告、运维手册</w:t>
            </w:r>
          </w:p>
        </w:tc>
        <w:tc>
          <w:tcPr>
            <w:tcW w:w="1728" w:type="dxa"/>
            <w:vAlign w:val="center"/>
          </w:tcPr>
          <w:p w14:paraId="1211D979">
            <w:pPr>
              <w:spacing w:after="0" w:line="240" w:lineRule="auto"/>
              <w:jc w:val="right"/>
            </w:pPr>
            <w:r>
              <w:t>1.0</w:t>
            </w:r>
          </w:p>
        </w:tc>
      </w:tr>
      <w:tr w14:paraId="621C3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2E4793F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53141425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1BC884AA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76F048B6">
            <w:pPr>
              <w:spacing w:after="0" w:line="240" w:lineRule="auto"/>
            </w:pPr>
            <w:r>
              <w:rPr>
                <w:b/>
              </w:rPr>
              <w:t>合计</w:t>
            </w:r>
          </w:p>
        </w:tc>
        <w:tc>
          <w:tcPr>
            <w:tcW w:w="1728" w:type="dxa"/>
            <w:vAlign w:val="center"/>
          </w:tcPr>
          <w:p w14:paraId="70A05DF1">
            <w:pPr>
              <w:spacing w:after="0" w:line="240" w:lineRule="auto"/>
              <w:jc w:val="right"/>
            </w:pPr>
            <w:r>
              <w:rPr>
                <w:b/>
              </w:rPr>
              <w:t>8.0</w:t>
            </w:r>
          </w:p>
        </w:tc>
      </w:tr>
    </w:tbl>
    <w:p w14:paraId="6239F99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0D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before="200" w:after="200" w:line="276" w:lineRule="auto"/>
      <w:ind w:left="640" w:right="640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  <w:style w:type="character" w:customStyle="1" w:styleId="165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2174</Words>
  <Characters>2739</Characters>
  <Lines>0</Lines>
  <Paragraphs>0</Paragraphs>
  <TotalTime>0</TotalTime>
  <ScaleCrop>false</ScaleCrop>
  <LinksUpToDate>false</LinksUpToDate>
  <CharactersWithSpaces>2863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zeyu</cp:lastModifiedBy>
  <dcterms:modified xsi:type="dcterms:W3CDTF">2025-12-25T14:15:24Z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eyJoZGlkIjoiZGViZGQ5NjMwMWFkZTcxODE3OGUwNGY0ZmM3YWJiODAiLCJ1c2VySWQiOiI5NDczNDA4NTUifQ==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8E107A10C27C4F64AF00B107C3D1130E_12</vt:lpwstr>
  </property>
</Properties>
</file>