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0"/>
        <w:jc w:val="start"/>
        <w:rPr/>
      </w:pPr>
      <w:bookmarkStart w:id="0" w:name="figure-1"/>
      <w:r>
        <w:rPr/>
        <w:t>Figure 1</w:t>
      </w:r>
    </w:p>
    <w:p>
      <w:pPr>
        <w:pStyle w:val="CaptionedFigure"/>
        <w:bidi w:val="0"/>
        <w:jc w:val="start"/>
        <w:rPr/>
      </w:pPr>
      <w:r>
        <w:rPr/>
      </w:r>
    </w:p>
    <w:p>
      <w:pPr>
        <w:pStyle w:val="ImageCaption"/>
        <w:bidi w:val="0"/>
        <w:jc w:val="start"/>
        <w:rPr>
          <w:rFonts w:ascii="TeX Gyre Termes" w:hAnsi="TeX Gyre Termes"/>
          <w:i w:val="false"/>
          <w:i w:val="false"/>
          <w:iCs w:val="false"/>
        </w:rPr>
      </w:pPr>
      <w:r>
        <w:rPr>
          <w:rFonts w:ascii="TeX Gyre Termes" w:hAnsi="TeX Gyre Termes"/>
          <w:i w:val="false"/>
          <w:iCs w:val="false"/>
        </w:rPr>
        <w:t xml:space="preserve">Figure 1: </w:t>
      </w:r>
      <w:r>
        <w:rPr>
          <w:rFonts w:ascii="TeX Gyre Termes" w:hAnsi="TeX Gyre Termes"/>
          <w:i w:val="false"/>
          <w:iCs w:val="false"/>
        </w:rPr>
        <w:t>Relative abundance (RA) of foliar fungal endophytes (FEF)  in leaves of seedlings of seven tropical tree species. Data include OTUs representing Ascomycota only. (a) Box plots show individuals’ RA and its distribution by species.  (b) The RA of OTU’s by treatment within each tree species. Pink outlined box plots represent low endophyte (</w:t>
      </w:r>
      <w:r>
        <w:rPr>
          <w:rFonts w:ascii="TeX Gyre Termes" w:hAnsi="TeX Gyre Termes"/>
          <w:i/>
          <w:iCs/>
        </w:rPr>
        <w:t>E-low</w:t>
      </w:r>
      <w:r>
        <w:rPr>
          <w:rFonts w:ascii="TeX Gyre Termes" w:hAnsi="TeX Gyre Termes"/>
          <w:i w:val="false"/>
          <w:iCs w:val="false"/>
        </w:rPr>
        <w:t>) treatment and yellow filled represent high endophyte (</w:t>
      </w:r>
      <w:r>
        <w:rPr>
          <w:rFonts w:ascii="TeX Gyre Termes" w:hAnsi="TeX Gyre Termes"/>
          <w:i/>
          <w:iCs/>
        </w:rPr>
        <w:t>E-high</w:t>
      </w:r>
      <w:r>
        <w:rPr>
          <w:rFonts w:ascii="TeX Gyre Termes" w:hAnsi="TeX Gyre Termes"/>
          <w:i w:val="false"/>
          <w:iCs w:val="false"/>
        </w:rPr>
        <w:t xml:space="preserve">) treatment. Relative abundance is the percentage of endophyte colonization within individuals of the same species. </w:t>
      </w:r>
      <w:bookmarkEnd w:id="0"/>
      <w:r>
        <w:rPr>
          <w:rFonts w:ascii="TeX Gyre Termes" w:hAnsi="TeX Gyre Termes"/>
          <w:i w:val="false"/>
          <w:iCs w:val="false"/>
        </w:rPr>
        <w:t xml:space="preserve">Statistical significance was calculated using a two-sided Student’s t-Test. Significance levels are represented by </w:t>
      </w:r>
      <w:r>
        <w:rPr>
          <w:rFonts w:ascii="TeX Gyre Termes" w:hAnsi="TeX Gyre Termes"/>
          <w:i/>
          <w:iCs/>
        </w:rPr>
        <w:t>ns</w:t>
      </w:r>
      <w:r>
        <w:rPr>
          <w:rFonts w:ascii="TeX Gyre Termes" w:hAnsi="TeX Gyre Termes"/>
          <w:i w:val="false"/>
          <w:iCs w:val="false"/>
        </w:rPr>
        <w:t xml:space="preserve"> (not significant) and asterisks [</w:t>
      </w:r>
      <w:r>
        <w:rPr>
          <w:rFonts w:ascii="TeX Gyre Termes" w:hAnsi="TeX Gyre Termes"/>
          <w:i/>
          <w:iCs/>
        </w:rPr>
        <w:t xml:space="preserve">p </w:t>
      </w:r>
      <w:r>
        <w:rPr>
          <w:rFonts w:ascii="TeX Gyre Termes" w:hAnsi="TeX Gyre Termes"/>
          <w:i w:val="false"/>
          <w:iCs w:val="false"/>
        </w:rPr>
        <w:t xml:space="preserve">&lt; .05 (*), </w:t>
      </w:r>
      <w:r>
        <w:rPr>
          <w:rFonts w:ascii="TeX Gyre Termes" w:hAnsi="TeX Gyre Termes"/>
          <w:i/>
          <w:iCs/>
        </w:rPr>
        <w:t xml:space="preserve">p </w:t>
      </w:r>
      <w:r>
        <w:rPr>
          <w:rFonts w:ascii="TeX Gyre Termes" w:hAnsi="TeX Gyre Termes"/>
          <w:i w:val="false"/>
          <w:iCs w:val="false"/>
        </w:rPr>
        <w:t>&lt; .01 (**),</w:t>
      </w:r>
      <w:r>
        <w:rPr>
          <w:rFonts w:ascii="TeX Gyre Termes" w:hAnsi="TeX Gyre Termes"/>
          <w:i/>
          <w:iCs/>
        </w:rPr>
        <w:t xml:space="preserve"> p </w:t>
      </w:r>
      <w:r>
        <w:rPr>
          <w:rFonts w:ascii="TeX Gyre Termes" w:hAnsi="TeX Gyre Termes"/>
          <w:i w:val="false"/>
          <w:iCs w:val="false"/>
        </w:rPr>
        <w:t xml:space="preserve">&lt; .001 (***), </w:t>
      </w:r>
      <w:r>
        <w:rPr>
          <w:rFonts w:ascii="TeX Gyre Termes" w:hAnsi="TeX Gyre Termes"/>
          <w:i/>
          <w:iCs/>
        </w:rPr>
        <w:t xml:space="preserve">p </w:t>
      </w:r>
      <w:r>
        <w:rPr>
          <w:rFonts w:ascii="TeX Gyre Termes" w:hAnsi="TeX Gyre Termes"/>
          <w:i w:val="false"/>
          <w:iCs w:val="false"/>
        </w:rPr>
        <w:t xml:space="preserve">&lt; .001 (***), and </w:t>
      </w:r>
      <w:r>
        <w:rPr>
          <w:rFonts w:ascii="TeX Gyre Termes" w:hAnsi="TeX Gyre Termes"/>
          <w:i/>
          <w:iCs/>
        </w:rPr>
        <w:t xml:space="preserve">p </w:t>
      </w:r>
      <w:r>
        <w:rPr>
          <w:rFonts w:ascii="TeX Gyre Termes" w:hAnsi="TeX Gyre Termes"/>
          <w:i w:val="false"/>
          <w:iCs w:val="false"/>
        </w:rPr>
        <w:t>&lt; .0001 (****)].</w:t>
      </w:r>
    </w:p>
    <w:p>
      <w:pPr>
        <w:pStyle w:val="Heading2"/>
        <w:bidi w:val="0"/>
        <w:jc w:val="start"/>
        <w:rPr/>
      </w:pPr>
      <w:bookmarkStart w:id="1" w:name="figure-2"/>
      <w:r>
        <w:rPr/>
        <w:t>Figure 2</w:t>
      </w:r>
    </w:p>
    <w:p>
      <w:pPr>
        <w:pStyle w:val="CaptionedFigure"/>
        <w:bidi w:val="0"/>
        <w:jc w:val="start"/>
        <w:rPr>
          <w:rFonts w:ascii="TeX Gyre Termes" w:hAnsi="TeX Gyre Termes"/>
        </w:rPr>
      </w:pPr>
      <w:r>
        <w:rPr/>
      </w:r>
    </w:p>
    <w:p>
      <w:pPr>
        <w:pStyle w:val="ImageCaption"/>
        <w:bidi w:val="0"/>
        <w:jc w:val="start"/>
        <w:rPr>
          <w:rFonts w:ascii="TeX Gyre Termes" w:hAnsi="TeX Gyre Termes"/>
          <w:i w:val="false"/>
          <w:i w:val="false"/>
          <w:iCs w:val="false"/>
        </w:rPr>
      </w:pPr>
      <w:r>
        <w:rPr>
          <w:rFonts w:ascii="TeX Gyre Termes" w:hAnsi="TeX Gyre Termes"/>
          <w:i w:val="false"/>
          <w:iCs w:val="false"/>
        </w:rPr>
        <w:t xml:space="preserve">Figure 2: </w:t>
      </w:r>
      <w:r>
        <w:rPr>
          <w:rFonts w:ascii="TeX Gyre Termes" w:hAnsi="TeX Gyre Termes"/>
          <w:i w:val="false"/>
          <w:iCs w:val="false"/>
        </w:rPr>
        <w:t>Distrib</w:t>
      </w:r>
      <w:r>
        <w:rPr>
          <w:rFonts w:ascii="TeX Gyre Termes" w:hAnsi="TeX Gyre Termes"/>
          <w:i w:val="false"/>
          <w:iCs w:val="false"/>
          <w:color w:val="000000"/>
        </w:rPr>
        <w:t>ution</w:t>
      </w:r>
      <w:r>
        <w:rPr>
          <w:rFonts w:eastAsia="Cambria" w:ascii="TeX Gyre Termes" w:hAnsi="TeX Gyre Termes"/>
          <w:i w:val="false"/>
          <w:iCs w:val="false"/>
          <w:color w:val="000000"/>
        </w:rPr>
        <w:t xml:space="preserve"> of values </w:t>
      </w:r>
      <w:r>
        <w:rPr>
          <w:rFonts w:ascii="TeX Gyre Termes" w:hAnsi="TeX Gyre Termes"/>
          <w:i w:val="false"/>
          <w:iCs w:val="false"/>
          <w:color w:val="000000"/>
        </w:rPr>
        <w:t xml:space="preserve">of herbivory (%) damage caused by </w:t>
      </w:r>
      <w:r>
        <w:rPr>
          <w:rFonts w:ascii="TeX Gyre Termes" w:hAnsi="TeX Gyre Termes"/>
          <w:i/>
          <w:iCs/>
          <w:color w:val="000000"/>
        </w:rPr>
        <w:t xml:space="preserve">Atta colombica </w:t>
      </w:r>
      <w:r>
        <w:rPr>
          <w:rFonts w:ascii="TeX Gyre Termes" w:hAnsi="TeX Gyre Termes"/>
          <w:i w:val="false"/>
          <w:iCs w:val="false"/>
          <w:color w:val="000000"/>
        </w:rPr>
        <w:t>in treatment groups (</w:t>
      </w:r>
      <w:r>
        <w:rPr>
          <w:rFonts w:ascii="TeX Gyre Termes" w:hAnsi="TeX Gyre Termes"/>
          <w:i/>
          <w:iCs/>
          <w:color w:val="000000"/>
        </w:rPr>
        <w:t>E-low</w:t>
      </w:r>
      <w:r>
        <w:rPr>
          <w:rFonts w:ascii="TeX Gyre Termes" w:hAnsi="TeX Gyre Termes"/>
          <w:i w:val="false"/>
          <w:iCs w:val="false"/>
          <w:color w:val="000000"/>
        </w:rPr>
        <w:t xml:space="preserve"> and </w:t>
      </w:r>
      <w:r>
        <w:rPr>
          <w:rFonts w:ascii="TeX Gyre Termes" w:hAnsi="TeX Gyre Termes"/>
          <w:i/>
          <w:iCs/>
          <w:color w:val="000000"/>
        </w:rPr>
        <w:t>E-high</w:t>
      </w:r>
      <w:r>
        <w:rPr>
          <w:rFonts w:ascii="TeX Gyre Termes" w:hAnsi="TeX Gyre Termes"/>
          <w:i w:val="false"/>
          <w:iCs w:val="false"/>
          <w:color w:val="000000"/>
        </w:rPr>
        <w:t xml:space="preserve">) and </w:t>
      </w:r>
      <w:r>
        <w:rPr>
          <w:rFonts w:ascii="TeX Gyre Termes" w:hAnsi="TeX Gyre Termes"/>
          <w:i w:val="false"/>
          <w:iCs w:val="false"/>
          <w:color w:val="000000"/>
          <w:sz w:val="21"/>
        </w:rPr>
        <w:t>pathogen damage cause by </w:t>
      </w:r>
      <w:r>
        <w:rPr>
          <w:rFonts w:ascii="TeX Gyre Termes" w:hAnsi="TeX Gyre Termes"/>
          <w:i/>
          <w:iCs/>
          <w:color w:val="000000"/>
          <w:sz w:val="21"/>
        </w:rPr>
        <w:t>Calonectria</w:t>
      </w:r>
      <w:r>
        <w:rPr>
          <w:rFonts w:ascii="TeX Gyre Termes" w:hAnsi="TeX Gyre Termes"/>
          <w:i/>
          <w:iCs/>
          <w:color w:val="000000"/>
        </w:rPr>
        <w:t> </w:t>
      </w:r>
      <w:r>
        <w:rPr>
          <w:rFonts w:ascii="TeX Gyre Termes" w:hAnsi="TeX Gyre Termes"/>
          <w:i w:val="false"/>
          <w:iCs w:val="false"/>
          <w:color w:val="000000"/>
          <w:sz w:val="21"/>
        </w:rPr>
        <w:t>sp. tree species</w:t>
      </w:r>
      <w:r>
        <w:rPr>
          <w:rFonts w:ascii="TeX Gyre Termes" w:hAnsi="TeX Gyre Termes"/>
          <w:i w:val="false"/>
          <w:iCs w:val="false"/>
          <w:color w:val="000000"/>
        </w:rPr>
        <w:t>. a) Comparison of herbivory (%) means between treatment groups across individuals of all species.  b)</w:t>
      </w:r>
      <w:r>
        <w:rPr>
          <w:rFonts w:ascii="TeX Gyre Termes" w:hAnsi="TeX Gyre Termes"/>
          <w:i w:val="false"/>
          <w:iCs w:val="false"/>
          <w:color w:val="C9211E"/>
        </w:rPr>
        <w:t xml:space="preserve"> </w:t>
      </w:r>
      <w:r>
        <w:rPr>
          <w:rFonts w:ascii="TeX Gyre Termes" w:hAnsi="TeX Gyre Termes"/>
          <w:i w:val="false"/>
          <w:iCs w:val="false"/>
          <w:color w:val="000000"/>
        </w:rPr>
        <w:t>Comparison of the absolute pathogen damage (%) means between treatment groups across individuals of all species (values from 'control' treated leaves were subtracted from 'pathogen' treated leaves). Pink represents low FEF group (</w:t>
      </w:r>
      <w:r>
        <w:rPr>
          <w:rFonts w:ascii="TeX Gyre Termes" w:hAnsi="TeX Gyre Termes"/>
          <w:i/>
          <w:iCs/>
          <w:color w:val="000000"/>
        </w:rPr>
        <w:t>E-low</w:t>
      </w:r>
      <w:r>
        <w:rPr>
          <w:rFonts w:ascii="TeX Gyre Termes" w:hAnsi="TeX Gyre Termes"/>
          <w:i w:val="false"/>
          <w:iCs w:val="false"/>
          <w:color w:val="000000"/>
        </w:rPr>
        <w:t>) and yellow outlined box plots represent high FEF group (</w:t>
      </w:r>
      <w:r>
        <w:rPr>
          <w:rFonts w:ascii="TeX Gyre Termes" w:hAnsi="TeX Gyre Termes"/>
          <w:i/>
          <w:iCs/>
          <w:color w:val="000000"/>
        </w:rPr>
        <w:t>E-high</w:t>
      </w:r>
      <w:r>
        <w:rPr>
          <w:rFonts w:ascii="TeX Gyre Termes" w:hAnsi="TeX Gyre Termes"/>
          <w:i w:val="false"/>
          <w:iCs w:val="false"/>
          <w:color w:val="000000"/>
        </w:rPr>
        <w:t xml:space="preserve">). </w:t>
      </w:r>
      <w:r>
        <w:rPr>
          <w:rFonts w:ascii="TeX Gyre Termes" w:hAnsi="TeX Gyre Termes"/>
          <w:i w:val="false"/>
          <w:iCs w:val="false"/>
        </w:rPr>
        <w:t xml:space="preserve">Statistical significance was calculated using a two-sided Student’s t-Test. </w:t>
      </w:r>
      <w:bookmarkEnd w:id="1"/>
      <w:r>
        <w:rPr>
          <w:rFonts w:ascii="TeX Gyre Termes" w:hAnsi="TeX Gyre Termes"/>
          <w:i w:val="false"/>
          <w:iCs w:val="false"/>
        </w:rPr>
        <w:t xml:space="preserve">Significance levels are represented by </w:t>
      </w:r>
      <w:r>
        <w:rPr>
          <w:rFonts w:ascii="TeX Gyre Termes" w:hAnsi="TeX Gyre Termes"/>
          <w:i/>
          <w:iCs/>
        </w:rPr>
        <w:t>ns</w:t>
      </w:r>
      <w:r>
        <w:rPr>
          <w:rFonts w:ascii="TeX Gyre Termes" w:hAnsi="TeX Gyre Termes"/>
          <w:i w:val="false"/>
          <w:iCs w:val="false"/>
        </w:rPr>
        <w:t xml:space="preserve"> (not significant) and asterisks [</w:t>
      </w:r>
      <w:r>
        <w:rPr>
          <w:rFonts w:ascii="TeX Gyre Termes" w:hAnsi="TeX Gyre Termes"/>
          <w:i/>
          <w:iCs/>
        </w:rPr>
        <w:t xml:space="preserve">p </w:t>
      </w:r>
      <w:r>
        <w:rPr>
          <w:rFonts w:ascii="TeX Gyre Termes" w:hAnsi="TeX Gyre Termes"/>
          <w:i w:val="false"/>
          <w:iCs w:val="false"/>
        </w:rPr>
        <w:t xml:space="preserve">&lt; .05 (*), </w:t>
      </w:r>
      <w:r>
        <w:rPr>
          <w:rFonts w:ascii="TeX Gyre Termes" w:hAnsi="TeX Gyre Termes"/>
          <w:i/>
          <w:iCs/>
        </w:rPr>
        <w:t xml:space="preserve">p </w:t>
      </w:r>
      <w:r>
        <w:rPr>
          <w:rFonts w:ascii="TeX Gyre Termes" w:hAnsi="TeX Gyre Termes"/>
          <w:i w:val="false"/>
          <w:iCs w:val="false"/>
        </w:rPr>
        <w:t>&lt; .01 (**),</w:t>
      </w:r>
      <w:r>
        <w:rPr>
          <w:rFonts w:ascii="TeX Gyre Termes" w:hAnsi="TeX Gyre Termes"/>
          <w:i/>
          <w:iCs/>
        </w:rPr>
        <w:t xml:space="preserve"> p </w:t>
      </w:r>
      <w:r>
        <w:rPr>
          <w:rFonts w:ascii="TeX Gyre Termes" w:hAnsi="TeX Gyre Termes"/>
          <w:i w:val="false"/>
          <w:iCs w:val="false"/>
        </w:rPr>
        <w:t xml:space="preserve">&lt; .001 (***), </w:t>
      </w:r>
      <w:r>
        <w:rPr>
          <w:rFonts w:ascii="TeX Gyre Termes" w:hAnsi="TeX Gyre Termes"/>
          <w:i/>
          <w:iCs/>
        </w:rPr>
        <w:t xml:space="preserve">p </w:t>
      </w:r>
      <w:r>
        <w:rPr>
          <w:rFonts w:ascii="TeX Gyre Termes" w:hAnsi="TeX Gyre Termes"/>
          <w:i w:val="false"/>
          <w:iCs w:val="false"/>
        </w:rPr>
        <w:t xml:space="preserve">&lt; .001 (***), and </w:t>
      </w:r>
      <w:r>
        <w:rPr>
          <w:rFonts w:ascii="TeX Gyre Termes" w:hAnsi="TeX Gyre Termes"/>
          <w:i/>
          <w:iCs/>
        </w:rPr>
        <w:t xml:space="preserve">p </w:t>
      </w:r>
      <w:r>
        <w:rPr>
          <w:rFonts w:ascii="TeX Gyre Termes" w:hAnsi="TeX Gyre Termes"/>
          <w:i w:val="false"/>
          <w:iCs w:val="false"/>
        </w:rPr>
        <w:t>&lt; .0001 (****)].</w:t>
      </w:r>
    </w:p>
    <w:p>
      <w:pPr>
        <w:pStyle w:val="Heading2"/>
        <w:bidi w:val="0"/>
        <w:jc w:val="start"/>
        <w:rPr/>
      </w:pPr>
      <w:bookmarkStart w:id="2" w:name="figure-3"/>
      <w:r>
        <w:rPr/>
        <w:t>Figure 3</w:t>
      </w:r>
    </w:p>
    <w:p>
      <w:pPr>
        <w:pStyle w:val="CaptionedFigure"/>
        <w:bidi w:val="0"/>
        <w:jc w:val="start"/>
        <w:rPr/>
      </w:pPr>
      <w:r>
        <w:rPr/>
      </w:r>
    </w:p>
    <w:p>
      <w:pPr>
        <w:pStyle w:val="ImageCaption"/>
        <w:bidi w:val="0"/>
        <w:jc w:val="start"/>
        <w:rPr>
          <w:rFonts w:ascii="TeX Gyre Termes" w:hAnsi="TeX Gyre Termes"/>
          <w:i w:val="false"/>
          <w:i w:val="false"/>
          <w:iCs w:val="false"/>
        </w:rPr>
      </w:pPr>
      <w:r>
        <w:rPr>
          <w:rFonts w:ascii="TeX Gyre Termes" w:hAnsi="TeX Gyre Termes"/>
          <w:i w:val="false"/>
          <w:iCs w:val="false"/>
        </w:rPr>
        <w:t xml:space="preserve">Figure 3: </w:t>
      </w:r>
      <w:r>
        <w:rPr>
          <w:rFonts w:ascii="TeX Gyre Termes" w:hAnsi="TeX Gyre Termes"/>
          <w:i w:val="false"/>
          <w:iCs w:val="false"/>
        </w:rPr>
        <w:t>FEF community composition was associated with leaf functional traits from the leaf economic spectrum. The plot shows the variation in FEF community composition within and between host species (</w:t>
      </w:r>
      <w:r>
        <w:rPr>
          <w:rFonts w:ascii="TeX Gyre Termes" w:hAnsi="TeX Gyre Termes"/>
          <w:i/>
          <w:iCs/>
        </w:rPr>
        <w:t xml:space="preserve">n </w:t>
      </w:r>
      <w:r>
        <w:rPr>
          <w:rFonts w:ascii="TeX Gyre Termes" w:hAnsi="TeX Gyre Termes"/>
          <w:i w:val="false"/>
          <w:iCs w:val="false"/>
        </w:rPr>
        <w:t>= 7) and treatment groups (</w:t>
      </w:r>
      <w:r>
        <w:rPr>
          <w:rFonts w:ascii="TeX Gyre Termes" w:hAnsi="TeX Gyre Termes"/>
          <w:i/>
          <w:iCs/>
        </w:rPr>
        <w:t>E-low</w:t>
      </w:r>
      <w:r>
        <w:rPr>
          <w:rFonts w:ascii="TeX Gyre Termes" w:hAnsi="TeX Gyre Termes"/>
          <w:i w:val="false"/>
          <w:iCs w:val="false"/>
        </w:rPr>
        <w:t xml:space="preserve">, </w:t>
      </w:r>
      <w:r>
        <w:rPr>
          <w:rFonts w:ascii="TeX Gyre Termes" w:hAnsi="TeX Gyre Termes"/>
          <w:i/>
          <w:iCs/>
        </w:rPr>
        <w:t>E-high</w:t>
      </w:r>
      <w:r>
        <w:rPr>
          <w:rFonts w:ascii="TeX Gyre Termes" w:hAnsi="TeX Gyre Termes"/>
          <w:i w:val="false"/>
          <w:iCs w:val="false"/>
        </w:rPr>
        <w:t>) based on  distance-based redundancy analyses (dbRDA). Solid black arrows represent statistically significant associations (</w:t>
      </w:r>
      <w:r>
        <w:rPr>
          <w:rFonts w:ascii="TeX Gyre Termes" w:hAnsi="TeX Gyre Termes"/>
          <w:i/>
          <w:iCs/>
        </w:rPr>
        <w:t xml:space="preserve">p </w:t>
      </w:r>
      <w:r>
        <w:rPr>
          <w:rFonts w:ascii="TeX Gyre Termes" w:hAnsi="TeX Gyre Termes"/>
          <w:i w:val="false"/>
          <w:iCs w:val="false"/>
        </w:rPr>
        <w:t>&lt; .01). Arrows are displayed at double their actual size to enhance visual clarity. Each point represents a FEF community sample from one host tree species per treatment group; colors represent host tree species. Circles and filled triangles represent low (</w:t>
      </w:r>
      <w:r>
        <w:rPr>
          <w:rFonts w:ascii="TeX Gyre Termes" w:hAnsi="TeX Gyre Termes"/>
          <w:i/>
          <w:iCs/>
        </w:rPr>
        <w:t>E-low</w:t>
      </w:r>
      <w:r>
        <w:rPr>
          <w:rFonts w:ascii="TeX Gyre Termes" w:hAnsi="TeX Gyre Termes"/>
          <w:i w:val="false"/>
          <w:iCs w:val="false"/>
        </w:rPr>
        <w:t>) and high (</w:t>
      </w:r>
      <w:r>
        <w:rPr>
          <w:rFonts w:ascii="TeX Gyre Termes" w:hAnsi="TeX Gyre Termes"/>
          <w:i/>
          <w:iCs/>
        </w:rPr>
        <w:t>E-high</w:t>
      </w:r>
      <w:r>
        <w:rPr>
          <w:rFonts w:ascii="TeX Gyre Termes" w:hAnsi="TeX Gyre Termes"/>
          <w:i w:val="false"/>
          <w:iCs w:val="false"/>
        </w:rPr>
        <w:t>) FEF treatment groups, respectively.</w:t>
      </w:r>
      <w:bookmarkEnd w:id="2"/>
    </w:p>
    <w:p>
      <w:pPr>
        <w:pStyle w:val="Heading2"/>
        <w:bidi w:val="0"/>
        <w:jc w:val="start"/>
        <w:rPr/>
      </w:pPr>
      <w:bookmarkStart w:id="3" w:name="figure-4"/>
      <w:r>
        <w:rPr/>
        <w:t>Figure 4</w:t>
      </w:r>
    </w:p>
    <w:p>
      <w:pPr>
        <w:pStyle w:val="CaptionedFigure"/>
        <w:bidi w:val="0"/>
        <w:jc w:val="start"/>
        <w:rPr/>
      </w:pPr>
      <w:r>
        <w:rPr/>
      </w:r>
    </w:p>
    <w:p>
      <w:pPr>
        <w:pStyle w:val="ImageCaption"/>
        <w:bidi w:val="0"/>
        <w:jc w:val="start"/>
        <w:rPr>
          <w:rFonts w:ascii="TeX Gyre Termes" w:hAnsi="TeX Gyre Termes"/>
          <w:i w:val="false"/>
          <w:i w:val="false"/>
          <w:iCs w:val="false"/>
        </w:rPr>
      </w:pPr>
      <w:r>
        <w:rPr>
          <w:rFonts w:ascii="TeX Gyre Termes" w:hAnsi="TeX Gyre Termes"/>
          <w:i w:val="false"/>
          <w:iCs w:val="false"/>
        </w:rPr>
        <w:t xml:space="preserve">Figure 4: </w:t>
      </w:r>
      <w:r>
        <w:rPr>
          <w:rFonts w:ascii="TeX Gyre Termes" w:hAnsi="TeX Gyre Termes"/>
          <w:i w:val="false"/>
          <w:iCs w:val="false"/>
        </w:rPr>
        <w:t xml:space="preserve">Leaf functional traits are conserved within tree species regardless of endophyte load treatment. (a) Principal Component Analysis (PCA) of leaf functional traits from all tree species separated by </w:t>
      </w:r>
      <w:r>
        <w:rPr>
          <w:rFonts w:ascii="TeX Gyre Termes" w:hAnsi="TeX Gyre Termes"/>
          <w:i/>
          <w:iCs/>
        </w:rPr>
        <w:t>E-low</w:t>
      </w:r>
      <w:r>
        <w:rPr>
          <w:rFonts w:ascii="TeX Gyre Termes" w:hAnsi="TeX Gyre Termes"/>
          <w:i w:val="false"/>
          <w:iCs w:val="false"/>
        </w:rPr>
        <w:t xml:space="preserve"> and </w:t>
      </w:r>
      <w:r>
        <w:rPr>
          <w:rFonts w:ascii="TeX Gyre Termes" w:hAnsi="TeX Gyre Termes"/>
          <w:i/>
          <w:iCs/>
        </w:rPr>
        <w:t>E-high</w:t>
      </w:r>
      <w:r>
        <w:rPr>
          <w:rFonts w:ascii="TeX Gyre Termes" w:hAnsi="TeX Gyre Termes"/>
          <w:i w:val="false"/>
          <w:iCs w:val="false"/>
        </w:rPr>
        <w:t xml:space="preserve"> treatment. (b) PCA of leaf functional traits of plants solely used in ant herbivory assays. (c) PCA leaf functional traits of plants used solely in pathogen damage assays. Colors represent tree species. Circle and triangles represent low (</w:t>
      </w:r>
      <w:r>
        <w:rPr>
          <w:rFonts w:ascii="TeX Gyre Termes" w:hAnsi="TeX Gyre Termes"/>
          <w:i/>
          <w:iCs/>
        </w:rPr>
        <w:t>E-low</w:t>
      </w:r>
      <w:r>
        <w:rPr>
          <w:rFonts w:ascii="TeX Gyre Termes" w:hAnsi="TeX Gyre Termes"/>
          <w:i w:val="false"/>
          <w:iCs w:val="false"/>
        </w:rPr>
        <w:t>) and high (E-high) FEF treatment groups, respectively. Colored ellipses correspond to tree species and represent 95% confidence intervals.</w:t>
      </w:r>
      <w:bookmarkEnd w:id="3"/>
    </w:p>
    <w:p>
      <w:pPr>
        <w:pStyle w:val="Heading2"/>
        <w:bidi w:val="0"/>
        <w:jc w:val="start"/>
        <w:rPr/>
      </w:pPr>
      <w:r>
        <w:rPr/>
        <w:t>Figure 5</w:t>
      </w:r>
    </w:p>
    <w:p>
      <w:pPr>
        <w:pStyle w:val="ImageCaption"/>
        <w:bidi w:val="0"/>
        <w:spacing w:before="480" w:after="0"/>
        <w:jc w:val="start"/>
        <w:rPr/>
      </w:pPr>
      <w:r>
        <w:rPr>
          <w:rFonts w:ascii="TeX Gyre Termes" w:hAnsi="TeX Gyre Termes"/>
          <w:i w:val="false"/>
          <w:iCs w:val="false"/>
        </w:rPr>
        <w:t xml:space="preserve">Figure 5: </w:t>
      </w:r>
      <w:r>
        <w:rPr>
          <w:rFonts w:ascii="TeX Gyre Termes" w:hAnsi="TeX Gyre Termes"/>
          <w:i w:val="false"/>
          <w:iCs w:val="false"/>
        </w:rPr>
        <w:t>Simple linear regressions of herbivory and pathogen damage on PC1 and PC2 axes from PCAs of leaf traits for ant herbivory and pathogen damage assays. Linear regression of a) percent herbivory damage and PC1 axis (R</w:t>
      </w:r>
      <w:r>
        <w:rPr>
          <w:rFonts w:ascii="TeX Gyre Termes" w:hAnsi="TeX Gyre Termes"/>
          <w:i w:val="false"/>
          <w:iCs w:val="false"/>
          <w:vertAlign w:val="superscript"/>
        </w:rPr>
        <w:t>2</w:t>
      </w:r>
      <w:r>
        <w:rPr>
          <w:rFonts w:ascii="TeX Gyre Termes" w:hAnsi="TeX Gyre Termes"/>
          <w:i w:val="false"/>
          <w:iCs w:val="false"/>
          <w:vertAlign w:val="subscript"/>
        </w:rPr>
        <w:t>adj</w:t>
      </w:r>
      <w:r>
        <w:rPr>
          <w:rFonts w:ascii="TeX Gyre Termes" w:hAnsi="TeX Gyre Termes"/>
          <w:i w:val="false"/>
          <w:iCs w:val="false"/>
        </w:rPr>
        <w:t xml:space="preserve"> = -0.0024, p = 0.447); b) percent herbivory damage and PC2 axis (R</w:t>
      </w:r>
      <w:r>
        <w:rPr>
          <w:rFonts w:ascii="TeX Gyre Termes" w:hAnsi="TeX Gyre Termes"/>
          <w:i w:val="false"/>
          <w:iCs w:val="false"/>
          <w:vertAlign w:val="superscript"/>
        </w:rPr>
        <w:t>2</w:t>
      </w:r>
      <w:r>
        <w:rPr>
          <w:rFonts w:ascii="TeX Gyre Termes" w:hAnsi="TeX Gyre Termes"/>
          <w:i w:val="false"/>
          <w:iCs w:val="false"/>
          <w:vertAlign w:val="subscript"/>
        </w:rPr>
        <w:t>adj</w:t>
      </w:r>
      <w:r>
        <w:rPr>
          <w:rFonts w:ascii="TeX Gyre Termes" w:hAnsi="TeX Gyre Termes"/>
          <w:i w:val="false"/>
          <w:iCs w:val="false"/>
        </w:rPr>
        <w:t xml:space="preserve"> = 0.079, </w:t>
      </w:r>
      <w:r>
        <w:rPr>
          <w:rFonts w:ascii="TeX Gyre Termes" w:hAnsi="TeX Gyre Termes"/>
          <w:i/>
          <w:iCs/>
        </w:rPr>
        <w:t>p</w:t>
      </w:r>
      <w:r>
        <w:rPr>
          <w:rFonts w:ascii="TeX Gyre Termes" w:hAnsi="TeX Gyre Termes"/>
          <w:i w:val="false"/>
          <w:iCs w:val="false"/>
        </w:rPr>
        <w:t xml:space="preserve"> = &lt; .001); c) percent pathogen damage and PC1 axis (R</w:t>
      </w:r>
      <w:r>
        <w:rPr>
          <w:rFonts w:ascii="TeX Gyre Termes" w:hAnsi="TeX Gyre Termes"/>
          <w:i w:val="false"/>
          <w:iCs w:val="false"/>
          <w:vertAlign w:val="superscript"/>
        </w:rPr>
        <w:t>2</w:t>
      </w:r>
      <w:r>
        <w:rPr>
          <w:rFonts w:ascii="TeX Gyre Termes" w:hAnsi="TeX Gyre Termes"/>
          <w:i w:val="false"/>
          <w:iCs w:val="false"/>
        </w:rPr>
        <w:t xml:space="preserve">-adjusted = 0.064, </w:t>
      </w:r>
      <w:r>
        <w:rPr>
          <w:rFonts w:ascii="TeX Gyre Termes" w:hAnsi="TeX Gyre Termes"/>
          <w:i/>
          <w:iCs/>
        </w:rPr>
        <w:t>p</w:t>
      </w:r>
      <w:r>
        <w:rPr>
          <w:rFonts w:ascii="TeX Gyre Termes" w:hAnsi="TeX Gyre Termes"/>
          <w:i w:val="false"/>
          <w:iCs w:val="false"/>
        </w:rPr>
        <w:t xml:space="preserve"> = &lt; .001); and d) percent pathogen damage and PC2 axis (R</w:t>
      </w:r>
      <w:r>
        <w:rPr>
          <w:rFonts w:ascii="TeX Gyre Termes" w:hAnsi="TeX Gyre Termes"/>
          <w:i w:val="false"/>
          <w:iCs w:val="false"/>
          <w:vertAlign w:val="superscript"/>
        </w:rPr>
        <w:t>2</w:t>
      </w:r>
      <w:r>
        <w:rPr>
          <w:rFonts w:ascii="TeX Gyre Termes" w:hAnsi="TeX Gyre Termes"/>
          <w:i w:val="false"/>
          <w:iCs w:val="false"/>
          <w:vertAlign w:val="subscript"/>
        </w:rPr>
        <w:t>adj</w:t>
      </w:r>
      <w:r>
        <w:rPr>
          <w:rFonts w:ascii="TeX Gyre Termes" w:hAnsi="TeX Gyre Termes"/>
          <w:i w:val="false"/>
          <w:iCs w:val="false"/>
        </w:rPr>
        <w:t xml:space="preserve"> = 0.0016, </w:t>
      </w:r>
      <w:r>
        <w:rPr>
          <w:rFonts w:ascii="TeX Gyre Termes" w:hAnsi="TeX Gyre Termes"/>
          <w:i/>
          <w:iCs/>
        </w:rPr>
        <w:t>p</w:t>
      </w:r>
      <w:r>
        <w:rPr>
          <w:rFonts w:ascii="TeX Gyre Termes" w:hAnsi="TeX Gyre Termes"/>
          <w:i w:val="false"/>
          <w:iCs w:val="false"/>
        </w:rPr>
        <w:t xml:space="preserve"> = .207). Colors represent individual species. Circle and triangles represent </w:t>
      </w:r>
      <w:r>
        <w:rPr>
          <w:rFonts w:ascii="TeX Gyre Termes" w:hAnsi="TeX Gyre Termes"/>
          <w:i/>
          <w:iCs/>
        </w:rPr>
        <w:t>E-low</w:t>
      </w:r>
      <w:r>
        <w:rPr>
          <w:rFonts w:ascii="TeX Gyre Termes" w:hAnsi="TeX Gyre Termes"/>
          <w:i w:val="false"/>
          <w:iCs w:val="false"/>
        </w:rPr>
        <w:t xml:space="preserve"> and </w:t>
      </w:r>
      <w:r>
        <w:rPr>
          <w:rFonts w:ascii="TeX Gyre Termes" w:hAnsi="TeX Gyre Termes"/>
          <w:i/>
          <w:iCs/>
        </w:rPr>
        <w:t>E-high</w:t>
      </w:r>
      <w:r>
        <w:rPr>
          <w:rFonts w:ascii="TeX Gyre Termes" w:hAnsi="TeX Gyre Termes"/>
          <w:i w:val="false"/>
          <w:iCs w:val="false"/>
        </w:rPr>
        <w:t xml:space="preserve"> treatments, respectively.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nos">
    <w:charset w:val="01" w:characterSet="utf-8"/>
    <w:family w:val="roman"/>
    <w:pitch w:val="variable"/>
  </w:font>
  <w:font w:name="Arimo">
    <w:altName w:val="arial"/>
    <w:charset w:val="01" w:characterSet="utf-8"/>
    <w:family w:val="swiss"/>
    <w:pitch w:val="variable"/>
  </w:font>
  <w:font w:name="TeX Gyre Termes">
    <w:charset w:val="01"/>
    <w:family w:val="auto"/>
    <w:pitch w:val="variable"/>
  </w:font>
</w:fonts>
</file>

<file path=word/settings.xml><?xml version="1.0" encoding="utf-8"?>
<w:settings xmlns:w="http://schemas.openxmlformats.org/wordprocessingml/2006/main">
  <w:zoom w:percent="68"/>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nos" w:hAnsi="Tinos"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nos" w:hAnsi="Tinos" w:eastAsia="Noto Sans" w:cs="FreeSans"/>
      <w:color w:val="auto"/>
      <w:kern w:val="2"/>
      <w:sz w:val="24"/>
      <w:szCs w:val="24"/>
      <w:lang w:val="en-US" w:eastAsia="zh-CN" w:bidi="hi-IN"/>
    </w:rPr>
  </w:style>
  <w:style w:type="paragraph" w:styleId="Heading2">
    <w:name w:val="heading 2"/>
    <w:basedOn w:val="Normal"/>
    <w:next w:val="BodyText"/>
    <w:qFormat/>
    <w:pPr>
      <w:keepNext w:val="true"/>
      <w:keepLines/>
      <w:spacing w:before="200" w:after="0"/>
      <w:outlineLvl w:val="1"/>
    </w:pPr>
    <w:rPr>
      <w:rFonts w:eastAsia="" w:cs="" w:cstheme="majorBidi" w:eastAsiaTheme="majorEastAsia"/>
      <w:b/>
      <w:bCs/>
      <w:color w:val="000000"/>
      <w:sz w:val="28"/>
      <w:szCs w:val="28"/>
    </w:rPr>
  </w:style>
  <w:style w:type="paragraph" w:styleId="Heading">
    <w:name w:val="Heading"/>
    <w:basedOn w:val="Normal"/>
    <w:next w:val="BodyText"/>
    <w:qFormat/>
    <w:pPr>
      <w:keepNext w:val="true"/>
      <w:spacing w:before="240" w:after="120"/>
    </w:pPr>
    <w:rPr>
      <w:rFonts w:ascii="Arimo" w:hAnsi="Arimo"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LibreOffice/24.8.3.2$Linux_X86_64 LibreOffice_project/480$Build-2</Application>
  <AppVersion>15.0000</AppVersion>
  <Pages>2</Pages>
  <Words>541</Words>
  <Characters>2959</Characters>
  <CharactersWithSpaces>3494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2024-11-30T10:32:37Z</dcterms:created>
  <dc:creator>Bolívar Aponte Rolón</dc:creator>
  <dc:description/>
  <dc:language>en-US</dc:language>
  <cp:lastModifiedBy>Bolívar Aponte Rolón</cp:lastModifiedBy>
  <dcterms:modified xsi:type="dcterms:W3CDTF">2024-11-30T10:53:01Z</dcterms:modified>
  <cp:revision>2</cp:revision>
  <dc:subject/>
  <dc:title/>
</cp:coreProperties>
</file>