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0.png" ContentType="image/png"/>
  <Override PartName="/word/media/rId224.png" ContentType="image/png"/>
  <Override PartName="/word/media/rId208.png" ContentType="image/png"/>
  <Override PartName="/word/media/rId216.png" ContentType="image/png"/>
  <Override PartName="/word/media/rId240.png" ContentType="image/png"/>
  <Override PartName="/word/media/rId244.png" ContentType="image/png"/>
  <Override PartName="/word/media/rId248.png" ContentType="image/png"/>
  <Override PartName="/word/media/rId252.png" ContentType="image/png"/>
  <Override PartName="/word/media/rId256.png" ContentType="image/png"/>
  <Override PartName="/word/media/rId260.png" ContentType="image/png"/>
  <Override PartName="/word/media/rId264.png" ContentType="image/png"/>
  <Override PartName="/word/media/rId212.png" ContentType="image/png"/>
  <Override PartName="/word/media/rId2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Endophyte-Rich</w:t>
      </w:r>
      <w:r>
        <w:t xml:space="preserve"> </w:t>
      </w:r>
      <w:r>
        <w:t xml:space="preserve">Leaves</w:t>
      </w:r>
      <w:r>
        <w:t xml:space="preserve"> </w:t>
      </w:r>
      <w:r>
        <w:t xml:space="preserve">and</w:t>
      </w:r>
      <w:r>
        <w:t xml:space="preserve"> </w:t>
      </w:r>
      <w:r>
        <w:t xml:space="preserve">Leaf</w:t>
      </w:r>
      <w:r>
        <w:t xml:space="preserve"> </w:t>
      </w:r>
      <w:r>
        <w:t xml:space="preserve">Functional</w:t>
      </w:r>
      <w:r>
        <w:t xml:space="preserve"> </w:t>
      </w:r>
      <w:r>
        <w:t xml:space="preserve">Traits’</w:t>
      </w:r>
      <w:r>
        <w:t xml:space="preserve"> </w:t>
      </w:r>
      <w:r>
        <w:t xml:space="preserve">Role</w:t>
      </w:r>
      <w:r>
        <w:t xml:space="preserve"> </w:t>
      </w:r>
      <w:r>
        <w:t xml:space="preserve">in</w:t>
      </w:r>
      <w:r>
        <w:t xml:space="preserve"> </w:t>
      </w:r>
      <w:r>
        <w:t xml:space="preserve">Protecting</w:t>
      </w:r>
      <w:r>
        <w:t xml:space="preserve"> </w:t>
      </w:r>
      <w:r>
        <w:t xml:space="preserve">Tropical</w:t>
      </w:r>
      <w:r>
        <w:t xml:space="preserve"> </w:t>
      </w:r>
      <w:r>
        <w:t xml:space="preserve">Trees</w:t>
      </w:r>
      <w:r>
        <w:t xml:space="preserve"> </w:t>
      </w:r>
      <w:r>
        <w:t xml:space="preserve">Against</w:t>
      </w:r>
      <w:r>
        <w:t xml:space="preserve"> </w:t>
      </w:r>
      <w:r>
        <w:t xml:space="preserve">a</w:t>
      </w:r>
      <w:r>
        <w:t xml:space="preserve"> </w:t>
      </w:r>
      <w:r>
        <w:t xml:space="preserve">Generalist</w:t>
      </w:r>
      <w:r>
        <w:t xml:space="preserve"> </w:t>
      </w:r>
      <w:r>
        <w:t xml:space="preserve">Herbivore</w:t>
      </w:r>
      <w:r>
        <w:t xml:space="preserve"> </w:t>
      </w:r>
      <w:r>
        <w:t xml:space="preserve">and</w:t>
      </w:r>
      <w:r>
        <w:t xml:space="preserve"> </w:t>
      </w:r>
      <w:r>
        <w:t xml:space="preserve">a</w:t>
      </w:r>
      <w:r>
        <w:t xml:space="preserve"> </w:t>
      </w:r>
      <w:r>
        <w:t xml:space="preserve">Pathogen</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w:t>
      </w:r>
      <w:r>
        <w:t xml:space="preserve"> </w:t>
      </w:r>
      <w:r>
        <w:t xml:space="preserve">Elizabeth</w:t>
      </w:r>
      <w:r>
        <w:t xml:space="preserve"> </w:t>
      </w:r>
      <w:r>
        <w:t xml:space="preserve">Arnold</w:t>
      </w:r>
      <w:r>
        <w:rPr>
          <w:vertAlign w:val="superscript"/>
        </w:rPr>
        <w:t xml:space="preserve">2</w:t>
      </w:r>
      <w:r>
        <w:t xml:space="preserve">,</w:t>
      </w:r>
      <w:r>
        <w:t xml:space="preserve"> </w:t>
      </w:r>
      <w:r>
        <w:t xml:space="preserve">Mareli</w:t>
      </w:r>
      <w:r>
        <w:t xml:space="preserve"> </w:t>
      </w:r>
      <w:r>
        <w:t xml:space="preserve">Sánchez</w:t>
      </w:r>
      <w:r>
        <w:t xml:space="preserve"> </w:t>
      </w:r>
      <w:r>
        <w:t xml:space="preserve">Juliá</w:t>
      </w:r>
      <w:r>
        <w:rPr>
          <w:vertAlign w:val="superscript"/>
        </w:rPr>
        <w:t xml:space="preserve">1</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1</w:t>
      </w:r>
      <w:r>
        <w:rPr>
          <w:vertAlign w:val="superscript"/>
        </w:rPr>
        <w:t xml:space="preserve">,</w:t>
      </w:r>
      <w:r>
        <w:rPr>
          <w:vertAlign w:val="superscript"/>
        </w:rPr>
        <w:t xml:space="preserve">1</w:t>
      </w:r>
    </w:p>
    <w:p>
      <w:pPr>
        <w:pStyle w:val="Date"/>
      </w:pPr>
      <w:r>
        <w:t xml:space="preserve">2024-10-04</w:t>
      </w:r>
    </w:p>
    <w:p>
      <w:pPr>
        <w:pStyle w:val="FirstParagraph"/>
      </w:pPr>
      <w:r>
        <w:rPr>
          <w:vertAlign w:val="superscript"/>
        </w:rPr>
        <w:t xml:space="preserve">1</w:t>
      </w:r>
      <w:r>
        <w:t xml:space="preserve"> </w:t>
      </w:r>
      <w:r>
        <w:t xml:space="preserve">Department of Ecology and Evolutionary Biology, Tulane University, 6823 St. Charles Avenue, New Orleans, LA 70118</w:t>
      </w:r>
      <w:r>
        <w:br/>
      </w:r>
      <w:r>
        <w:rPr>
          <w:vertAlign w:val="superscript"/>
        </w:rPr>
        <w:t xml:space="preserve">2</w:t>
      </w:r>
      <w:r>
        <w:t xml:space="preserve"> </w:t>
      </w:r>
      <w:r>
        <w:t xml:space="preserve">School of Plant Sciences, Department of Ecology and Evolutionary Biology, Robert L. Gilbertson Mycological Herbarium. Ecosystem Genomics Graduate Interdisciplinary Program, and the Bio5 Institute, University of Arizona, Tucson, AZ 85721</w:t>
      </w:r>
      <w:r>
        <w:br/>
      </w:r>
      <w:r>
        <w:rPr>
          <w:vertAlign w:val="superscript"/>
        </w:rPr>
        <w:t xml:space="preserve">3</w:t>
      </w:r>
      <w:r>
        <w:t xml:space="preserve"> </w:t>
      </w:r>
      <w:r>
        <w:t xml:space="preserve">Department of Ecology and Evolutionary Biology and the Bio5 Institute, University of Arizona, Tucson, AZ 85721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abstract"/>
    <w:p>
      <w:pPr>
        <w:pStyle w:val="Heading1"/>
      </w:pPr>
      <w:r>
        <w:t xml:space="preserve">1. Abstract</w:t>
      </w:r>
    </w:p>
    <w:p>
      <w:pPr>
        <w:pStyle w:val="FirstParagraph"/>
      </w:pPr>
      <w:r>
        <w:t xml:space="preserve">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Cs/>
          <w:i/>
        </w:rPr>
        <w:t xml:space="preserve">E-low</w:t>
      </w:r>
      <w:r>
        <w:t xml:space="preserve">) and high FEF load (</w:t>
      </w:r>
      <w:r>
        <w:rPr>
          <w:iCs/>
          <w:i/>
        </w:rPr>
        <w:t xml:space="preserve">E-high</w:t>
      </w:r>
      <w:r>
        <w:t xml:space="preserve">) treatment groups via culturing and culture-free amplicon sequencing. We then measured leaf removal by leaf-cutter ants and leaf necrosis due to a generalist fungal pathogen. Across the experiment, we observed greater herbivory in the</w:t>
      </w:r>
      <w:r>
        <w:t xml:space="preserve"> </w:t>
      </w:r>
      <w:r>
        <w:rPr>
          <w:iCs/>
          <w:i/>
        </w:rPr>
        <w:t xml:space="preserve">E-low</w:t>
      </w:r>
      <w:r>
        <w:t xml:space="preserve"> </w:t>
      </w:r>
      <w:r>
        <w:t xml:space="preserve">treatment compared to the</w:t>
      </w:r>
      <w:r>
        <w:t xml:space="preserve"> </w:t>
      </w:r>
      <w:r>
        <w:rPr>
          <w:iCs/>
          <w:i/>
        </w:rPr>
        <w:t xml:space="preserve">E-high</w:t>
      </w:r>
      <w:r>
        <w:t xml:space="preserve"> </w:t>
      </w:r>
      <w:r>
        <w:t xml:space="preserve">treatment, but no difference in pathogen damage. However, within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p>
    <w:bookmarkEnd w:id="21"/>
    <w:bookmarkStart w:id="22" w:name="keywords"/>
    <w:p>
      <w:pPr>
        <w:pStyle w:val="Heading1"/>
      </w:pPr>
      <w:r>
        <w:t xml:space="preserve">2. Keywords:</w:t>
      </w:r>
    </w:p>
    <w:p>
      <w:pPr>
        <w:pStyle w:val="FirstParagraph"/>
      </w:pPr>
      <w:r>
        <w:rPr>
          <w:iCs/>
          <w:i/>
        </w:rPr>
        <w:t xml:space="preserve">Atta colombica</w:t>
      </w:r>
      <w:r>
        <w:t xml:space="preserve">,</w:t>
      </w:r>
      <w:r>
        <w:t xml:space="preserve"> </w:t>
      </w:r>
      <w:r>
        <w:rPr>
          <w:iCs/>
          <w:i/>
        </w:rPr>
        <w:t xml:space="preserve">Calonectria</w:t>
      </w:r>
      <w:r>
        <w:t xml:space="preserve">, foliar fungal endophytes, herbivory, pathogen, symbioses, tropical trees</w:t>
      </w:r>
    </w:p>
    <w:bookmarkEnd w:id="22"/>
    <w:bookmarkStart w:id="23" w:name="introduction"/>
    <w:p>
      <w:pPr>
        <w:pStyle w:val="Heading1"/>
      </w:pPr>
      <w:r>
        <w:t xml:space="preserve">3. Introduction</w:t>
      </w:r>
    </w:p>
    <w:p>
      <w:pPr>
        <w:pStyle w:val="FirstParagraph"/>
      </w:pPr>
      <w:r>
        <w:t xml:space="preserve">Angiosperms have been successful throughout their evolutionary history by developing strategies against biotic</w:t>
      </w:r>
      <w:r>
        <w:t xml:space="preserve"> </w:t>
      </w:r>
      <w:r>
        <w:t xml:space="preserve">(Feild &amp; Arens, 2005)</w:t>
      </w:r>
      <w:r>
        <w:t xml:space="preserve"> </w:t>
      </w:r>
      <w:r>
        <w:t xml:space="preserve">and abiotic</w:t>
      </w:r>
      <w:r>
        <w:t xml:space="preserve"> </w:t>
      </w:r>
      <w:r>
        <w:t xml:space="preserve">(Leakey &amp; Lau, 2012)</w:t>
      </w:r>
      <w:r>
        <w:t xml:space="preserve"> </w:t>
      </w:r>
      <w:r>
        <w:t xml:space="preserve">selective pressures. Strategies against stressors that damage leaf tissue range from production of secondary metabolites like alkaloid and jasmonic acid</w:t>
      </w:r>
      <w:r>
        <w:t xml:space="preserve"> </w:t>
      </w:r>
      <w:r>
        <w:t xml:space="preserve">(Guerriero et al., 2018; Teoh, 2016)</w:t>
      </w:r>
      <w:r>
        <w:t xml:space="preserve"> </w:t>
      </w:r>
      <w:r>
        <w:t xml:space="preserve">to structures that prevent potential attacks by pests (e.g., thorns/modified leaves)</w:t>
      </w:r>
      <w:r>
        <w:t xml:space="preserve">(Hanley et al., 2007)</w:t>
      </w:r>
      <w:r>
        <w:t xml:space="preserve">.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w:t>
      </w:r>
      <w:r>
        <w:t xml:space="preserve"> </w:t>
      </w:r>
      <w:r>
        <w:t xml:space="preserve">(J. P. Anderson et al., 2010; Niklas et al., 2023; Wright et al., 2004)</w:t>
      </w:r>
      <w:r>
        <w:t xml:space="preserve">.</w:t>
      </w:r>
    </w:p>
    <w:p>
      <w:pPr>
        <w:pStyle w:val="BodyText"/>
      </w:pPr>
      <w:r>
        <w:t xml:space="preserve">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w:t>
      </w:r>
      <w:r>
        <w:t xml:space="preserve"> </w:t>
      </w:r>
      <w:r>
        <w:t xml:space="preserve">(Mason &amp; Donovan, 2015; Wright et al., 2004)</w:t>
      </w:r>
      <w:r>
        <w:t xml:space="preserve">. Investment in baseline constitutive defenses is associated with longer lifespans</w:t>
      </w:r>
      <w:r>
        <w:t xml:space="preserve"> </w:t>
      </w:r>
      <w:r>
        <w:t xml:space="preserve">(Kitajima et al., 2012; Kitajima et al., 2013)</w:t>
      </w:r>
      <w:r>
        <w:t xml:space="preserve">, whereas plants that invest little in leaf N content and LMA are potentially able to invest more in induced defense</w:t>
      </w:r>
      <w:r>
        <w:t xml:space="preserve"> </w:t>
      </w:r>
      <w:r>
        <w:t xml:space="preserve">(Kitajima et al., 2013; Poorter &amp; Bongers, 2006; Wright et al., 2004)</w:t>
      </w:r>
      <w:r>
        <w:t xml:space="preserve">.</w:t>
      </w:r>
      <w:r>
        <w:t xml:space="preserve"> </w:t>
      </w:r>
      <w:r>
        <w:t xml:space="preserve">Such LFTs are expressed differentially across species and are influenced by their life history and the environment they occupy</w:t>
      </w:r>
      <w:r>
        <w:t xml:space="preserve"> </w:t>
      </w:r>
      <w:r>
        <w:t xml:space="preserve">(Kitajima et al., 2013; Wright et al., 2004; Wright et al., 2005)</w:t>
      </w:r>
      <w:r>
        <w:t xml:space="preserve">. Because they define the chemical, structural, and longevity characteristics of leaves, LFTs also influence associated leaf microbial communities</w:t>
      </w:r>
      <w:r>
        <w:t xml:space="preserve"> </w:t>
      </w:r>
      <w:r>
        <w:t xml:space="preserve">(Saunders et al., 2010; Tellez et al., 2022)</w:t>
      </w:r>
      <w:r>
        <w:t xml:space="preserve">. Many leaf-associated microbes establish in leaves via horizontal transmission and are thought to alter the physical and chemical traits of leaves</w:t>
      </w:r>
      <w:r>
        <w:t xml:space="preserve"> </w:t>
      </w:r>
      <w:r>
        <w:t xml:space="preserve">(Chagas et al., 2018; reviewed in Christian et al., 2017; Van Bael et al., 2017)</w:t>
      </w:r>
      <w:r>
        <w:t xml:space="preserve">. If leaf traits confer selectivity, then plants can gain or lose potential allies in the fight against herbivores and pathogens, ultimately contributing to their ecological and evolutionary success</w:t>
      </w:r>
      <w:r>
        <w:t xml:space="preserve"> </w:t>
      </w:r>
      <w:r>
        <w:t xml:space="preserve">(Friesen et al., 2011)</w:t>
      </w:r>
      <w:r>
        <w:t xml:space="preserve">.</w:t>
      </w:r>
    </w:p>
    <w:p>
      <w:pPr>
        <w:pStyle w:val="BodyText"/>
      </w:pPr>
      <w:r>
        <w:t xml:space="preserve">Leaf microbial communities, such as foliar endophytic fungi (FEF), are found inside the leaf tissue of all lineages of vascular land plants</w:t>
      </w:r>
      <w:r>
        <w:t xml:space="preserve"> </w:t>
      </w:r>
      <w:r>
        <w:t xml:space="preserve">(Currie et al., 2014; Rodriguez et al., 2009)</w:t>
      </w:r>
      <w:r>
        <w:t xml:space="preserve">. In tropical forests, FEF transmit horizontally through ambient spore fall</w:t>
      </w:r>
      <w:r>
        <w:t xml:space="preserve"> </w:t>
      </w:r>
      <w:r>
        <w:t xml:space="preserve">(Arnold et al., 2000)</w:t>
      </w:r>
      <w:r>
        <w:t xml:space="preserve">, and newly flushed leaves of such trees are free of FEF. Although FEF generally grow asymptomatically within leaves</w:t>
      </w:r>
      <w:r>
        <w:t xml:space="preserve"> </w:t>
      </w:r>
      <w:r>
        <w:t xml:space="preserve">(Porras-Alfaro &amp; Bayman, 2011)</w:t>
      </w:r>
      <w:r>
        <w:t xml:space="preserve">, they can modulate LFTs, especially with regard to the expression of secondary metabolites, sensitivity to drought, defense against natural enemies, photosynthetic rates and efficiency</w:t>
      </w:r>
      <w:r>
        <w:t xml:space="preserve"> </w:t>
      </w:r>
      <w:r>
        <w:t xml:space="preserve">(Arnold et al., 2003; Arnold &amp; Engelbrecht, 2007; Bittleston et al., 2011; Estrada et al., 2013; Friesen et al., 2011; Mejía et al., 2014)</w:t>
      </w:r>
      <w:r>
        <w:t xml:space="preserve">. Such effects have not been examined systematically and quantitatively but are critical to understanding how species interactions in tropical forests relate to plant survival, performance, productivity, and downstream ecosystem services</w:t>
      </w:r>
      <w:r>
        <w:t xml:space="preserve"> </w:t>
      </w:r>
      <w:r>
        <w:t xml:space="preserve">(McGill et al., 2006)</w:t>
      </w:r>
      <w:r>
        <w:t xml:space="preserve">.</w:t>
      </w:r>
    </w:p>
    <w:p>
      <w:pPr>
        <w:pStyle w:val="BodyText"/>
      </w:pPr>
      <w:r>
        <w:t xml:space="preserve">FEF communities occurring in healthy leaves of naturally established tropical trees vary with specific LFTs. Tellez et al.</w:t>
      </w:r>
      <w:r>
        <w:t xml:space="preserve"> </w:t>
      </w:r>
      <w:r>
        <w:t xml:space="preserve">(2022)</w:t>
      </w:r>
      <w:r>
        <w:t xml:space="preserve"> </w:t>
      </w:r>
      <w:r>
        <w:t xml:space="preserve">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w:t>
      </w:r>
      <w:r>
        <w:t xml:space="preserve"> </w:t>
      </w:r>
      <w:r>
        <w:t xml:space="preserve">(Tellez et al., 2022)</w:t>
      </w:r>
      <w:r>
        <w:t xml:space="preserve">.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pPr>
      <w:r>
        <w:t xml:space="preserve">Here we investigated how FEF abundance, diversity and community composition may modulate LFTs and plant’s response to herbivory and pathogen damage. This work builds upon experiments that used single plant species and plant enemies</w:t>
      </w:r>
      <w:r>
        <w:t xml:space="preserve"> </w:t>
      </w:r>
      <w:r>
        <w:t xml:space="preserve">(Estrada et al., 2013; Mejía et al., 2008, 2014)</w:t>
      </w:r>
      <w:r>
        <w:t xml:space="preserve"> </w:t>
      </w:r>
      <w:r>
        <w:t xml:space="preserve">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pPr>
      <w: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w:t>
      </w:r>
      <w:r>
        <w:t xml:space="preserve"> </w:t>
      </w:r>
      <w:r>
        <w:rPr>
          <w:iCs/>
          <w:i/>
        </w:rPr>
        <w:t xml:space="preserve">E-high</w:t>
      </w:r>
      <w:r>
        <w:t xml:space="preserve">) and non-inoculated (low FEF load,</w:t>
      </w:r>
      <w:r>
        <w:t xml:space="preserve"> </w:t>
      </w:r>
      <w:r>
        <w:rPr>
          <w:iCs/>
          <w:i/>
        </w:rPr>
        <w:t xml:space="preserve">E-low</w:t>
      </w:r>
      <w:r>
        <w:t xml:space="preserve">) treatments. The plant enemies we considered were leaf-cutter ants,</w:t>
      </w:r>
      <w:r>
        <w:t xml:space="preserve"> </w:t>
      </w:r>
      <w:r>
        <w:rPr>
          <w:iCs/>
          <w:i/>
        </w:rPr>
        <w:t xml:space="preserve">Atta colombica</w:t>
      </w:r>
      <w:r>
        <w:t xml:space="preserve"> </w:t>
      </w:r>
      <w:r>
        <w:t xml:space="preserve">(Formicidae), a generalist herbivore that, while not consuming the leaves, harvests considerable quantities of leaf tissue to feed underground fungal gardens, and</w:t>
      </w:r>
      <w:r>
        <w:t xml:space="preserve"> </w:t>
      </w:r>
      <w:r>
        <w:rPr>
          <w:iCs/>
          <w:i/>
        </w:rPr>
        <w:t xml:space="preserve">Calonectria</w:t>
      </w:r>
      <w:r>
        <w:t xml:space="preserve"> </w:t>
      </w:r>
      <w:r>
        <w:t xml:space="preserve">sp. (Nectriaceae), a generalist foliar pathogen.</w:t>
      </w:r>
    </w:p>
    <w:p>
      <w:pPr>
        <w:pStyle w:val="BodyText"/>
      </w:pPr>
      <w:r>
        <w:t xml:space="preserve">We predicted the following: 1) Leaf-cutter ants and</w:t>
      </w:r>
      <w:r>
        <w:t xml:space="preserve"> </w:t>
      </w:r>
      <w:r>
        <w:rPr>
          <w:iCs/>
          <w:i/>
        </w:rPr>
        <w:t xml:space="preserve">Calonectria</w:t>
      </w:r>
      <w:r>
        <w:t xml:space="preserve"> </w:t>
      </w:r>
      <w:r>
        <w:t xml:space="preserve">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Cs/>
          <w:i/>
        </w:rPr>
        <w:t xml:space="preserve">E-high</w:t>
      </w:r>
      <w:r>
        <w:t xml:space="preserve">) compared to their low FEF counterparts (</w:t>
      </w:r>
      <w:r>
        <w:rPr>
          <w:iCs/>
          <w:i/>
        </w:rPr>
        <w:t xml:space="preserve">E-low</w:t>
      </w:r>
      <w:r>
        <w:t xml:space="preserve">); 3) Lastly, tree species with LFTs of the high side of the economic spectrum (e.g., greater leaf mass per area) treated with high FEF loads (</w:t>
      </w:r>
      <w:r>
        <w:rPr>
          <w:iCs/>
          <w:i/>
        </w:rPr>
        <w:t xml:space="preserve">E-high</w:t>
      </w:r>
      <w:r>
        <w:t xml:space="preserve">) would have no differences in herbivory and pathogen damage compared to their low FEF counterparts (</w:t>
      </w:r>
      <w:r>
        <w:rPr>
          <w:iCs/>
          <w:i/>
        </w:rPr>
        <w:t xml:space="preserve">E-low</w:t>
      </w:r>
      <w:r>
        <w:t xml:space="preserve">).</w:t>
      </w:r>
      <w:r>
        <w:t xml:space="preserve"> </w:t>
      </w:r>
    </w:p>
    <w:bookmarkEnd w:id="23"/>
    <w:bookmarkStart w:id="43" w:name="materials-and-methods"/>
    <w:p>
      <w:pPr>
        <w:pStyle w:val="Heading1"/>
      </w:pPr>
      <w:r>
        <w:t xml:space="preserve">4. Materials and Methods</w:t>
      </w:r>
    </w:p>
    <w:bookmarkStart w:id="24" w:name="study-site-and-seedling-rearing"/>
    <w:p>
      <w:pPr>
        <w:pStyle w:val="Heading3"/>
      </w:pPr>
      <w:r>
        <w:t xml:space="preserve">4.0.1 Study site and seedling rearing</w:t>
      </w:r>
    </w:p>
    <w:p>
      <w:pPr>
        <w:pStyle w:val="FirstParagraph"/>
      </w:pPr>
      <w:r>
        <w:rPr>
          <w:iCs/>
          <w:i/>
        </w:rPr>
        <w:t xml:space="preserve">Theobroma cacao</w:t>
      </w:r>
      <w:r>
        <w:t xml:space="preserve"> </w:t>
      </w:r>
      <w:r>
        <w:t xml:space="preserve">(Malvaceae),</w:t>
      </w:r>
      <w:r>
        <w:t xml:space="preserve"> </w:t>
      </w:r>
      <w:r>
        <w:rPr>
          <w:iCs/>
          <w:i/>
        </w:rPr>
        <w:t xml:space="preserve">Dipteryx</w:t>
      </w:r>
      <w:r>
        <w:t xml:space="preserve"> </w:t>
      </w:r>
      <w:r>
        <w:t xml:space="preserve">sp. (Fabaceae),</w:t>
      </w:r>
      <w:r>
        <w:t xml:space="preserve"> </w:t>
      </w:r>
      <w:r>
        <w:rPr>
          <w:iCs/>
          <w:i/>
        </w:rPr>
        <w:t xml:space="preserve">Lacmellea panamensis</w:t>
      </w:r>
      <w:r>
        <w:t xml:space="preserve"> </w:t>
      </w:r>
      <w:r>
        <w:t xml:space="preserve">(Apocynaceae),</w:t>
      </w:r>
      <w:r>
        <w:t xml:space="preserve"> </w:t>
      </w:r>
      <w:r>
        <w:rPr>
          <w:iCs/>
          <w:i/>
        </w:rPr>
        <w:t xml:space="preserve">Apeiba membranacea</w:t>
      </w:r>
      <w:r>
        <w:t xml:space="preserve"> </w:t>
      </w:r>
      <w:r>
        <w:t xml:space="preserve">(Malvaceae),</w:t>
      </w:r>
      <w:r>
        <w:t xml:space="preserve"> </w:t>
      </w:r>
      <w:r>
        <w:rPr>
          <w:iCs/>
          <w:i/>
        </w:rPr>
        <w:t xml:space="preserve">Heisteria concinna</w:t>
      </w:r>
      <w:r>
        <w:t xml:space="preserve"> </w:t>
      </w:r>
      <w:r>
        <w:t xml:space="preserve">(Olacaceae),</w:t>
      </w:r>
      <w:r>
        <w:t xml:space="preserve"> </w:t>
      </w:r>
      <w:r>
        <w:rPr>
          <w:iCs/>
          <w:i/>
        </w:rPr>
        <w:t xml:space="preserve">Chrysophyllum cainito</w:t>
      </w:r>
      <w:r>
        <w:t xml:space="preserve"> </w:t>
      </w:r>
      <w:r>
        <w:t xml:space="preserve">(Sapotaceae), and</w:t>
      </w:r>
      <w:r>
        <w:t xml:space="preserve"> </w:t>
      </w:r>
      <w:r>
        <w:rPr>
          <w:iCs/>
          <w:i/>
        </w:rPr>
        <w:t xml:space="preserve">Cordia alliodora</w:t>
      </w:r>
      <w:r>
        <w:t xml:space="preserve"> </w:t>
      </w:r>
      <w:r>
        <w:t xml:space="preserve">(Cordiaceae) were chosen due to their variation in LFTs (J.Wright</w:t>
      </w:r>
      <w:r>
        <w:t xml:space="preserve"> </w:t>
      </w:r>
      <w:r>
        <w:rPr>
          <w:iCs/>
          <w:i/>
        </w:rPr>
        <w:t xml:space="preserve">unpublished data</w:t>
      </w:r>
      <w:r>
        <w:t xml:space="preserve">). All occur naturally at Barro Colorado Island (BCI) in central Panama (9.15 N, -79.85 W), where we collected seeds from the forest floor from multiple maternal sources in January - April 2019. Average annual precipitation at BCI is 2,600 mm and the pronounced wet season ranges from May to December</w:t>
      </w:r>
      <w:r>
        <w:t xml:space="preserve"> </w:t>
      </w:r>
      <w:r>
        <w:t xml:space="preserve">(Leigh et al., 1996)</w:t>
      </w:r>
      <w:r>
        <w:t xml:space="preserve">.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(9.118611 N, -79.703182 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w:t>
      </w:r>
      <w:r>
        <w:t xml:space="preserve"> </w:t>
      </w:r>
      <w:r>
        <w:t xml:space="preserve">(Bittleston et al., 2011)</w:t>
      </w:r>
      <w:r>
        <w:t xml:space="preserve">.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pPr>
      <w:r>
        <w:t xml:space="preserve">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w:t>
      </w:r>
      <w:r>
        <w:t xml:space="preserve"> </w:t>
      </w:r>
      <w:r>
        <w:t xml:space="preserve">(Arnold et al., 2003)</w:t>
      </w:r>
      <w:r>
        <w:t xml:space="preserve">.</w:t>
      </w:r>
    </w:p>
    <w:bookmarkEnd w:id="24"/>
    <w:bookmarkStart w:id="25" w:name="fungal-endophyte-inoculation"/>
    <w:p>
      <w:pPr>
        <w:pStyle w:val="Heading3"/>
      </w:pPr>
      <w:r>
        <w:t xml:space="preserve">4.0.2 Fungal endophyte inoculation</w:t>
      </w:r>
    </w:p>
    <w:p>
      <w:pPr>
        <w:pStyle w:val="FirstParagraph"/>
      </w:pPr>
      <w:r>
        <w:t xml:space="preserve">To inoculate seedlings with FEF, we took 10 individual seedlings of each species and exposed them over 10 nights to natural spore fall in the forest understory to achieve a high FEF load (</w:t>
      </w:r>
      <w:r>
        <w:rPr>
          <w:iCs/>
          <w:i/>
        </w:rPr>
        <w:t xml:space="preserve">E-high</w:t>
      </w:r>
      <w:r>
        <w:t xml:space="preserve">) and 10 plants were kept inside the greenhouse enclosure to maintain a low FEF load (</w:t>
      </w:r>
      <w:r>
        <w:rPr>
          <w:iCs/>
          <w:i/>
        </w:rPr>
        <w:t xml:space="preserve">E-low</w:t>
      </w:r>
      <w:r>
        <w:t xml:space="preserve">). Plants exposed to spore fall were placed on a table near (~10 m) the forest edge at dusk (~18:00 hours) and returned to the greenhouse at dawn (~07:00 hours)</w:t>
      </w:r>
      <w:r>
        <w:t xml:space="preserve"> </w:t>
      </w:r>
      <w:r>
        <w:t xml:space="preserve">(Bittleston et al., 2011)</w:t>
      </w:r>
      <w:r>
        <w:t xml:space="preserve">. We sprayed the</w:t>
      </w:r>
      <w:r>
        <w:t xml:space="preserve"> </w:t>
      </w:r>
      <w:r>
        <w:rPr>
          <w:iCs/>
          <w:i/>
        </w:rPr>
        <w:t xml:space="preserve">E-high</w:t>
      </w:r>
      <w:r>
        <w:t xml:space="preserve"> </w:t>
      </w:r>
      <w:r>
        <w:t xml:space="preserve">seedlings with water to simulate rain and to promote endophyte spore germination and infection of leaves. Low FEF plants (</w:t>
      </w:r>
      <w:r>
        <w:rPr>
          <w:iCs/>
          <w:i/>
        </w:rPr>
        <w:t xml:space="preserve">E-low</w:t>
      </w:r>
      <w:r>
        <w:t xml:space="preserve">) were watered only at the soil level and shuffled and moved inside the greenhouse to simulate similar treatment as</w:t>
      </w:r>
      <w:r>
        <w:t xml:space="preserve"> </w:t>
      </w:r>
      <w:r>
        <w:rPr>
          <w:iCs/>
          <w:i/>
        </w:rPr>
        <w:t xml:space="preserve">E-high</w:t>
      </w:r>
      <w:r>
        <w:t xml:space="preserve"> </w:t>
      </w:r>
      <w:r>
        <w:t xml:space="preserve">seedlings, but without spore fall exposure.</w:t>
      </w:r>
    </w:p>
    <w:bookmarkEnd w:id="25"/>
    <w:bookmarkStart w:id="27" w:name="X6f36e9a8988e95971f2ed62ba6df30e3cf1a4a2"/>
    <w:p>
      <w:pPr>
        <w:pStyle w:val="Heading3"/>
      </w:pPr>
      <w:r>
        <w:t xml:space="preserve">4.0.3 Determining differences in LFTs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26" w:name="leaf-trait-measurements"/>
    <w:p>
      <w:pPr>
        <w:pStyle w:val="Heading4"/>
      </w:pPr>
      <w:r>
        <w:t xml:space="preserve">4.0.3.1 Leaf trait measurements</w:t>
      </w:r>
    </w:p>
    <w:p>
      <w:pPr>
        <w:pStyle w:val="FirstParagraph"/>
      </w:pPr>
      <w:r>
        <w:t xml:space="preserve">Three mature leaves were haphazardly collected 7 - 10 days after fungal inoculation from individuals in each treatment (</w:t>
      </w:r>
      <w:r>
        <w:rPr>
          <w:iCs/>
          <w:i/>
        </w:rPr>
        <w:t xml:space="preserve">E-high</w:t>
      </w:r>
      <w:r>
        <w:t xml:space="preserve">,</w:t>
      </w:r>
      <w:r>
        <w:t xml:space="preserve"> </w:t>
      </w:r>
      <w:r>
        <w:rPr>
          <w:iCs/>
          <w:i/>
        </w:rPr>
        <w:t xml:space="preserve">E-low</w:t>
      </w:r>
      <w: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w:t>
      </w:r>
      <w:r>
        <w:t xml:space="preserve"> </w:t>
      </w:r>
      <w:r>
        <w:t xml:space="preserve">(Tellez et al., 2022)</w:t>
      </w:r>
      <w:r>
        <w:t xml:space="preserve">. The ACM-200 takes into account leaf thickness when calculating an anthocyanin content index (ACI) value by computing the ratio of % transmittance at 931 nm/% transmittance at 525 nm</w:t>
      </w:r>
      <w:r>
        <w:t xml:space="preserve"> </w:t>
      </w:r>
      <w:r>
        <w:t xml:space="preserve">(Tellez et al., 2016)</w:t>
      </w:r>
      <w:r>
        <w:t xml:space="preserve">. On compound leaves (i.e.,</w:t>
      </w:r>
      <w:r>
        <w:t xml:space="preserve"> </w:t>
      </w:r>
      <w:r>
        <w:rPr>
          <w:iCs/>
          <w:i/>
        </w:rPr>
        <w:t xml:space="preserve">Dipteryx</w:t>
      </w:r>
      <w:r>
        <w:t xml:space="preserve"> </w:t>
      </w:r>
      <w:r>
        <w:t xml:space="preserve">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w:t>
      </w:r>
      <w:r>
        <w:t xml:space="preserve"> </w:t>
      </w:r>
      <w:r>
        <w:t xml:space="preserve">(Tellez et al., 2022)</w:t>
      </w:r>
      <w:r>
        <w:t xml:space="preserve">. Once LPS was measured, we used a 7 mm diameter hole punch to obtain three leaf disks per leaf for leaf mass per area (LMA) (see Supplementary material for details). Disk punches dried at 60 °C for 48-72 hours before being weighed for dry mass immediately.</w:t>
      </w:r>
    </w:p>
    <w:bookmarkEnd w:id="26"/>
    <w:bookmarkEnd w:id="27"/>
    <w:bookmarkStart w:id="34" w:name="X90e82c6f1ada12f4001b1b029b0567fdb0fbf64"/>
    <w:p>
      <w:pPr>
        <w:pStyle w:val="Heading3"/>
      </w:pPr>
      <w:r>
        <w:t xml:space="preserve">4.0.4 Determining FEF abundance, richness, diversity and community composition</w:t>
      </w:r>
    </w:p>
    <w:bookmarkStart w:id="28" w:name="X3c7a37fa2f4886460c6eb6a1de1f042d286b507"/>
    <w:p>
      <w:pPr>
        <w:pStyle w:val="Heading4"/>
      </w:pPr>
      <w:r>
        <w:t xml:space="preserve">4.0.4.1 Leaf tissue preparation for molecular work</w:t>
      </w:r>
    </w:p>
    <w:p>
      <w:pPr>
        <w:pStyle w:val="FirstParagraph"/>
      </w:pPr>
      <w: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w:t>
      </w:r>
      <w:r>
        <w:t xml:space="preserve"> </w:t>
      </w:r>
      <w:r>
        <w:t xml:space="preserve">(Arnold et al., 2003; Higgins et al., 2014; Tellez et al., 2022)</w:t>
      </w:r>
      <w:r>
        <w:t xml:space="preserve">.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w:t>
      </w:r>
      <w:r>
        <w:t xml:space="preserve"> </w:t>
      </w:r>
      <w:r>
        <w:rPr>
          <w:iCs/>
          <w:i/>
        </w:rPr>
        <w:t xml:space="preserve">E-low</w:t>
      </w:r>
      <w:r>
        <w:t xml:space="preserve"> </w:t>
      </w:r>
      <w:r>
        <w:t xml:space="preserve">and</w:t>
      </w:r>
      <w:r>
        <w:t xml:space="preserve"> </w:t>
      </w:r>
      <w:r>
        <w:rPr>
          <w:iCs/>
          <w:i/>
        </w:rPr>
        <w:t xml:space="preserve">E-high</w:t>
      </w:r>
      <w:r>
        <w:t xml:space="preserve"> </w:t>
      </w:r>
      <w:r>
        <w:t xml:space="preserve">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p>
    <w:bookmarkEnd w:id="28"/>
    <w:bookmarkStart w:id="29" w:name="amplicon-sequencing"/>
    <w:p>
      <w:pPr>
        <w:pStyle w:val="Heading4"/>
      </w:pPr>
      <w:r>
        <w:t xml:space="preserve">4.0.4.2 Amplicon sequencing</w:t>
      </w:r>
    </w:p>
    <w:p>
      <w:pPr>
        <w:pStyle w:val="FirstParagraph"/>
      </w:pPr>
      <w: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w:t>
      </w:r>
      <w:r>
        <w:t xml:space="preserve"> </w:t>
      </w:r>
      <w:r>
        <w:t xml:space="preserve">(2017)</w:t>
      </w:r>
      <w:r>
        <w:t xml:space="preserve">.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w:t>
      </w:r>
      <w:r>
        <w:t xml:space="preserve"> </w:t>
      </w:r>
      <w:r>
        <w:t xml:space="preserve">(U’Ren &amp; Arnold, 2017)</w:t>
      </w:r>
      <w:r>
        <w:t xml:space="preserve"> </w:t>
      </w:r>
      <w:r>
        <w:t xml:space="preserve">(QIAGEN, Valencia, CA, USA) to extract total genomic DNA. We pooled the subsamples for each individual sample before amplification. We followed a two-step amplification approach previously described by Sarmiento et al.</w:t>
      </w:r>
      <w:r>
        <w:t xml:space="preserve"> </w:t>
      </w:r>
      <w:r>
        <w:t xml:space="preserve">(2017)</w:t>
      </w:r>
      <w:r>
        <w:t xml:space="preserve"> </w:t>
      </w:r>
      <w:r>
        <w:t xml:space="preserve">and U´Ren &amp; Arnold</w:t>
      </w:r>
      <w:r>
        <w:t xml:space="preserve"> </w:t>
      </w:r>
      <w:r>
        <w:t xml:space="preserve">(2017)</w:t>
      </w:r>
      <w:r>
        <w:t xml:space="preserve">. We used a separate set of sterile pipettes, tips, and equipment to reduce contamination. We used a designated PCR area to restrict contact with pre-PCR materials</w:t>
      </w:r>
      <w:r>
        <w:t xml:space="preserve"> </w:t>
      </w:r>
      <w:r>
        <w:t xml:space="preserve">(Oita et al., 2021)</w:t>
      </w:r>
      <w:r>
        <w:t xml:space="preserve">. Used primers for the fungal ITSrDNA region, ITS1f (5’-CTTGGTCATTTAGAGGAAGTAA-3’) and ITS4 (5’-TCCTCCGCTTATTGATATGC-3’) with modified universal consensus sequences CS1 and CS2 and 0–5 bp for phase-shifting. Every sample was amplified in two parallel reactions containing 1-2 µL of DNA template</w:t>
      </w:r>
      <w:r>
        <w:t xml:space="preserve"> </w:t>
      </w:r>
      <w:r>
        <w:t xml:space="preserve">(U’Ren &amp; Arnold, 2017; see also Tellez et al., 2022)</w:t>
      </w:r>
      <w:r>
        <w:t xml:space="preserve">. We visualized PCR (PCR1) reactions with SYBR Green 1 (Thermo Fisher Scientific, Waltham, MA, USA.) on a 2% agarose gel</w:t>
      </w:r>
      <w:r>
        <w:t xml:space="preserve"> </w:t>
      </w:r>
      <w:r>
        <w:t xml:space="preserve">(Oita et al., 2021)</w:t>
      </w:r>
      <w:r>
        <w:t xml:space="preserve">. Based on band intensity, we combined parallel PCR1 reactions and diluted 5 µL of amplicon product with molecular grade water to standardize to a concentration of 1:15</w:t>
      </w:r>
      <w:r>
        <w:t xml:space="preserve"> </w:t>
      </w:r>
      <w:r>
        <w:t xml:space="preserve">(Sarmiento et al., 2017; Tellez et al., 2022)</w:t>
      </w:r>
      <w:r>
        <w:t xml:space="preserve">.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w:t>
      </w:r>
      <w:r>
        <w:t xml:space="preserve"> </w:t>
      </w:r>
      <w:r>
        <w:t xml:space="preserve">(2017)</w:t>
      </w:r>
      <w:r>
        <w:t xml:space="preserve"> </w:t>
      </w:r>
      <w:r>
        <w:t xml:space="preserve">and U’Ren &amp; Arnold</w:t>
      </w:r>
      <w:r>
        <w:t xml:space="preserve"> </w:t>
      </w:r>
      <w:r>
        <w:t xml:space="preserve">(2017)</w:t>
      </w:r>
      <w:r>
        <w:t xml:space="preserve">. Before final pooling for sequencing, we purified the amplicons using Agencourt AMPure XP Beads (Beckman Coulter Inc, Brea, CA USA) to a ratio of 1:1 following the manufacturer’s instructions. The products were evaluated with Bio Analyzer 2100 (Agilent Technologies, Santa Clara, CA, USA)</w:t>
      </w:r>
      <w:r>
        <w:t xml:space="preserve"> </w:t>
      </w:r>
      <w:r>
        <w:t xml:space="preserve">(Tellez et al., 2022)</w:t>
      </w:r>
      <w:r>
        <w:t xml:space="preserve">. We quantified the samples through the University of Arizona Genetics Core, and subsequently diluted them to the same concentration to prevent over representation of samples with higher concentration</w:t>
      </w:r>
      <w:r>
        <w:t xml:space="preserve"> </w:t>
      </w:r>
      <w:r>
        <w:t xml:space="preserve">(Sarmiento et al., 2017)</w:t>
      </w:r>
      <w:r>
        <w:t xml:space="preserve">.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w:t>
      </w:r>
      <w:r>
        <w:t xml:space="preserve"> </w:t>
      </w:r>
    </w:p>
    <w:bookmarkEnd w:id="29"/>
    <w:bookmarkStart w:id="30" w:name="mock-communities"/>
    <w:p>
      <w:pPr>
        <w:pStyle w:val="Heading4"/>
      </w:pPr>
      <w:r>
        <w:t xml:space="preserve">4.0.4.3 Mock Communities</w:t>
      </w:r>
    </w:p>
    <w:p>
      <w:pPr>
        <w:pStyle w:val="FirstParagraph"/>
      </w:pPr>
      <w:r>
        <w:t xml:space="preserve">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w:t>
      </w:r>
      <w:r>
        <w:t xml:space="preserve"> </w:t>
      </w:r>
      <w:r>
        <w:t xml:space="preserve">(Oita et al., 2021; see Daru et al., 2019 for details)</w:t>
      </w:r>
      <w:r>
        <w:t xml:space="preserve">. In brief, we sequenced six replicates of the mock community with equimolar concentrations of DNA from all 32 fungal taxa, and another six replicates of the mock communities with tiered concentrations of DNA from the same fungal taxa</w:t>
      </w:r>
      <w:r>
        <w:t xml:space="preserve"> </w:t>
      </w:r>
      <w:r>
        <w:t xml:space="preserve">(see Daru et al., 2019)</w:t>
      </w:r>
      <w:r>
        <w:t xml:space="preserve">. Read abundance from tiered communities was positively associated with the expected read number (</w:t>
      </w:r>
      <w:r>
        <w:rPr>
          <w:iCs/>
          <w:i/>
        </w:rPr>
        <w:t xml:space="preserve">R</w:t>
      </w:r>
      <w:r>
        <w:rPr>
          <w:vertAlign w:val="superscript"/>
          <w:iCs/>
          <w:i/>
        </w:rPr>
        <w:t xml:space="preserve">2</w:t>
      </w:r>
      <w:r>
        <w:rPr>
          <w:vertAlign w:val="subscript"/>
          <w:iCs/>
          <w:i/>
        </w:rPr>
        <w:t xml:space="preserve">adj</w:t>
      </w:r>
      <w:r>
        <w:t xml:space="preserve"> </w:t>
      </w:r>
      <w:r>
        <w:t xml:space="preserve">= 0.87,</w:t>
      </w:r>
      <w:r>
        <w:t xml:space="preserve"> </w:t>
      </w:r>
      <w:r>
        <w:rPr>
          <w:iCs/>
          <w:i/>
        </w:rPr>
        <w:t xml:space="preserve">p</w:t>
      </w:r>
      <w:r>
        <w:t xml:space="preserve"> </w:t>
      </w:r>
      <w:r>
        <w:t xml:space="preserve">&lt; .0001, see Figure S9), and all major fungal lineages present in the mock community were detected (data not shown). Henceforth, we used read abundance as a relevant proxy for biological OTU abundance</w:t>
      </w:r>
      <w:r>
        <w:t xml:space="preserve"> </w:t>
      </w:r>
      <w:r>
        <w:t xml:space="preserve">(U’Ren et al., 2019)</w:t>
      </w:r>
      <w:r>
        <w:t xml:space="preserve">.</w:t>
      </w:r>
    </w:p>
    <w:bookmarkEnd w:id="30"/>
    <w:bookmarkStart w:id="33" w:name="bioinformatic-analyses"/>
    <w:p>
      <w:pPr>
        <w:pStyle w:val="Heading4"/>
      </w:pPr>
      <w:r>
        <w:t xml:space="preserve">4.0.4.4 Bioinformatic analyses</w:t>
      </w:r>
    </w:p>
    <w:bookmarkStart w:id="31" w:name="Xe499194d02dbe9f1c42c0da84f095d3ddaad9f3"/>
    <w:p>
      <w:pPr>
        <w:pStyle w:val="Heading5"/>
      </w:pPr>
      <w:r>
        <w:t xml:space="preserve">4.0.4.4.1 Fungal identification based on internal transcribed spacer (ITS)</w:t>
      </w:r>
    </w:p>
    <w:p>
      <w:pPr>
        <w:pStyle w:val="FirstParagraph"/>
      </w:pPr>
      <w:r>
        <w:t xml:space="preserve">We used VSEARCH (v2.14.1) for</w:t>
      </w:r>
      <w:r>
        <w:t xml:space="preserve"> </w:t>
      </w:r>
      <w:r>
        <w:rPr>
          <w:iCs/>
          <w:i/>
        </w:rPr>
        <w:t xml:space="preserve">de novo</w:t>
      </w:r>
      <w:r>
        <w:t xml:space="preserve"> </w:t>
      </w:r>
      <w:r>
        <w:t xml:space="preserve">chimera detection, dereplication, and assignment of sequences to operational taxonomic units (OTU). VSEARCH is an open-source alternative to USEARCH that uses an optimal global aligner (full dynamic programming Needleman-Wunsch), resulting in more accurate alignments and sensitivity</w:t>
      </w:r>
      <w:r>
        <w:t xml:space="preserve"> </w:t>
      </w:r>
      <w:r>
        <w:t xml:space="preserve">(Rognes et al., 2016)</w:t>
      </w:r>
      <w:r>
        <w:t xml:space="preserve">. For mock communities and experimental samples, we used forward reads (ITS1) for downstream bioinformatics analyses due to their high quality, rather than reverse reads (ITS4). Following Sarmiento et al.</w:t>
      </w:r>
      <w:r>
        <w:t xml:space="preserve"> </w:t>
      </w:r>
      <w:r>
        <w:t xml:space="preserve">(2017)</w:t>
      </w:r>
      <w:r>
        <w:t xml:space="preserve">,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w:t>
      </w:r>
      <w:r>
        <w:t xml:space="preserve"> </w:t>
      </w:r>
      <w:r>
        <w:rPr>
          <w:rStyle w:val="VerbatimChar"/>
        </w:rPr>
        <w:t xml:space="preserve">fast_trunclen</w:t>
      </w:r>
      <w:r>
        <w:t xml:space="preserve"> </w:t>
      </w:r>
      <w:r>
        <w:t xml:space="preserve">and filtered them at a maximum expected error of 1.0 with command</w:t>
      </w:r>
      <w:r>
        <w:t xml:space="preserve"> </w:t>
      </w:r>
      <w:r>
        <w:rPr>
          <w:rStyle w:val="VerbatimChar"/>
        </w:rPr>
        <w:t xml:space="preserve">fast_maxee</w:t>
      </w:r>
      <w:r>
        <w:t xml:space="preserve">. We then clustered unique sequence zero radius OTUs (that is, zOTUs; analogous to amplicon sequence variants</w:t>
      </w:r>
      <w:r>
        <w:t xml:space="preserve"> </w:t>
      </w:r>
      <w:r>
        <w:t xml:space="preserve">(</w:t>
      </w:r>
      <w:r>
        <w:rPr>
          <w:bCs/>
          <w:b/>
        </w:rPr>
        <w:t xml:space="preserve">callahan2016?</w:t>
      </w:r>
      <w:r>
        <w:t xml:space="preserve">)</w:t>
      </w:r>
      <w:r>
        <w:t xml:space="preserve">), by using commands</w:t>
      </w:r>
      <w:r>
        <w:t xml:space="preserve"> </w:t>
      </w:r>
      <w:r>
        <w:rPr>
          <w:rStyle w:val="VerbatimChar"/>
        </w:rPr>
        <w:t xml:space="preserve">derep_fulllength</w:t>
      </w:r>
      <w:r>
        <w:t xml:space="preserve"> </w:t>
      </w:r>
      <w:r>
        <w:t xml:space="preserve">and</w:t>
      </w:r>
      <w:r>
        <w:t xml:space="preserve"> </w:t>
      </w:r>
      <w:r>
        <w:rPr>
          <w:rStyle w:val="VerbatimChar"/>
        </w:rPr>
        <w:t xml:space="preserve">minseqlength</w:t>
      </w:r>
      <w:r>
        <w:t xml:space="preserve"> </w:t>
      </w:r>
      <w:r>
        <w:t xml:space="preserve">set at 2. Sequentially we denoised and removed chimeras from read sequences with commands</w:t>
      </w:r>
      <w:r>
        <w:t xml:space="preserve"> </w:t>
      </w:r>
      <w:r>
        <w:rPr>
          <w:rStyle w:val="VerbatimChar"/>
        </w:rPr>
        <w:t xml:space="preserve">cluster_unoise</w:t>
      </w:r>
      <w:r>
        <w:t xml:space="preserve">, and</w:t>
      </w:r>
      <w:r>
        <w:t xml:space="preserve"> </w:t>
      </w:r>
      <w:r>
        <w:rPr>
          <w:rStyle w:val="VerbatimChar"/>
        </w:rPr>
        <w:t xml:space="preserve">uchime3_denovo</w:t>
      </w:r>
      <w:r>
        <w:t xml:space="preserve">, respectively. Finally, we clustered zOTUs at a 95% sequence similarity with command</w:t>
      </w:r>
      <w:r>
        <w:t xml:space="preserve"> </w:t>
      </w:r>
      <w:r>
        <w:rPr>
          <w:rStyle w:val="VerbatimChar"/>
        </w:rPr>
        <w:t xml:space="preserve">usearch_global</w:t>
      </w:r>
      <w:r>
        <w:t xml:space="preserve"> </w:t>
      </w:r>
      <w:r>
        <w:t xml:space="preserve">and option</w:t>
      </w:r>
      <w:r>
        <w:t xml:space="preserve"> </w:t>
      </w:r>
      <w:r>
        <w:rPr>
          <w:rStyle w:val="VerbatimChar"/>
        </w:rPr>
        <w:t xml:space="preserve">id</w:t>
      </w:r>
      <w:r>
        <w:t xml:space="preserve"> </w:t>
      </w:r>
      <w:r>
        <w:t xml:space="preserve">set at 0.95. At that point, 3,035,960 sequence reads from experimental samples remained. Taxonomy was assigned with the Tree-Based Alignment Selector Toolkit [v2.2;</w:t>
      </w:r>
      <w:r>
        <w:t xml:space="preserve"> </w:t>
      </w:r>
      <w:r>
        <w:t xml:space="preserve">Carbone et al. (2019)</w:t>
      </w:r>
      <w:r>
        <w:t xml:space="preserve">] by placing unknowns within the Pezizomycotina v2 reference tree</w:t>
      </w:r>
      <w:r>
        <w:t xml:space="preserve"> </w:t>
      </w:r>
      <w:r>
        <w:t xml:space="preserve">(Carbone et al., 2017)</w:t>
      </w:r>
      <w:r>
        <w:t xml:space="preserve">,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w:t>
      </w:r>
      <w:r>
        <w:t xml:space="preserve"> </w:t>
      </w:r>
      <w:r>
        <w:t xml:space="preserve">(Arnold &amp; Engelbrecht, 2007)</w:t>
      </w:r>
      <w:r>
        <w:t xml:space="preserve">.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w:t>
      </w:r>
      <w:r>
        <w:t xml:space="preserve"> </w:t>
      </w:r>
      <w:r>
        <w:t xml:space="preserve">(Oita et al., 2021)</w:t>
      </w:r>
      <w:r>
        <w:t xml:space="preserve">. Three experimental samples from</w:t>
      </w:r>
      <w:r>
        <w:t xml:space="preserve"> </w:t>
      </w:r>
      <w:r>
        <w:rPr>
          <w:iCs/>
          <w:i/>
        </w:rPr>
        <w:t xml:space="preserve">Theobroma cacao</w:t>
      </w:r>
      <w:r>
        <w:t xml:space="preserve"> </w:t>
      </w:r>
      <w:r>
        <w:t xml:space="preserve">(</w:t>
      </w:r>
      <w:r>
        <w:rPr>
          <w:iCs/>
          <w:i/>
        </w:rPr>
        <w:t xml:space="preserve">n</w:t>
      </w:r>
      <w:r>
        <w:t xml:space="preserve">=2) and</w:t>
      </w:r>
      <w:r>
        <w:t xml:space="preserve"> </w:t>
      </w:r>
      <w:r>
        <w:rPr>
          <w:iCs/>
          <w:i/>
        </w:rPr>
        <w:t xml:space="preserve">Apeiba membranacea</w:t>
      </w:r>
      <w:r>
        <w:t xml:space="preserve"> </w:t>
      </w:r>
      <w:r>
        <w:t xml:space="preserve">(</w:t>
      </w:r>
      <w:r>
        <w:rPr>
          <w:iCs/>
          <w:i/>
        </w:rPr>
        <w:t xml:space="preserve">n</w:t>
      </w:r>
      <w:r>
        <w:t xml:space="preserve">=1) were removed from all analyses due to incomplete entries. After pruning OTU with zero reads from experimental samples, we identified 260 OTUs found exclusively in control (</w:t>
      </w:r>
      <w:r>
        <w:rPr>
          <w:iCs/>
          <w:i/>
        </w:rPr>
        <w:t xml:space="preserve">E-low</w:t>
      </w:r>
      <w:r>
        <w:t xml:space="preserve">) plants (</w:t>
      </w:r>
      <w:r>
        <w:rPr>
          <w:iCs/>
          <w:i/>
        </w:rPr>
        <w:t xml:space="preserve">n</w:t>
      </w:r>
      <w:r>
        <w:t xml:space="preserve">=78) and deemed them as artifacts resulting from greenhouse conditions. They were eliminated from treatment (</w:t>
      </w:r>
      <w:r>
        <w:rPr>
          <w:iCs/>
          <w:i/>
        </w:rPr>
        <w:t xml:space="preserve">E-high</w:t>
      </w:r>
      <w:r>
        <w:t xml:space="preserve">) plants across all species. We converted reads for each fungal OTU to proportions of total sequence abundance per sample to reduce differences in sampling effort, following previous studies (</w:t>
      </w:r>
      <w:r>
        <w:t xml:space="preserve">Weiss et al. (2017)</w:t>
      </w:r>
      <w:r>
        <w:t xml:space="preserve">). We then removed singletons and obtained an average of 2,464,558 sequence reads in 529 Ascomycota OTUs across 156 experimental samples of 7 tree species. All analyses after taxonomic assignment were performed in R [v. 4.4.1;</w:t>
      </w:r>
      <w:r>
        <w:t xml:space="preserve"> </w:t>
      </w:r>
      <w:r>
        <w:t xml:space="preserve">R Core Team (2024)</w:t>
      </w:r>
      <w:r>
        <w:t xml:space="preserve">] using the</w:t>
      </w:r>
      <w:r>
        <w:t xml:space="preserve"> </w:t>
      </w:r>
      <w:r>
        <w:rPr>
          <w:rStyle w:val="VerbatimChar"/>
        </w:rPr>
        <w:t xml:space="preserve">phyloseq</w:t>
      </w:r>
      <w:r>
        <w:t xml:space="preserve"> </w:t>
      </w:r>
      <w:r>
        <w:t xml:space="preserve">package</w:t>
      </w:r>
      <w:r>
        <w:t xml:space="preserve"> </w:t>
      </w:r>
      <w:r>
        <w:t xml:space="preserve">(v.1.48.0, McMurdie &amp; Holmes, 2013)</w:t>
      </w:r>
      <w:r>
        <w:t xml:space="preserve"> </w:t>
      </w:r>
      <w:r>
        <w:t xml:space="preserve">and custom scripts (see Supplementary Material).</w:t>
      </w:r>
    </w:p>
    <w:bookmarkEnd w:id="31"/>
    <w:bookmarkStart w:id="32" w:name="host-species-phylogeny"/>
    <w:p>
      <w:pPr>
        <w:pStyle w:val="Heading5"/>
      </w:pPr>
      <w:r>
        <w:t xml:space="preserve">4.0.4.4.2 Host Species Phylogeny</w:t>
      </w:r>
    </w:p>
    <w:p>
      <w:pPr>
        <w:pStyle w:val="FirstParagraph"/>
      </w:pPr>
      <w:r>
        <w:t xml:space="preserve">We created a correlation structure based on the</w:t>
      </w:r>
      <w:r>
        <w:t xml:space="preserve"> </w:t>
      </w:r>
      <w:r>
        <w:rPr>
          <w:iCs/>
          <w:i/>
        </w:rPr>
        <w:t xml:space="preserve">rbcL</w:t>
      </w:r>
      <w:r>
        <w:t xml:space="preserve"> </w:t>
      </w:r>
      <w:r>
        <w:t xml:space="preserve">gene which has a low mutation rate and high similarity between species. We used data archived in NCBI by</w:t>
      </w:r>
      <w:r>
        <w:t xml:space="preserve"> </w:t>
      </w:r>
      <w:r>
        <w:t xml:space="preserve">(Kress et al., 2009)</w:t>
      </w:r>
      <w:r>
        <w:t xml:space="preserve"> </w:t>
      </w:r>
      <w:r>
        <w:t xml:space="preserve">under accession numbers:</w:t>
      </w:r>
      <w:r>
        <w:t xml:space="preserve"> </w:t>
      </w:r>
      <w:r>
        <w:rPr>
          <w:iCs/>
          <w:i/>
        </w:rPr>
        <w:t xml:space="preserve">Theobroma cacao</w:t>
      </w:r>
      <w:r>
        <w:t xml:space="preserve"> </w:t>
      </w:r>
      <w:r>
        <w:t xml:space="preserve">(GQ981898.1),</w:t>
      </w:r>
      <w:r>
        <w:t xml:space="preserve"> </w:t>
      </w:r>
      <w:r>
        <w:rPr>
          <w:iCs/>
          <w:i/>
        </w:rPr>
        <w:t xml:space="preserve">Dipteryx</w:t>
      </w:r>
      <w:r>
        <w:t xml:space="preserve"> </w:t>
      </w:r>
      <w:r>
        <w:t xml:space="preserve">sp. (GQ981725.1),</w:t>
      </w:r>
      <w:r>
        <w:t xml:space="preserve"> </w:t>
      </w:r>
      <w:r>
        <w:rPr>
          <w:iCs/>
          <w:i/>
        </w:rPr>
        <w:t xml:space="preserve">Lacmellea panamensis</w:t>
      </w:r>
      <w:r>
        <w:t xml:space="preserve"> </w:t>
      </w:r>
      <w:r>
        <w:t xml:space="preserve">(GQ981782.1),</w:t>
      </w:r>
      <w:r>
        <w:t xml:space="preserve"> </w:t>
      </w:r>
      <w:r>
        <w:rPr>
          <w:iCs/>
          <w:i/>
        </w:rPr>
        <w:t xml:space="preserve">Apeiba membranacea</w:t>
      </w:r>
      <w:r>
        <w:t xml:space="preserve"> </w:t>
      </w:r>
      <w:r>
        <w:t xml:space="preserve">(GQ981666.1),</w:t>
      </w:r>
      <w:r>
        <w:t xml:space="preserve"> </w:t>
      </w:r>
      <w:r>
        <w:rPr>
          <w:iCs/>
          <w:i/>
        </w:rPr>
        <w:t xml:space="preserve">Heisteria concinna</w:t>
      </w:r>
      <w:r>
        <w:t xml:space="preserve"> </w:t>
      </w:r>
      <w:r>
        <w:t xml:space="preserve">(GQ981761.1),</w:t>
      </w:r>
      <w:r>
        <w:t xml:space="preserve"> </w:t>
      </w:r>
      <w:r>
        <w:rPr>
          <w:iCs/>
          <w:i/>
        </w:rPr>
        <w:t xml:space="preserve">Chrysophyllum cainito</w:t>
      </w:r>
      <w:r>
        <w:t xml:space="preserve"> </w:t>
      </w:r>
      <w:r>
        <w:t xml:space="preserve">(GQ981702.), and</w:t>
      </w:r>
      <w:r>
        <w:t xml:space="preserve"> </w:t>
      </w:r>
      <w:r>
        <w:rPr>
          <w:iCs/>
          <w:i/>
        </w:rPr>
        <w:t xml:space="preserve">Cordia alliodora</w:t>
      </w:r>
      <w:r>
        <w:t xml:space="preserve"> </w:t>
      </w:r>
      <w:r>
        <w:t xml:space="preserve">(GQ981712.1).</w:t>
      </w:r>
    </w:p>
    <w:p>
      <w:pPr>
        <w:pStyle w:val="BodyText"/>
      </w:pPr>
      <w:r>
        <w:t xml:space="preserve">We aligned sequences with MUSCLE [v.5.1.0-1;</w:t>
      </w:r>
      <w:r>
        <w:t xml:space="preserve"> </w:t>
      </w:r>
      <w:r>
        <w:t xml:space="preserve">Edgar (2004)</w:t>
      </w:r>
      <w:r>
        <w:t xml:space="preserve">]. We built a maximum-likelihood tree with IQ-TREE [v.2.3.6-1;</w:t>
      </w:r>
      <w:r>
        <w:t xml:space="preserve"> </w:t>
      </w:r>
      <w:r>
        <w:t xml:space="preserve">Minh et al. (2020)</w:t>
      </w:r>
      <w:r>
        <w:t xml:space="preserve">] with 1000 bootstrap replicates. We calculated the phylogenetic correlation structure (Pagel’s λ Correlation Structure) assuming λ = 1 with the</w:t>
      </w:r>
      <w:r>
        <w:t xml:space="preserve"> </w:t>
      </w:r>
      <w:r>
        <w:rPr>
          <w:rStyle w:val="VerbatimChar"/>
        </w:rPr>
        <w:t xml:space="preserve">corPagel</w:t>
      </w:r>
      <w:r>
        <w:t xml:space="preserve"> </w:t>
      </w:r>
      <w:r>
        <w:t xml:space="preserve">function from the</w:t>
      </w:r>
      <w:r>
        <w:t xml:space="preserve"> </w:t>
      </w:r>
      <w:r>
        <w:rPr>
          <w:rStyle w:val="VerbatimChar"/>
        </w:rPr>
        <w:t xml:space="preserve">ape</w:t>
      </w:r>
      <w:r>
        <w:t xml:space="preserve"> </w:t>
      </w:r>
      <w:r>
        <w:t xml:space="preserve">package [v5.7.1;</w:t>
      </w:r>
      <w:r>
        <w:t xml:space="preserve"> </w:t>
      </w:r>
      <w:r>
        <w:t xml:space="preserve">Paradis &amp; Schliep (2019)</w:t>
      </w:r>
      <w:r>
        <w:t xml:space="preserve">] and used it to account for phylogenetic non-independence in our generalized linear mixed models (see Statistical Analyses below).</w:t>
      </w:r>
    </w:p>
    <w:bookmarkEnd w:id="32"/>
    <w:bookmarkEnd w:id="33"/>
    <w:bookmarkEnd w:id="34"/>
    <w:bookmarkStart w:id="37" w:name="X40f9f8e8e5dfe8044cb4fe05be0a0a605107edb"/>
    <w:p>
      <w:pPr>
        <w:pStyle w:val="Heading3"/>
      </w:pPr>
      <w:r>
        <w:t xml:space="preserve">4.0.5 Determining herbivore and pathogen damage to</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35" w:name="herbivore-assays"/>
    <w:p>
      <w:pPr>
        <w:pStyle w:val="Heading4"/>
      </w:pPr>
      <w:r>
        <w:t xml:space="preserve">4.0.5.1 Herbivore assays</w:t>
      </w:r>
    </w:p>
    <w:p>
      <w:pPr>
        <w:pStyle w:val="FirstParagraph"/>
      </w:pPr>
      <w: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w:t>
      </w:r>
      <w:r>
        <w:t xml:space="preserve"> </w:t>
      </w:r>
      <w:r>
        <w:rPr>
          <w:iCs/>
          <w:i/>
        </w:rPr>
        <w:t xml:space="preserve">E-high</w:t>
      </w:r>
      <w:r>
        <w:t xml:space="preserve"> </w:t>
      </w:r>
      <w:r>
        <w:t xml:space="preserve">or an</w:t>
      </w:r>
      <w:r>
        <w:t xml:space="preserve"> </w:t>
      </w:r>
      <w:r>
        <w:rPr>
          <w:iCs/>
          <w:i/>
        </w:rPr>
        <w:t xml:space="preserve">E-low</w:t>
      </w:r>
      <w:r>
        <w:t xml:space="preserve"> </w:t>
      </w:r>
      <w:r>
        <w:t xml:space="preserve">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w:t>
      </w:r>
      <w:r>
        <w:t xml:space="preserve"> </w:t>
      </w:r>
      <w:r>
        <w:t xml:space="preserve">Schneider et al. (2012)</w:t>
      </w:r>
      <w:r>
        <w:t xml:space="preserve">]. Ant recruitment was estimated by counting individuals in the choice arena throughout trial event.</w:t>
      </w:r>
    </w:p>
    <w:bookmarkEnd w:id="35"/>
    <w:bookmarkStart w:id="36" w:name="pathogen-assays"/>
    <w:p>
      <w:pPr>
        <w:pStyle w:val="Heading4"/>
      </w:pPr>
      <w:r>
        <w:t xml:space="preserve">4.0.5.2 Pathogen assays</w:t>
      </w:r>
    </w:p>
    <w:p>
      <w:pPr>
        <w:pStyle w:val="FirstParagraph"/>
      </w:pPr>
      <w:r>
        <w:t xml:space="preserve">For the pathogen assays, we inoculated seedlings with</w:t>
      </w:r>
      <w:r>
        <w:t xml:space="preserve"> </w:t>
      </w:r>
      <w:r>
        <w:rPr>
          <w:iCs/>
          <w:i/>
        </w:rPr>
        <w:t xml:space="preserve">Calonectria</w:t>
      </w:r>
      <w:r>
        <w:t xml:space="preserve"> </w:t>
      </w:r>
      <w:r>
        <w:t xml:space="preserve">sp. pathogen.</w:t>
      </w:r>
      <w:r>
        <w:t xml:space="preserve"> </w:t>
      </w:r>
      <w:r>
        <w:rPr>
          <w:iCs/>
          <w:i/>
        </w:rPr>
        <w:t xml:space="preserve">Calonectria</w:t>
      </w:r>
      <w:r>
        <w:t xml:space="preserve"> </w:t>
      </w:r>
      <w:r>
        <w:t xml:space="preserve">is a widespread pathogen in tropical and temperate ecosystems</w:t>
      </w:r>
      <w:r>
        <w:t xml:space="preserve"> </w:t>
      </w:r>
      <w:r>
        <w:t xml:space="preserve">(Crous et al., 2006; Li et al., 2022)</w:t>
      </w:r>
      <w:r>
        <w:t xml:space="preserve">. Its distribution reflects trends in agriculture, forestry, and the ornamental plant trade</w:t>
      </w:r>
      <w:r>
        <w:t xml:space="preserve"> </w:t>
      </w:r>
      <w:r>
        <w:t xml:space="preserve">(Li et al., 2022)</w:t>
      </w:r>
      <w:r>
        <w:t xml:space="preserve">. In the tropics its effects are known as</w:t>
      </w:r>
      <w:r>
        <w:t xml:space="preserve"> </w:t>
      </w:r>
      <w:r>
        <w:rPr>
          <w:iCs/>
          <w:i/>
        </w:rPr>
        <w:t xml:space="preserve">Calonectria</w:t>
      </w:r>
      <w:r>
        <w:t xml:space="preserve"> </w:t>
      </w:r>
      <w:r>
        <w:t xml:space="preserve">leaf blight (CLB) which has become a primary fungal disease in commercial tree plantations</w:t>
      </w:r>
      <w:r>
        <w:t xml:space="preserve"> </w:t>
      </w:r>
      <w:r>
        <w:t xml:space="preserve">(Lombard et al., 2010; Sanchez-Gonzalez et al., 2022)</w:t>
      </w:r>
      <w:r>
        <w:t xml:space="preserve">. We prepared the pathogen inoculum following Gilbert &amp; Webb</w:t>
      </w:r>
      <w:r>
        <w:t xml:space="preserve"> </w:t>
      </w:r>
      <w:r>
        <w:t xml:space="preserve">(2007)</w:t>
      </w:r>
      <w:r>
        <w:t xml:space="preserve"> </w:t>
      </w:r>
      <w:r>
        <w:t xml:space="preserve">and Tellez et al.</w:t>
      </w:r>
      <w:r>
        <w:t xml:space="preserve"> </w:t>
      </w:r>
      <w:r>
        <w:t xml:space="preserve">(2016)</w:t>
      </w:r>
      <w:r>
        <w:t xml:space="preserve">.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w:t>
      </w:r>
      <w:r>
        <w:t xml:space="preserve"> </w:t>
      </w:r>
      <w:r>
        <w:t xml:space="preserve">(Gilbert &amp; Webb, 2007)</w:t>
      </w:r>
      <w:r>
        <w:t xml:space="preserve">. Then we lightly punctured the leaf lamina with a sterile needle (95% EtOH and heat treated) and applied an agar plug inoculated with hyphae of</w:t>
      </w:r>
      <w:r>
        <w:t xml:space="preserve"> </w:t>
      </w:r>
      <w:r>
        <w:rPr>
          <w:iCs/>
          <w:i/>
        </w:rPr>
        <w:t xml:space="preserve">Calonectria</w:t>
      </w:r>
      <w:r>
        <w:t xml:space="preserve"> </w:t>
      </w:r>
      <w:r>
        <w:t xml:space="preserve">sp. (</w:t>
      </w:r>
      <w:r>
        <w:rPr>
          <w:iCs/>
          <w:i/>
        </w:rPr>
        <w:t xml:space="preserve">P+</w:t>
      </w:r>
      <w:r>
        <w:t xml:space="preserve"> </w:t>
      </w:r>
      <w:r>
        <w:t xml:space="preserve">treatment), and in a separate leaf, an agar plug without the pathogen (</w:t>
      </w:r>
      <w:r>
        <w:rPr>
          <w:iCs/>
          <w:i/>
        </w:rPr>
        <w:t xml:space="preserve">P-</w:t>
      </w:r>
      <w:r>
        <w:t xml:space="preserve"> </w:t>
      </w:r>
      <w:r>
        <w:t xml:space="preserve">control). Agar plugs were held in place with sterile metal double prong curl clips (Sally Beauty LLC., Denton, Texas, USA. Item number: SBS-292507). Leaves with the</w:t>
      </w:r>
      <w:r>
        <w:t xml:space="preserve"> </w:t>
      </w:r>
      <w:r>
        <w:rPr>
          <w:iCs/>
          <w:i/>
        </w:rPr>
        <w:t xml:space="preserve">P+</w:t>
      </w:r>
      <w:r>
        <w:t xml:space="preserve"> </w:t>
      </w:r>
      <w:r>
        <w:t xml:space="preserve">or</w:t>
      </w:r>
      <w:r>
        <w:t xml:space="preserve"> </w:t>
      </w:r>
      <w:r>
        <w:rPr>
          <w:iCs/>
          <w:i/>
        </w:rPr>
        <w:t xml:space="preserve">P-</w:t>
      </w:r>
      <w:r>
        <w:t xml:space="preserve"> </w:t>
      </w:r>
      <w:r>
        <w:t xml:space="preserve">treatments were misted with sterile water two times a day (morning and afternoon) to maintain moisture. After four days, we removed the plugs and took digital photos to analyze leaf area damage using ImageJ [v1.52r;</w:t>
      </w:r>
      <w:r>
        <w:t xml:space="preserve"> </w:t>
      </w:r>
      <w:r>
        <w:t xml:space="preserve">Schneider et al. (2012)</w:t>
      </w:r>
      <w:r>
        <w:t xml:space="preserve">].</w:t>
      </w:r>
    </w:p>
    <w:bookmarkEnd w:id="36"/>
    <w:bookmarkEnd w:id="37"/>
    <w:bookmarkStart w:id="38" w:name="replication-statement"/>
    <w:p>
      <w:pPr>
        <w:pStyle w:val="Heading3"/>
      </w:pPr>
      <w:r>
        <w:t xml:space="preserve">4.0.6 Replication Statement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8"/>
        <w:gridCol w:w="3168"/>
        <w:gridCol w:w="3168"/>
      </w:tblGrid>
      <w:tr>
        <w:trPr>
          <w:trHeight w:val="360" w:hRule="auto"/>
        </w:trPr>
        body1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of inference</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at which the factor of interest is applied</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Number of replicates at the appropriate scale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Leaf functional traits (LFTs)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Host Species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 leaves per plant = 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Genomic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 (OTUs)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Herbivore assays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Replicates per plant = 1</w:t>
            </w:r>
          </w:p>
        </w:tc>
      </w:tr>
      <w:tr>
        <w:trPr>
          <w:trHeight w:val="360" w:hRule="auto"/>
        </w:trPr>
        body5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Pathogen assays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sub-treatment = 2 (control and pathogen) for pathogen trials, Tropical tree species = 7, Replicates per species = 5, Replicates per plant = 1</w:t>
            </w:r>
          </w:p>
        </w:tc>
      </w:tr>
    </w:tbl>
    <w:bookmarkEnd w:id="38"/>
    <w:bookmarkStart w:id="42" w:name="statistical-analyses"/>
    <w:p>
      <w:pPr>
        <w:pStyle w:val="Heading3"/>
      </w:pPr>
      <w:r>
        <w:t xml:space="preserve">4.0.7 Statistical Analyses</w:t>
      </w:r>
    </w:p>
    <w:p>
      <w:pPr>
        <w:pStyle w:val="FirstParagraph"/>
      </w:pPr>
      <w:r>
        <w:t xml:space="preserve">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bookmarkStart w:id="39" w:name="Xf88208254e4a33b25f099e5b20da671e728cf34"/>
    <w:p>
      <w:pPr>
        <w:pStyle w:val="Heading4"/>
      </w:pPr>
      <w:r>
        <w:t xml:space="preserve">4.0.7.1 Comparison of LFTs and FEF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p>
      <w:pPr>
        <w:pStyle w:val="FirstParagraph"/>
      </w:pPr>
      <w:r>
        <w:t xml:space="preserve">First, we compared the means of herbivory (%) damage, and LFTs for each species and treatment groups using paired two-sided Student’s t-Test and analysis of variance (ANOVA) with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 </w:t>
      </w:r>
      <w:r>
        <w:t xml:space="preserve">functions from the</w:t>
      </w:r>
      <w:r>
        <w:t xml:space="preserve"> </w:t>
      </w:r>
      <w:r>
        <w:rPr>
          <w:rStyle w:val="VerbatimChar"/>
        </w:rPr>
        <w:t xml:space="preserve">ggpubr</w:t>
      </w:r>
      <w:r>
        <w:t xml:space="preserve"> </w:t>
      </w:r>
      <w:r>
        <w:t xml:space="preserve">package in</w:t>
      </w:r>
      <w:r>
        <w:t xml:space="preserve"> </w:t>
      </w:r>
      <w:r>
        <w:rPr>
          <w:iCs/>
          <w:i/>
        </w:rPr>
        <w:t xml:space="preserve">R</w:t>
      </w:r>
      <w:r>
        <w:t xml:space="preserve"> </w:t>
      </w:r>
      <w:r>
        <w:t xml:space="preserve">(v.0.6.0, Kassambara, 2023b)</w:t>
      </w:r>
      <w:r>
        <w:t xml:space="preserve">, which wrap and extend the</w:t>
      </w:r>
      <w:r>
        <w:t xml:space="preserve"> </w:t>
      </w:r>
      <w:r>
        <w:rPr>
          <w:rStyle w:val="VerbatimChar"/>
        </w:rPr>
        <w:t xml:space="preserve">anova</w:t>
      </w:r>
      <w:r>
        <w:t xml:space="preserve"> </w:t>
      </w:r>
      <w:r>
        <w:t xml:space="preserve">and</w:t>
      </w:r>
      <w:r>
        <w:t xml:space="preserve"> </w:t>
      </w:r>
      <w:r>
        <w:rPr>
          <w:rStyle w:val="VerbatimChar"/>
        </w:rPr>
        <w:t xml:space="preserve">t.test</w:t>
      </w:r>
      <w:r>
        <w:t xml:space="preserve"> </w:t>
      </w:r>
      <w:r>
        <w:t xml:space="preserve">functions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and facilitate plotting. Additionally, to facilitate comparison between group levels we used the</w:t>
      </w:r>
      <w:r>
        <w:t xml:space="preserve"> </w:t>
      </w:r>
      <w:r>
        <w:rPr>
          <w:rStyle w:val="VerbatimChar"/>
        </w:rPr>
        <w:t xml:space="preserve">pairwise_t_test</w:t>
      </w:r>
      <w:r>
        <w:t xml:space="preserve"> </w:t>
      </w:r>
      <w:r>
        <w:t xml:space="preserve">function from the</w:t>
      </w:r>
      <w:r>
        <w:t xml:space="preserve"> </w:t>
      </w:r>
      <w:r>
        <w:rPr>
          <w:rStyle w:val="VerbatimChar"/>
        </w:rPr>
        <w:t xml:space="preserve">rstatix</w:t>
      </w:r>
      <w:r>
        <w:t xml:space="preserve"> </w:t>
      </w:r>
      <w:r>
        <w:t xml:space="preserve">package</w:t>
      </w:r>
      <w:r>
        <w:t xml:space="preserve"> </w:t>
      </w:r>
      <w:r>
        <w:t xml:space="preserve">(v.0.7.2, Kassambara, 2023a)</w:t>
      </w:r>
      <w:r>
        <w:t xml:space="preserve"> </w:t>
      </w:r>
      <w:r>
        <w:t xml:space="preserve">when we compared pathogen (%) damage means. This function also wraps and extends base</w:t>
      </w:r>
      <w:r>
        <w:t xml:space="preserve"> </w:t>
      </w:r>
      <w:r>
        <w:rPr>
          <w:iCs/>
          <w:i/>
        </w:rPr>
        <w:t xml:space="preserve">R</w:t>
      </w:r>
      <w:r>
        <w:t xml:space="preserve"> </w:t>
      </w:r>
      <w:r>
        <w:t xml:space="preserve">functions.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bookmarkEnd w:id="39"/>
    <w:bookmarkStart w:id="40" w:name="X313d8ade880da19aeb88197144d0027ded10745"/>
    <w:p>
      <w:pPr>
        <w:pStyle w:val="Heading4"/>
      </w:pPr>
      <w:r>
        <w:t xml:space="preserve">4.0.7.2 FEF abundance, richness, diversity and community composition</w:t>
      </w:r>
    </w:p>
    <w:p>
      <w:pPr>
        <w:pStyle w:val="FirstParagraph"/>
      </w:pPr>
      <w:r>
        <w:t xml:space="preserve">Secondly, we calculated the FEF richness and Shannon’s diversity index with the</w:t>
      </w:r>
      <w:r>
        <w:t xml:space="preserve"> </w:t>
      </w:r>
      <w:r>
        <w:rPr>
          <w:rStyle w:val="VerbatimChar"/>
        </w:rPr>
        <w:t xml:space="preserve">estimate_richeness</w:t>
      </w:r>
      <w:r>
        <w:t xml:space="preserve"> </w:t>
      </w:r>
      <w:r>
        <w:t xml:space="preserve">function from the</w:t>
      </w:r>
      <w:r>
        <w:t xml:space="preserve"> </w:t>
      </w:r>
      <w:r>
        <w:rPr>
          <w:rStyle w:val="VerbatimChar"/>
        </w:rPr>
        <w:t xml:space="preserve">phyloseq</w:t>
      </w:r>
      <w:r>
        <w:t xml:space="preserve">, we then used in our generalized linear mixed models (see section</w:t>
      </w:r>
      <w:r>
        <w:t xml:space="preserve"> </w:t>
      </w:r>
      <w:hyperlink w:anchor="sec-correlations">
        <w:r>
          <w:rPr>
            <w:rStyle w:val="Hyperlink"/>
          </w:rPr>
          <w:t xml:space="preserve">Section 4.0.7.3</w:t>
        </w:r>
      </w:hyperlink>
      <w:r>
        <w:t xml:space="preserve"> </w:t>
      </w:r>
      <w:r>
        <w:t xml:space="preserve">below)</w:t>
      </w:r>
      <w:r>
        <w:t xml:space="preserve"> </w:t>
      </w:r>
      <w:r>
        <w:t xml:space="preserve">(McMurdie &amp; Holmes, 2013)</w:t>
      </w:r>
      <w:r>
        <w:t xml:space="preserve">. Subsequently, we calculated a Bray-Curtis dissimilarity matrix with our OTU relative abundance data and computed a distance-based redundancy analysis (dbRDA) by applying the</w:t>
      </w:r>
      <w:r>
        <w:t xml:space="preserve"> </w:t>
      </w:r>
      <w:r>
        <w:rPr>
          <w:rStyle w:val="VerbatimChar"/>
        </w:rPr>
        <w:t xml:space="preserve">dbRDA</w:t>
      </w:r>
      <w:r>
        <w:t xml:space="preserve"> </w:t>
      </w:r>
      <w:r>
        <w:t xml:space="preserve">function in the</w:t>
      </w:r>
      <w:r>
        <w:t xml:space="preserve"> </w:t>
      </w:r>
      <w:r>
        <w:rPr>
          <w:rStyle w:val="VerbatimChar"/>
        </w:rPr>
        <w:t xml:space="preserve">vegan</w:t>
      </w:r>
      <w:r>
        <w:t xml:space="preserve"> </w:t>
      </w:r>
      <w:r>
        <w:t xml:space="preserve">package to our dissimilarity matrix</w:t>
      </w:r>
      <w:r>
        <w:t xml:space="preserve"> </w:t>
      </w:r>
      <w:r>
        <w:t xml:space="preserve">(Oksanen et al., 2022)</w:t>
      </w:r>
      <w:r>
        <w:t xml:space="preserve">. We computed forward model selection for dbRDA analysis with the</w:t>
      </w:r>
      <w:r>
        <w:t xml:space="preserve"> </w:t>
      </w:r>
      <w:r>
        <w:rPr>
          <w:rStyle w:val="VerbatimChar"/>
        </w:rPr>
        <w:t xml:space="preserve">ordistep</w:t>
      </w:r>
      <w:r>
        <w:t xml:space="preserve"> </w:t>
      </w:r>
      <w:r>
        <w:t xml:space="preserve">function which selects terms based on</w:t>
      </w:r>
      <w:r>
        <w:t xml:space="preserve"> </w:t>
      </w:r>
      <w:r>
        <w:rPr>
          <w:iCs/>
          <w:i/>
        </w:rPr>
        <w:t xml:space="preserve">p</w:t>
      </w:r>
      <w:r>
        <w:t xml:space="preserve"> </w:t>
      </w:r>
      <w:r>
        <w:t xml:space="preserve">values</w:t>
      </w:r>
      <w:r>
        <w:t xml:space="preserve"> </w:t>
      </w:r>
      <w:r>
        <w:t xml:space="preserve">(Blanchet et al., 2008; Oksanen et al., 2022)</w:t>
      </w:r>
      <w:r>
        <w:t xml:space="preserve">. We started with our initial model containing only the intercept (dissimilarity_matrix ~ 1) and setting the functions arguments to the following:</w:t>
      </w:r>
      <w:r>
        <w:t xml:space="preserve"> </w:t>
      </w:r>
      <w:r>
        <w:rPr>
          <w:rStyle w:val="VerbatimChar"/>
        </w:rPr>
        <w:t xml:space="preserve">scope</w:t>
      </w:r>
      <w:r>
        <w:t xml:space="preserve"> </w:t>
      </w:r>
      <w:r>
        <w:t xml:space="preserve">= formula(</w:t>
      </w:r>
      <w:r>
        <w:rPr>
          <w:iCs/>
          <w:i/>
        </w:rPr>
        <w:t xml:space="preserve">m</w:t>
      </w:r>
      <w:r>
        <w:t xml:space="preserve">), where</w:t>
      </w:r>
      <w:r>
        <w:t xml:space="preserve"> </w:t>
      </w:r>
      <w:r>
        <w:rPr>
          <w:iCs/>
          <w:i/>
        </w:rPr>
        <w:t xml:space="preserve">m</w:t>
      </w:r>
      <w:r>
        <w:t xml:space="preserve"> </w:t>
      </w:r>
      <w:r>
        <w:t xml:space="preserve">is the formula with a defined range including LFTs, tree species and treatment groups;</w:t>
      </w:r>
      <w:r>
        <w:t xml:space="preserve"> </w:t>
      </w:r>
      <w:r>
        <w:rPr>
          <w:rStyle w:val="VerbatimChar"/>
        </w:rPr>
        <w:t xml:space="preserve">Pin</w:t>
      </w:r>
      <w:r>
        <w:t xml:space="preserve"> </w:t>
      </w:r>
      <w:r>
        <w:t xml:space="preserve">= 0.5,</w:t>
      </w:r>
      <w:r>
        <w:t xml:space="preserve"> </w:t>
      </w:r>
      <w:r>
        <w:rPr>
          <w:rStyle w:val="VerbatimChar"/>
        </w:rPr>
        <w:t xml:space="preserve">Pout</w:t>
      </w:r>
      <w:r>
        <w:t xml:space="preserve"> </w:t>
      </w:r>
      <w:r>
        <w:t xml:space="preserve">= 0.05,</w:t>
      </w:r>
      <w:r>
        <w:t xml:space="preserve"> </w:t>
      </w:r>
      <w:r>
        <w:rPr>
          <w:rStyle w:val="VerbatimChar"/>
        </w:rPr>
        <w:t xml:space="preserve">trace</w:t>
      </w:r>
      <w:r>
        <w:t xml:space="preserve"> </w:t>
      </w:r>
      <w:r>
        <w:t xml:space="preserve">= T,</w:t>
      </w:r>
      <w:r>
        <w:t xml:space="preserve"> </w:t>
      </w:r>
      <w:r>
        <w:rPr>
          <w:rStyle w:val="VerbatimChar"/>
        </w:rPr>
        <w:t xml:space="preserve">permutations</w:t>
      </w:r>
      <w:r>
        <w:t xml:space="preserve"> </w:t>
      </w:r>
      <w:r>
        <w:t xml:space="preserve">= how(nperm = 999),</w:t>
      </w:r>
      <w:r>
        <w:t xml:space="preserve"> </w:t>
      </w:r>
      <w:r>
        <w:rPr>
          <w:rStyle w:val="VerbatimChar"/>
        </w:rPr>
        <w:t xml:space="preserve">steps</w:t>
      </w:r>
      <w:r>
        <w:t xml:space="preserve"> </w:t>
      </w:r>
      <w:r>
        <w:t xml:space="preserve">= 50. The dbRDA is considered analogous to a permutational analysis of variance (PERMANOVA) with non-Euclidean distance</w:t>
      </w:r>
      <w:r>
        <w:t xml:space="preserve"> </w:t>
      </w:r>
      <w:r>
        <w:t xml:space="preserve">(M. J. Anderson, 2017; McArdle &amp; Anderson, 2001)</w:t>
      </w:r>
      <w:r>
        <w:t xml:space="preserve">. Its corresponding visualizations appropriately illustrate underlying patterns of compositional differences</w:t>
      </w:r>
      <w:r>
        <w:t xml:space="preserve"> </w:t>
      </w:r>
      <w:r>
        <w:t xml:space="preserve">(M. J. Anderson, 2017; Legendre &amp; Anderson, 1999; McArdle &amp; Anderson, 2001)</w:t>
      </w:r>
      <w:r>
        <w:t xml:space="preserve">. We used the</w:t>
      </w:r>
      <w:r>
        <w:t xml:space="preserve"> </w:t>
      </w:r>
      <w:r>
        <w:rPr>
          <w:rStyle w:val="VerbatimChar"/>
        </w:rPr>
        <w:t xml:space="preserve">anova.cca</w:t>
      </w:r>
      <w:r>
        <w:t xml:space="preserve"> </w:t>
      </w:r>
      <w:r>
        <w:t xml:space="preserve">function with 999 permutation to assess the marginal significance of constraining variables</w:t>
      </w:r>
      <w:r>
        <w:t xml:space="preserve"> </w:t>
      </w:r>
      <w:r>
        <w:t xml:space="preserve">(Legendre et al., 2011; Legendre &amp; Legendre, 2012; Oksanen et al., 2022)</w:t>
      </w:r>
      <w:r>
        <w:t xml:space="preserve">, applied here to reveal associations between LFTs and FEF communities in host tree species and treatment groups. To corroborate homogeneous dispersion of variances of host species and treatment groups we used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w:t>
      </w:r>
      <w:r>
        <w:t xml:space="preserve">with with 999 permutations</w:t>
      </w:r>
      <w:r>
        <w:t xml:space="preserve"> </w:t>
      </w:r>
      <w:r>
        <w:t xml:space="preserve">(Oksanen et al., 2022)</w:t>
      </w:r>
      <w:r>
        <w:t xml:space="preserve">. We compared differences in the dispersion of the FEF communities among species and treatments with post-hoc Tukey’s tests. We computed Shannon’s Diversity index to assess FEF diversity in each tree species and treatment group.</w:t>
      </w:r>
    </w:p>
    <w:bookmarkEnd w:id="40"/>
    <w:bookmarkStart w:id="41" w:name="sec-correlations"/>
    <w:p>
      <w:pPr>
        <w:pStyle w:val="Heading4"/>
      </w:pPr>
      <w:r>
        <w:t xml:space="preserve">4.0.7.3 Correlations between FEF and herbivory and pathogen damage</w:t>
      </w:r>
    </w:p>
    <w:p>
      <w:pPr>
        <w:pStyle w:val="FirstParagraph"/>
      </w:pPr>
      <w: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w:t>
      </w:r>
      <w:r>
        <w:t xml:space="preserve"> </w:t>
      </w:r>
      <w:r>
        <w:rPr>
          <w:rStyle w:val="VerbatimChar"/>
        </w:rPr>
        <w:t xml:space="preserve">multipatt</w:t>
      </w:r>
      <w:r>
        <w:t xml:space="preserve"> </w:t>
      </w:r>
      <w:r>
        <w:t xml:space="preserve">function from the</w:t>
      </w:r>
      <w:r>
        <w:t xml:space="preserve"> </w:t>
      </w:r>
      <w:r>
        <w:rPr>
          <w:rStyle w:val="VerbatimChar"/>
        </w:rPr>
        <w:t xml:space="preserve">indicspecies</w:t>
      </w:r>
      <w:r>
        <w:t xml:space="preserve"> </w:t>
      </w:r>
      <w:r>
        <w:t xml:space="preserve">package in</w:t>
      </w:r>
      <w:r>
        <w:t xml:space="preserve"> </w:t>
      </w:r>
      <w:r>
        <w:rPr>
          <w:iCs/>
          <w:i/>
        </w:rPr>
        <w:t xml:space="preserve">R</w:t>
      </w:r>
      <w:r>
        <w:t xml:space="preserve"> </w:t>
      </w:r>
      <w:r>
        <w:t xml:space="preserve">[v. 1.7.14;</w:t>
      </w:r>
      <w:r>
        <w:t xml:space="preserve"> </w:t>
      </w:r>
      <w:r>
        <w:t xml:space="preserve">De Cáceres &amp; Legendre (2009)</w:t>
      </w:r>
      <w:r>
        <w:t xml:space="preserve">], which allowed us to determine correlation indices for each site group combination (host tree species and OTUs). We applied the</w:t>
      </w:r>
      <w:r>
        <w:t xml:space="preserve"> </w:t>
      </w:r>
      <w:r>
        <w:rPr>
          <w:rStyle w:val="VerbatimChar"/>
        </w:rPr>
        <w:t xml:space="preserve">multipatt</w:t>
      </w:r>
      <w:r>
        <w:t xml:space="preserve"> </w:t>
      </w:r>
      <w:r>
        <w:t xml:space="preserve">function with arguments</w:t>
      </w:r>
      <w:r>
        <w:t xml:space="preserve"> </w:t>
      </w:r>
      <w:r>
        <w:rPr>
          <w:rStyle w:val="VerbatimChar"/>
        </w:rPr>
        <w:t xml:space="preserve">func</w:t>
      </w:r>
      <w:r>
        <w:t xml:space="preserve">=</w:t>
      </w:r>
      <w:r>
        <w:t xml:space="preserve"> </w:t>
      </w:r>
      <w:r>
        <w:t xml:space="preserve">“</w:t>
      </w:r>
      <w:r>
        <w:t xml:space="preserve">r.g</w:t>
      </w:r>
      <w:r>
        <w:t xml:space="preserve">”</w:t>
      </w:r>
      <w:r>
        <w:t xml:space="preserve"> </w:t>
      </w:r>
      <w:r>
        <w:t xml:space="preserve">and</w:t>
      </w:r>
      <w:r>
        <w:t xml:space="preserve"> </w:t>
      </w:r>
      <w:r>
        <w:rPr>
          <w:rStyle w:val="VerbatimChar"/>
        </w:rPr>
        <w:t xml:space="preserve">control</w:t>
      </w:r>
      <w:r>
        <w:t xml:space="preserve"> </w:t>
      </w:r>
      <w:r>
        <w:t xml:space="preserve">= how(nperm=999) to our OTU abundance matrix to calculate the point biserial correlation coefficient for each OTU at all tree species and treatment group combinations</w:t>
      </w:r>
      <w:r>
        <w:t xml:space="preserve"> </w:t>
      </w:r>
      <w:r>
        <w:t xml:space="preserve">(De Cáceres &amp; Legendre, 2009)</w:t>
      </w:r>
      <w:r>
        <w:t xml:space="preserve">. Like with other statistical tests performed,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t>
      </w:r>
      <w:r>
        <w:t xml:space="preserve">in the</w:t>
      </w:r>
      <w:r>
        <w:t xml:space="preserve"> </w:t>
      </w:r>
      <w:r>
        <w:rPr>
          <w:rStyle w:val="VerbatimChar"/>
        </w:rPr>
        <w:t xml:space="preserve">p.adjust</w:t>
      </w:r>
      <w:r>
        <w:t xml:space="preserve"> </w:t>
      </w:r>
      <w:r>
        <w:t xml:space="preserve">function from the</w:t>
      </w:r>
      <w:r>
        <w:t xml:space="preserve"> </w:t>
      </w:r>
      <w:r>
        <w:rPr>
          <w:rStyle w:val="VerbatimChar"/>
        </w:rPr>
        <w:t xml:space="preserve">stats</w:t>
      </w:r>
      <w:r>
        <w:t xml:space="preserve"> </w:t>
      </w:r>
      <w:r>
        <w:t xml:space="preserve">package</w:t>
      </w:r>
      <w:r>
        <w:t xml:space="preserve"> </w:t>
      </w:r>
      <w:r>
        <w:t xml:space="preserve">(R Core Team, 2024)</w:t>
      </w:r>
      <w:r>
        <w:t xml:space="preserve">. We then filtered the adjusted</w:t>
      </w:r>
      <w:r>
        <w:t xml:space="preserve"> </w:t>
      </w:r>
      <w:r>
        <w:rPr>
          <w:iCs/>
          <w:i/>
        </w:rPr>
        <w:t xml:space="preserve">p</w:t>
      </w:r>
      <w:r>
        <w:t xml:space="preserve"> </w:t>
      </w:r>
      <w:r>
        <w:t xml:space="preserve">value with a cutoff of &lt; .05.</w:t>
      </w:r>
    </w:p>
    <w:p>
      <w:pPr>
        <w:pStyle w:val="BodyText"/>
      </w:pPr>
      <w:r>
        <w:t xml:space="preserve">We used Principal Component Analysis (PCA) to reduce dimensions among covariates and reveal underlying interactions between covariates that could influence herbivory and pathogen damage. The PCA was computed using the</w:t>
      </w:r>
      <w:r>
        <w:t xml:space="preserve"> </w:t>
      </w:r>
      <w:r>
        <w:rPr>
          <w:rStyle w:val="VerbatimChar"/>
        </w:rPr>
        <w:t xml:space="preserve">prcomp</w:t>
      </w:r>
      <w:r>
        <w:t xml:space="preserve"> </w:t>
      </w:r>
      <w:r>
        <w:t xml:space="preserve">function in R statistical software</w:t>
      </w:r>
      <w:r>
        <w:t xml:space="preserve"> </w:t>
      </w:r>
      <w:r>
        <w:t xml:space="preserve">(R Core Team, 2024)</w:t>
      </w:r>
      <w:r>
        <w:t xml:space="preserve">. A complete PCA was computed with variables ACI, LT, LPS, and LMA. We then proceeded to compute a PCA with the data from leaves of plants used in the herbivory (</w:t>
      </w:r>
      <w:r>
        <w:rPr>
          <w:iCs/>
          <w:i/>
        </w:rPr>
        <w:t xml:space="preserve">n</w:t>
      </w:r>
      <w:r>
        <w:t xml:space="preserve"> </w:t>
      </w:r>
      <w:r>
        <w:t xml:space="preserve">= 210) and pathogen assays (</w:t>
      </w:r>
      <w:r>
        <w:rPr>
          <w:iCs/>
          <w:i/>
        </w:rPr>
        <w:t xml:space="preserve">n</w:t>
      </w:r>
      <w:r>
        <w:t xml:space="preserve"> </w:t>
      </w:r>
      <w:r>
        <w:t xml:space="preserve">=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w:t>
      </w:r>
      <w:r>
        <w:t xml:space="preserve"> </w:t>
      </w:r>
      <w:r>
        <w:rPr>
          <w:rStyle w:val="VerbatimChar"/>
        </w:rPr>
        <w:t xml:space="preserve">logit</w:t>
      </w:r>
      <w:r>
        <w:t xml:space="preserve"> </w:t>
      </w:r>
      <w:r>
        <w:t xml:space="preserve">function from the</w:t>
      </w:r>
      <w:r>
        <w:t xml:space="preserve"> </w:t>
      </w:r>
      <w:r>
        <w:rPr>
          <w:rStyle w:val="VerbatimChar"/>
        </w:rPr>
        <w:t xml:space="preserve">car</w:t>
      </w:r>
      <w:r>
        <w:t xml:space="preserve"> </w:t>
      </w:r>
      <w:r>
        <w:t xml:space="preserve">package for logit transformation of variables and the</w:t>
      </w:r>
      <w:r>
        <w:t xml:space="preserve"> </w:t>
      </w:r>
      <w:r>
        <w:rPr>
          <w:rStyle w:val="VerbatimChar"/>
        </w:rPr>
        <w:t xml:space="preserve">lm</w:t>
      </w:r>
      <w:r>
        <w:t xml:space="preserve"> </w:t>
      </w:r>
      <w:r>
        <w:t xml:space="preserve">function from the</w:t>
      </w:r>
      <w:r>
        <w:t xml:space="preserve"> </w:t>
      </w:r>
      <w:r>
        <w:rPr>
          <w:rStyle w:val="VerbatimChar"/>
        </w:rPr>
        <w:t xml:space="preserve">stat</w:t>
      </w:r>
      <w:r>
        <w:t xml:space="preserve"> </w:t>
      </w:r>
      <w:r>
        <w:t xml:space="preserve">package for simple linear regressions</w:t>
      </w:r>
      <w:r>
        <w:t xml:space="preserve"> </w:t>
      </w:r>
      <w:r>
        <w:t xml:space="preserve">(Fox &amp; Weisberg, 2019; R Core Team, 2024)</w:t>
      </w:r>
      <w:r>
        <w:t xml:space="preserve">.</w:t>
      </w:r>
    </w:p>
    <w:p>
      <w:pPr>
        <w:pStyle w:val="BodyText"/>
      </w:pPr>
      <w: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w:t>
      </w:r>
      <w:r>
        <w:t xml:space="preserve"> </w:t>
      </w:r>
      <w:r>
        <w:rPr>
          <w:rStyle w:val="VerbatimChar"/>
        </w:rPr>
        <w:t xml:space="preserve">vif</w:t>
      </w:r>
      <w:r>
        <w:t xml:space="preserve"> </w:t>
      </w:r>
      <w:r>
        <w:t xml:space="preserve">function from the</w:t>
      </w:r>
      <w:r>
        <w:t xml:space="preserve"> </w:t>
      </w:r>
      <w:r>
        <w:rPr>
          <w:rStyle w:val="VerbatimChar"/>
        </w:rPr>
        <w:t xml:space="preserve">car</w:t>
      </w:r>
      <w:r>
        <w:t xml:space="preserve"> </w:t>
      </w:r>
      <w:r>
        <w:t xml:space="preserve">package in</w:t>
      </w:r>
      <w:r>
        <w:t xml:space="preserve"> </w:t>
      </w:r>
      <w:r>
        <w:rPr>
          <w:iCs/>
          <w:i/>
        </w:rPr>
        <w:t xml:space="preserve">R</w:t>
      </w:r>
      <w:r>
        <w:t xml:space="preserve"> </w:t>
      </w:r>
      <w:r>
        <w:t xml:space="preserve">to calculate the variance inflation factor for all explanatory variables (ACI, LT, LPS, LMA, and Shannon diversity index)</w:t>
      </w:r>
      <w:r>
        <w:t xml:space="preserve"> </w:t>
      </w:r>
      <w:r>
        <w:t xml:space="preserve">(Fox &amp; Weisberg, 2019; R Core Team, 2024)</w:t>
      </w:r>
      <w:r>
        <w:t xml:space="preserve">. Complementary to this, we calculated Pearson’s coefficient for each pair of LFTs with by creating a correlation matrix and applying the</w:t>
      </w:r>
      <w:r>
        <w:t xml:space="preserve"> </w:t>
      </w:r>
      <w:r>
        <w:rPr>
          <w:rStyle w:val="VerbatimChar"/>
        </w:rPr>
        <w:t xml:space="preserve">cor</w:t>
      </w:r>
      <w:r>
        <w:t xml:space="preserve"> </w:t>
      </w:r>
      <w:r>
        <w:t xml:space="preserve">function from the</w:t>
      </w:r>
      <w:r>
        <w:t xml:space="preserve"> </w:t>
      </w:r>
      <w:r>
        <w:rPr>
          <w:rStyle w:val="VerbatimChar"/>
        </w:rPr>
        <w:t xml:space="preserve">stats</w:t>
      </w:r>
      <w:r>
        <w:t xml:space="preserve"> </w:t>
      </w:r>
      <w:r>
        <w:t xml:space="preserve">package to assess correlations among traits</w:t>
      </w:r>
      <w:r>
        <w:t xml:space="preserve"> </w:t>
      </w:r>
      <w:r>
        <w:t xml:space="preserve">(R Core Team, 2024)</w:t>
      </w:r>
      <w:r>
        <w:t xml:space="preserve">. We opted to maintain explanatory variables LT and LMA, and exclude ACI and LPS from subsequent general linear models (GLMMs) due to high collinearity between the two variables with LMA,</w:t>
      </w:r>
      <w:r>
        <w:t xml:space="preserve"> </w:t>
      </w:r>
      <w:r>
        <w:rPr>
          <w:iCs/>
          <w:i/>
        </w:rPr>
        <w:t xml:space="preserve">r</w:t>
      </w:r>
      <w:r>
        <w:t xml:space="preserve">(1112) = 0.68,</w:t>
      </w:r>
      <w:r>
        <w:t xml:space="preserve"> </w:t>
      </w:r>
      <w:r>
        <w:rPr>
          <w:iCs/>
          <w:i/>
        </w:rPr>
        <w:t xml:space="preserve">p</w:t>
      </w:r>
      <w:r>
        <w:t xml:space="preserve"> </w:t>
      </w:r>
      <w:r>
        <w:t xml:space="preserve">&lt; .0001 and</w:t>
      </w:r>
      <w:r>
        <w:t xml:space="preserve"> </w:t>
      </w:r>
      <w:r>
        <w:rPr>
          <w:iCs/>
          <w:i/>
        </w:rPr>
        <w:t xml:space="preserve">r</w:t>
      </w:r>
      <w:r>
        <w:t xml:space="preserve">(1113) = 0.65,</w:t>
      </w:r>
      <w:r>
        <w:t xml:space="preserve"> </w:t>
      </w:r>
      <w:r>
        <w:rPr>
          <w:iCs/>
          <w:i/>
        </w:rPr>
        <w:t xml:space="preserve">p</w:t>
      </w:r>
      <w:r>
        <w:t xml:space="preserve"> </w:t>
      </w:r>
      <w:r>
        <w:t xml:space="preserve">&lt; .0001, respectively. We modeled only main effects with explanatory variables, we did not model interactions effects to avoid overfitting models. We used a restricted maximum likelihood estimates for model fit with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w:t>
      </w:r>
      <w:r>
        <w:t xml:space="preserve"> </w:t>
      </w:r>
      <w:r>
        <w:t xml:space="preserve">(J. Pinheiro et al., 2023; J. C. Pinheiro &amp; Bates, 2000)</w:t>
      </w:r>
      <w:r>
        <w:t xml:space="preserve">. For our logit herbivory GLMMs we used tree species as a random effect and modeled tree species variance structure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For our logit pathogen damage GLMMs we use tree species as a random effect and modeled a nested variance structure for pathogen treatment within treatment groups per species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We corrected for phylogenetic non-independence by incorporating phylogenetic correlation structure in all our models.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 All visualizations and tables were performed in R [v. 4.4.1;</w:t>
      </w:r>
      <w:r>
        <w:t xml:space="preserve"> </w:t>
      </w:r>
      <w:r>
        <w:t xml:space="preserve">R Core Team (2024)</w:t>
      </w:r>
      <w:r>
        <w:t xml:space="preserve">] using the</w:t>
      </w:r>
      <w:r>
        <w:t xml:space="preserve"> </w:t>
      </w:r>
      <w:r>
        <w:rPr>
          <w:rStyle w:val="VerbatimChar"/>
        </w:rPr>
        <w:t xml:space="preserve">ggplot2</w:t>
      </w:r>
      <w:r>
        <w:t xml:space="preserve">,</w:t>
      </w:r>
      <w:r>
        <w:t xml:space="preserve"> </w:t>
      </w:r>
      <w:r>
        <w:rPr>
          <w:rStyle w:val="VerbatimChar"/>
        </w:rPr>
        <w:t xml:space="preserve">gt</w:t>
      </w:r>
      <w:r>
        <w:t xml:space="preserve">,</w:t>
      </w:r>
      <w:r>
        <w:t xml:space="preserve"> </w:t>
      </w:r>
      <w:r>
        <w:rPr>
          <w:rStyle w:val="VerbatimChar"/>
        </w:rPr>
        <w:t xml:space="preserve">gtExtras</w:t>
      </w:r>
      <w:r>
        <w:t xml:space="preserve">,</w:t>
      </w:r>
      <w:r>
        <w:t xml:space="preserve"> </w:t>
      </w:r>
      <w:r>
        <w:rPr>
          <w:rStyle w:val="VerbatimChar"/>
        </w:rPr>
        <w:t xml:space="preserve">huxtable</w:t>
      </w:r>
      <w:r>
        <w:t xml:space="preserve"> </w:t>
      </w:r>
      <w:r>
        <w:t xml:space="preserve">and</w:t>
      </w:r>
      <w:r>
        <w:t xml:space="preserve"> </w:t>
      </w:r>
      <w:r>
        <w:rPr>
          <w:rStyle w:val="VerbatimChar"/>
        </w:rPr>
        <w:t xml:space="preserve">flextable</w:t>
      </w:r>
      <w:r>
        <w:t xml:space="preserve"> </w:t>
      </w:r>
      <w:r>
        <w:t xml:space="preserve">packages</w:t>
      </w:r>
      <w:r>
        <w:t xml:space="preserve"> </w:t>
      </w:r>
      <w:r>
        <w:t xml:space="preserve">(Gohel &amp; Skintzos, 2024; Hugh-Jones, 2023; Iannone et al., 2023; Mock, 2023; Wickham et al., 2022)</w:t>
      </w:r>
    </w:p>
    <w:bookmarkEnd w:id="41"/>
    <w:bookmarkEnd w:id="42"/>
    <w:bookmarkEnd w:id="43"/>
    <w:bookmarkStart w:id="44" w:name="results"/>
    <w:p>
      <w:pPr>
        <w:pStyle w:val="Heading1"/>
      </w:pPr>
      <w:r>
        <w:t xml:space="preserve">5. Results</w:t>
      </w:r>
    </w:p>
    <w:p>
      <w:pPr>
        <w:pStyle w:val="FirstParagraph"/>
      </w:pPr>
      <w:r>
        <w:t xml:space="preserve">Inoculation of seedlings was successful. Seedlings exposed to forest spore fall (i.e.,</w:t>
      </w:r>
      <w:r>
        <w:t xml:space="preserve"> </w:t>
      </w:r>
      <w:r>
        <w:rPr>
          <w:iCs/>
          <w:i/>
        </w:rPr>
        <w:t xml:space="preserve">E-high</w:t>
      </w:r>
      <w:r>
        <w:t xml:space="preserve">) had a significantly higher proportion of leaf segments colonized by FEF across all species (data from cultures, Figure S1). Similarly, the molecular data set showed that seedlings with</w:t>
      </w:r>
      <w:r>
        <w:t xml:space="preserve"> </w:t>
      </w:r>
      <w:r>
        <w:rPr>
          <w:iCs/>
          <w:i/>
        </w:rPr>
        <w:t xml:space="preserve">E-high</w:t>
      </w:r>
      <w:r>
        <w:t xml:space="preserve"> </w:t>
      </w:r>
      <w:r>
        <w:t xml:space="preserve">treatment had a significantly higher FEF relative abundance (paired, two-sided</w:t>
      </w:r>
      <w:r>
        <w:t xml:space="preserve"> </w:t>
      </w:r>
      <w:r>
        <w:rPr>
          <w:iCs/>
          <w:i/>
        </w:rPr>
        <w:t xml:space="preserve">t</w:t>
      </w:r>
      <w:r>
        <w:t xml:space="preserve">-tests,</w:t>
      </w:r>
      <w:r>
        <w:t xml:space="preserve"> </w:t>
      </w:r>
      <w:r>
        <w:rPr>
          <w:iCs/>
          <w:i/>
        </w:rPr>
        <w:t xml:space="preserve">p</w:t>
      </w:r>
      <w:r>
        <w:t xml:space="preserve"> </w:t>
      </w:r>
      <w:r>
        <w:t xml:space="preserve">&lt; .05) for all tree species when compared to the</w:t>
      </w:r>
      <w:r>
        <w:t xml:space="preserve"> </w:t>
      </w:r>
      <w:r>
        <w:rPr>
          <w:iCs/>
          <w:i/>
        </w:rPr>
        <w:t xml:space="preserve">E-low</w:t>
      </w:r>
      <w:r>
        <w:t xml:space="preserve"> </w:t>
      </w:r>
      <w:r>
        <w:t xml:space="preserve">treatment (Figure 1a and</w:t>
      </w:r>
      <w:r>
        <w:t xml:space="preserve"> </w:t>
      </w:r>
      <w:hyperlink w:anchor="tbl-table1">
        <w:r>
          <w:rPr>
            <w:rStyle w:val="Hyperlink"/>
          </w:rPr>
          <w:t xml:space="preserve">Table 1</w:t>
        </w:r>
      </w:hyperlink>
      <w:r>
        <w:t xml:space="preserve">). Despite these significant differences, there was a high degree of variability in FEF relative abundance within each treatment type (Figure 1 and</w:t>
      </w:r>
      <w:r>
        <w:t xml:space="preserve"> </w:t>
      </w:r>
      <w:hyperlink w:anchor="tbl-table1">
        <w:r>
          <w:rPr>
            <w:rStyle w:val="Hyperlink"/>
          </w:rPr>
          <w:t xml:space="preserve">Table 1</w:t>
        </w:r>
      </w:hyperlink>
      <w:r>
        <w:t xml:space="preserve">).</w:t>
      </w:r>
    </w:p>
    <w:p>
      <w:pPr>
        <w:pStyle w:val="BodyText"/>
      </w:pPr>
      <w:r>
        <w:t xml:space="preserve">We observed general differences in LFTs among species (</w:t>
      </w:r>
      <w:hyperlink w:anchor="tbl-table2">
        <w:r>
          <w:rPr>
            <w:rStyle w:val="Hyperlink"/>
          </w:rPr>
          <w:t xml:space="preserve">Table 2</w:t>
        </w:r>
      </w:hyperlink>
      <w:r>
        <w:t xml:space="preserve">). Anthocyanins (ACI) and leaf punch strength (LPS) did not differ between treatments (</w:t>
      </w:r>
      <w:r>
        <w:rPr>
          <w:iCs/>
          <w:i/>
        </w:rPr>
        <w:t xml:space="preserve">E-low</w:t>
      </w:r>
      <w:r>
        <w:t xml:space="preserve"> </w:t>
      </w:r>
      <w:r>
        <w:t xml:space="preserve">and</w:t>
      </w:r>
      <w:r>
        <w:t xml:space="preserve"> </w:t>
      </w:r>
      <w:r>
        <w:rPr>
          <w:iCs/>
          <w:i/>
        </w:rPr>
        <w:t xml:space="preserve">E-high</w:t>
      </w:r>
      <w:r>
        <w:t xml:space="preserve">) when we combined all host species (Figure S2a and Figure S4a respectively). For LT and LMA we saw significant differences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when we combined all host species (Fig S3a and Figure S5a, respectively). As predicted, we did observe lower herbivory in the</w:t>
      </w:r>
      <w:r>
        <w:t xml:space="preserve"> </w:t>
      </w:r>
      <w:r>
        <w:rPr>
          <w:iCs/>
          <w:i/>
        </w:rPr>
        <w:t xml:space="preserve">E-high</w:t>
      </w:r>
      <w:r>
        <w:t xml:space="preserve"> </w:t>
      </w:r>
      <w:r>
        <w:t xml:space="preserve">treatment compared to the</w:t>
      </w:r>
      <w:r>
        <w:t xml:space="preserve"> </w:t>
      </w:r>
      <w:r>
        <w:rPr>
          <w:iCs/>
          <w:i/>
        </w:rPr>
        <w:t xml:space="preserve">E-low</w:t>
      </w:r>
      <w:r>
        <w:t xml:space="preserve"> </w:t>
      </w:r>
      <w:r>
        <w:t xml:space="preserve">treatment when we combined all host species,</w:t>
      </w:r>
      <w:r>
        <w:t xml:space="preserve"> </w:t>
      </w:r>
      <w:r>
        <w:rPr>
          <w:iCs/>
          <w:i/>
        </w:rPr>
        <w:t xml:space="preserve">t</w:t>
      </w:r>
      <w:r>
        <w:t xml:space="preserve">(31) = 2.23,</w:t>
      </w:r>
      <w:r>
        <w:t xml:space="preserve"> </w:t>
      </w:r>
      <w:r>
        <w:rPr>
          <w:iCs/>
          <w:i/>
        </w:rPr>
        <w:t xml:space="preserve">p</w:t>
      </w:r>
      <w:r>
        <w:t xml:space="preserve"> </w:t>
      </w:r>
      <w:r>
        <w:t xml:space="preserve">= .033 (Figure 2a). We did not observe differences in pathogen damage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when we combined all host species (Figure 2b). However, within the</w:t>
      </w:r>
      <w:r>
        <w:t xml:space="preserve"> </w:t>
      </w:r>
      <w:r>
        <w:rPr>
          <w:iCs/>
          <w:i/>
        </w:rPr>
        <w:t xml:space="preserve">E-low</w:t>
      </w:r>
      <w:r>
        <w:t xml:space="preserve"> </w:t>
      </w:r>
      <w:r>
        <w:t xml:space="preserve">treatment group, leaves exposed to</w:t>
      </w:r>
      <w:r>
        <w:t xml:space="preserve"> </w:t>
      </w:r>
      <w:r>
        <w:rPr>
          <w:iCs/>
          <w:i/>
        </w:rPr>
        <w:t xml:space="preserve">Calonectria</w:t>
      </w:r>
      <w:r>
        <w:t xml:space="preserve"> </w:t>
      </w:r>
      <w:r>
        <w:t xml:space="preserve">sp. suffered greater damage (</w:t>
      </w:r>
      <w:r>
        <w:rPr>
          <w:iCs/>
          <w:i/>
        </w:rPr>
        <w:t xml:space="preserve">M</w:t>
      </w:r>
      <w:r>
        <w:t xml:space="preserve"> </w:t>
      </w:r>
      <w:r>
        <w:t xml:space="preserve">= 17.37,</w:t>
      </w:r>
      <w:r>
        <w:t xml:space="preserve"> </w:t>
      </w:r>
      <w:r>
        <w:rPr>
          <w:iCs/>
          <w:i/>
        </w:rPr>
        <w:t xml:space="preserve">SD</w:t>
      </w:r>
      <w:r>
        <w:t xml:space="preserve"> </w:t>
      </w:r>
      <w:r>
        <w:t xml:space="preserve">= 12.57) compared to non-exposed leaves (</w:t>
      </w:r>
      <w:r>
        <w:rPr>
          <w:iCs/>
          <w:i/>
        </w:rPr>
        <w:t xml:space="preserve">M</w:t>
      </w:r>
      <w:r>
        <w:t xml:space="preserve"> </w:t>
      </w:r>
      <w:r>
        <w:t xml:space="preserve">= 3.49,</w:t>
      </w:r>
      <w:r>
        <w:t xml:space="preserve"> </w:t>
      </w:r>
      <w:r>
        <w:rPr>
          <w:iCs/>
          <w:i/>
        </w:rPr>
        <w:t xml:space="preserve">SD</w:t>
      </w:r>
      <w:r>
        <w:t xml:space="preserve"> </w:t>
      </w:r>
      <w:r>
        <w:t xml:space="preserve">= 5.42),</w:t>
      </w:r>
      <w:r>
        <w:t xml:space="preserve"> </w:t>
      </w:r>
      <w:r>
        <w:rPr>
          <w:iCs/>
          <w:i/>
        </w:rPr>
        <w:t xml:space="preserve">t</w:t>
      </w:r>
      <w:r>
        <w:t xml:space="preserve">(31) = -7.19,</w:t>
      </w:r>
      <w:r>
        <w:t xml:space="preserve"> </w:t>
      </w:r>
      <w:r>
        <w:rPr>
          <w:iCs/>
          <w:i/>
        </w:rPr>
        <w:t xml:space="preserve">p</w:t>
      </w:r>
      <w:r>
        <w:t xml:space="preserve"> </w:t>
      </w:r>
      <w:r>
        <w:t xml:space="preserve">&lt; .0001 (Figure 2b). The same pattern arose for the</w:t>
      </w:r>
      <w:r>
        <w:t xml:space="preserve"> </w:t>
      </w:r>
      <w:r>
        <w:rPr>
          <w:iCs/>
          <w:i/>
        </w:rPr>
        <w:t xml:space="preserve">E-high</w:t>
      </w:r>
      <w:r>
        <w:t xml:space="preserve"> </w:t>
      </w:r>
      <w:r>
        <w:t xml:space="preserve">treatment group: exposed leaves (</w:t>
      </w:r>
      <w:r>
        <w:rPr>
          <w:iCs/>
          <w:i/>
        </w:rPr>
        <w:t xml:space="preserve">M</w:t>
      </w:r>
      <w:r>
        <w:t xml:space="preserve"> </w:t>
      </w:r>
      <w:r>
        <w:t xml:space="preserve">= 20.04,</w:t>
      </w:r>
      <w:r>
        <w:t xml:space="preserve"> </w:t>
      </w:r>
      <w:r>
        <w:rPr>
          <w:iCs/>
          <w:i/>
        </w:rPr>
        <w:t xml:space="preserve">SD</w:t>
      </w:r>
      <w:r>
        <w:t xml:space="preserve"> </w:t>
      </w:r>
      <w:r>
        <w:t xml:space="preserve">= 15.72), non-exposed leaves (</w:t>
      </w:r>
      <w:r>
        <w:rPr>
          <w:iCs/>
          <w:i/>
        </w:rPr>
        <w:t xml:space="preserve">M</w:t>
      </w:r>
      <w:r>
        <w:t xml:space="preserve"> </w:t>
      </w:r>
      <w:r>
        <w:t xml:space="preserve">= 7.17,</w:t>
      </w:r>
      <w:r>
        <w:t xml:space="preserve"> </w:t>
      </w:r>
      <w:r>
        <w:rPr>
          <w:iCs/>
          <w:i/>
        </w:rPr>
        <w:t xml:space="preserve">SD</w:t>
      </w:r>
      <w:r>
        <w:t xml:space="preserve"> </w:t>
      </w:r>
      <w:r>
        <w:t xml:space="preserve">= 17.48),</w:t>
      </w:r>
      <w:r>
        <w:t xml:space="preserve"> </w:t>
      </w:r>
      <w:r>
        <w:rPr>
          <w:iCs/>
          <w:i/>
        </w:rPr>
        <w:t xml:space="preserve">t</w:t>
      </w:r>
      <w:r>
        <w:t xml:space="preserve">(31) = -3.26,</w:t>
      </w:r>
      <w:r>
        <w:t xml:space="preserve"> </w:t>
      </w:r>
      <w:r>
        <w:rPr>
          <w:iCs/>
          <w:i/>
        </w:rPr>
        <w:t xml:space="preserve">p</w:t>
      </w:r>
      <w:r>
        <w:t xml:space="preserve"> </w:t>
      </w:r>
      <w:r>
        <w:t xml:space="preserve">&lt; .01 (Figure 2b). At the species level, herbivory and pathogen damage did not differ between treatment groups (Figure S6a-S6b).</w:t>
      </w:r>
    </w:p>
    <w:p>
      <w:pPr>
        <w:pStyle w:val="BodyText"/>
      </w:pPr>
      <w:r>
        <w:t xml:space="preserve">All LFTs are significantly correlated with FEF community composition (Figure 3 and</w:t>
      </w:r>
      <w:r>
        <w:t xml:space="preserve"> </w:t>
      </w:r>
      <w:r>
        <w:t xml:space="preserve">(</w:t>
      </w:r>
      <w:r>
        <w:rPr>
          <w:bCs/>
          <w:b/>
        </w:rPr>
        <w:t xml:space="preserve">tble-dbRDA?</w:t>
      </w:r>
      <w:r>
        <w:t xml:space="preserve">)</w:t>
      </w:r>
      <w:r>
        <w:t xml:space="preserve">). We used dbRDA to understand FEF community composition across host species and treatment groups. The analyses revealed that 6.9% of the overall model variance in FEF communities was constrained by the LFTs. The first axis (dbRDA1) explained 45.2% and the second axis (dbRDA2) explained 19.6% of the constrained variance (Figure 3). We observed a high degree of overlap between FEF communities (Figure 3), indicating that the communities are similar in composition across host species and treatment groups, at least at the degree of resolution provided by ITS data (Figure 3). Nonetheless, we also observed tight clustering of FEF communities in</w:t>
      </w:r>
      <w:r>
        <w:t xml:space="preserve"> </w:t>
      </w:r>
      <w:r>
        <w:rPr>
          <w:iCs/>
          <w:i/>
        </w:rPr>
        <w:t xml:space="preserve">C. cainito</w:t>
      </w:r>
      <w:r>
        <w:t xml:space="preserve"> </w:t>
      </w:r>
      <w:r>
        <w:t xml:space="preserve">and</w:t>
      </w:r>
      <w:r>
        <w:t xml:space="preserve"> </w:t>
      </w:r>
      <w:r>
        <w:rPr>
          <w:iCs/>
          <w:i/>
        </w:rPr>
        <w:t xml:space="preserve">L. panamensis</w:t>
      </w:r>
      <w:r>
        <w:t xml:space="preserve">, emphasizing a distinct composition of FEF OTUs within the FEF identified. Other host species showed greater variation in FEF composition. Our PERMDISP analyses showed no significant differences in host species group dispersion (</w:t>
      </w:r>
      <w:r>
        <w:rPr>
          <w:iCs/>
          <w:i/>
        </w:rPr>
        <w:t xml:space="preserve">F</w:t>
      </w:r>
      <w:r>
        <w:rPr>
          <w:vertAlign w:val="subscript"/>
        </w:rPr>
        <w:t xml:space="preserve">6,</w:t>
      </w:r>
      <w:r>
        <w:t xml:space="preserve"> </w:t>
      </w:r>
      <w:r>
        <w:rPr>
          <w:vertAlign w:val="subscript"/>
        </w:rPr>
        <w:t xml:space="preserve">149</w:t>
      </w:r>
      <w:r>
        <w:t xml:space="preserve"> </w:t>
      </w:r>
      <w:r>
        <w:t xml:space="preserve">= 0.717,</w:t>
      </w:r>
      <w:r>
        <w:t xml:space="preserve"> </w:t>
      </w:r>
      <w:r>
        <w:rPr>
          <w:iCs/>
          <w:i/>
        </w:rPr>
        <w:t xml:space="preserve">p</w:t>
      </w:r>
      <w:r>
        <w:t xml:space="preserve"> </w:t>
      </w:r>
      <w:r>
        <w:t xml:space="preserve">&lt; .63), observed differences were due to location. Unsurprisingly, the dispersion for</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was significantly different (</w:t>
      </w:r>
      <w:r>
        <w:rPr>
          <w:iCs/>
          <w:i/>
        </w:rPr>
        <w:t xml:space="preserve">F</w:t>
      </w:r>
      <w:r>
        <w:rPr>
          <w:vertAlign w:val="subscript"/>
        </w:rPr>
        <w:t xml:space="preserve">1,</w:t>
      </w:r>
      <w:r>
        <w:t xml:space="preserve"> </w:t>
      </w:r>
      <w:r>
        <w:rPr>
          <w:vertAlign w:val="subscript"/>
        </w:rPr>
        <w:t xml:space="preserve">154</w:t>
      </w:r>
      <w:r>
        <w:t xml:space="preserve"> </w:t>
      </w:r>
      <w:r>
        <w:t xml:space="preserve">= 5.09,</w:t>
      </w:r>
      <w:r>
        <w:t xml:space="preserve"> </w:t>
      </w:r>
      <w:r>
        <w:rPr>
          <w:iCs/>
          <w:i/>
        </w:rPr>
        <w:t xml:space="preserve">p</w:t>
      </w:r>
      <w:r>
        <w:t xml:space="preserve"> </w:t>
      </w:r>
      <w:r>
        <w:t xml:space="preserve">= .03). The Tukey tests revealed dispersion of host species were not significantly different at the α &lt; .05 level, while treatment group dispersions were.</w:t>
      </w:r>
    </w:p>
    <w:p>
      <w:pPr>
        <w:pStyle w:val="BodyText"/>
      </w:pPr>
      <w: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S6). We detected 11 OTUs significantly associated with seedlings that experienced high (&gt;30%) pathogen damage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S7). We could not tease apart which OTUs were associated with leaves exposed to</w:t>
      </w:r>
      <w:r>
        <w:t xml:space="preserve"> </w:t>
      </w:r>
      <w:r>
        <w:rPr>
          <w:iCs/>
          <w:i/>
        </w:rPr>
        <w:t xml:space="preserve">Calonectria</w:t>
      </w:r>
      <w:r>
        <w:t xml:space="preserve"> </w:t>
      </w:r>
      <w:r>
        <w:t xml:space="preserve">sp. agar plugs and non-exposed leaves because the genomic data scale for these trials was at the individual plant level, not leaf level. We found 30 OTUs significantly associated with</w:t>
      </w:r>
      <w:r>
        <w:t xml:space="preserve"> </w:t>
      </w:r>
      <w:r>
        <w:rPr>
          <w:iCs/>
          <w:i/>
        </w:rPr>
        <w:t xml:space="preserve">E-high</w:t>
      </w:r>
      <w:r>
        <w:t xml:space="preserve"> </w:t>
      </w:r>
      <w:r>
        <w:t xml:space="preserve">treated (inoculated with forest spore fall) individuals used in our pathogen assays (Table S8).</w:t>
      </w:r>
    </w:p>
    <w:p>
      <w:pPr>
        <w:pStyle w:val="BodyText"/>
      </w:pPr>
      <w: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(Figure 4a). We observed that ACI, LPS and LMA loadings tracked along PC1 towards more negative values, showing correlation among these traits (Figure 4a). Traits LT and LPS were orthogonal to each other (Figure 4a), indicative of low correlation. We note distinct grouping of host species along PC1 towards negative values. We observed compact clustering of host species on opposite ends of PC2 (Figure 4a). We note similar relationships between the leaf traits with respect to PC1 and PC2 in the subset of individual seedlings used for herbivory versus pathogen damage trials (Figure 4b-c). The PCA of leaf traits from seedlings used in herbivory trials had a PC1 explaining 57.5% of the variance and a PC2 explaining 28% of the variance in the subset data (Figure 4b). We saw an inversion of the LT loading in direction of positive values, as well as the same tree species clustered (i.e.,</w:t>
      </w:r>
      <w:r>
        <w:t xml:space="preserve"> </w:t>
      </w:r>
      <w:r>
        <w:rPr>
          <w:iCs/>
          <w:i/>
        </w:rPr>
        <w:t xml:space="preserve">Dipteryx</w:t>
      </w:r>
      <w:r>
        <w:t xml:space="preserve"> </w:t>
      </w:r>
      <w:r>
        <w:t xml:space="preserve">sp. and</w:t>
      </w:r>
      <w:r>
        <w:t xml:space="preserve"> </w:t>
      </w:r>
      <w:r>
        <w:rPr>
          <w:iCs/>
          <w:i/>
        </w:rPr>
        <w:t xml:space="preserve">A. membranacea</w:t>
      </w:r>
      <w:r>
        <w:t xml:space="preserve">) along PC2 (Figure 4b) with respect to Figure 4a. The PCA of leaf traits from seedling used in pathogen damage trials had a PC1 explaining 64% of the variance and a PC2 explaining 25% of the variance in the subset data (Figure 4c). We detected similar relationships among leaf traits and PC axes in the pathogen damage subset data (Figure 4c) when compared to the complete data set (Figure 4a).</w:t>
      </w:r>
    </w:p>
    <w:p>
      <w:pPr>
        <w:pStyle w:val="BodyText"/>
      </w:pPr>
      <w: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(Figure 5a;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0.508,</w:t>
      </w:r>
      <w:r>
        <w:t xml:space="preserve"> </w:t>
      </w:r>
      <w:r>
        <w:rPr>
          <w:iCs/>
          <w:i/>
        </w:rPr>
        <w:t xml:space="preserve">df</w:t>
      </w:r>
      <w:r>
        <w:t xml:space="preserve"> </w:t>
      </w:r>
      <w:r>
        <w:t xml:space="preserve">= 208,</w:t>
      </w:r>
      <w:r>
        <w:t xml:space="preserve"> </w:t>
      </w:r>
      <w:r>
        <w:rPr>
          <w:iCs/>
          <w:i/>
        </w:rPr>
        <w:t xml:space="preserve">p</w:t>
      </w:r>
      <w:r>
        <w:t xml:space="preserve"> </w:t>
      </w:r>
      <w:r>
        <w:t xml:space="preserve">= .447), where positive values represent greater values of ACI, LPS and LMA. Even though we note large spread in the data (Figure 5a and 5b), we saw that herbivory was strongly associated with PC2 (Figure 5b;</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18.9,</w:t>
      </w:r>
      <w:r>
        <w:t xml:space="preserve"> </w:t>
      </w:r>
      <w:r>
        <w:rPr>
          <w:iCs/>
          <w:i/>
        </w:rPr>
        <w:t xml:space="preserve">p</w:t>
      </w:r>
      <w:r>
        <w:t xml:space="preserve"> </w:t>
      </w:r>
      <w:r>
        <w:t xml:space="preserve">&lt; .0001), where positive values represent greater LT. Regressions of pathogen damage (%) plotted against PC1 revealed a significant correlation (Figure 5c;</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0.064,</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26.93</w:t>
      </w:r>
      <w:r>
        <w:t xml:space="preserve"> </w:t>
      </w:r>
      <w:r>
        <w:rPr>
          <w:iCs/>
          <w:i/>
        </w:rPr>
        <w:t xml:space="preserve">p</w:t>
      </w:r>
      <w:r>
        <w:t xml:space="preserve"> </w:t>
      </w:r>
      <w:r>
        <w:t xml:space="preserve">&lt; .0001), in which positive values represent greater values of ACI, LPS and LMA. We did not see a significant relationship between pathogen damage and PC2 (Figure 5d;</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1.60,</w:t>
      </w:r>
      <w:r>
        <w:t xml:space="preserve"> </w:t>
      </w:r>
      <w:r>
        <w:rPr>
          <w:iCs/>
          <w:i/>
        </w:rPr>
        <w:t xml:space="preserve">p</w:t>
      </w:r>
      <w:r>
        <w:t xml:space="preserve"> </w:t>
      </w:r>
      <w:r>
        <w:t xml:space="preserve">= .207).</w:t>
      </w:r>
    </w:p>
    <w:p>
      <w:pPr>
        <w:pStyle w:val="BodyText"/>
      </w:pPr>
      <w:r>
        <w:t xml:space="preserve">We observed similar patterns when we performed simple linear regressions on the raw LFTs and logit transformed herbivory and pathogen damage data (</w:t>
      </w:r>
      <w:hyperlink w:anchor="tbl-linearreg">
        <w:r>
          <w:rPr>
            <w:rStyle w:val="Hyperlink"/>
          </w:rPr>
          <w:t xml:space="preserve">Table 4</w:t>
        </w:r>
      </w:hyperlink>
      <w:r>
        <w:t xml:space="preserve">; Figure S7 - S8, respectively). We observed a significant positive relationship between herbivory and LT (</w:t>
      </w:r>
      <w:hyperlink w:anchor="tbl-linearreg">
        <w:r>
          <w:rPr>
            <w:rStyle w:val="Hyperlink"/>
          </w:rPr>
          <w:t xml:space="preserve">Table 4</w:t>
        </w:r>
      </w:hyperlink>
      <w:r>
        <w:t xml:space="preserve"> </w:t>
      </w:r>
      <w:r>
        <w:t xml:space="preserve">and Figure S7a;</w:t>
      </w:r>
      <w:r>
        <w:t xml:space="preserve"> </w:t>
      </w:r>
      <w:r>
        <w:rPr>
          <w:iCs/>
          <w:i/>
        </w:rPr>
        <w:t xml:space="preserve">p</w:t>
      </w:r>
      <w:r>
        <w:t xml:space="preserve"> </w:t>
      </w:r>
      <w:r>
        <w:t xml:space="preserve">&lt; .0001) when considering the complete data set. We did not observe a significant relationship between herbivory and LPS, ACI, LMA, and Shannon diversity index for FEF (</w:t>
      </w:r>
      <w:hyperlink w:anchor="tbl-linearreg">
        <w:r>
          <w:rPr>
            <w:rStyle w:val="Hyperlink"/>
          </w:rPr>
          <w:t xml:space="preserve">Table 4</w:t>
        </w:r>
      </w:hyperlink>
      <w:r>
        <w:t xml:space="preserve"> </w:t>
      </w:r>
      <w:r>
        <w:t xml:space="preserve">and Figure S7b - S7e) for the complete data set. However, we did observe a general decline in herbivory as FEF diversity increased which aligns with our first prediction. Furthermore, we saw a significant negative relationship between herbivory and Shannon diversity for the</w:t>
      </w:r>
      <w:r>
        <w:t xml:space="preserve"> </w:t>
      </w:r>
      <w:r>
        <w:rPr>
          <w:iCs/>
          <w:i/>
        </w:rPr>
        <w:t xml:space="preserve">E-low</w:t>
      </w:r>
      <w:r>
        <w:t xml:space="preserve"> </w:t>
      </w:r>
      <w:r>
        <w:t xml:space="preserve">treatment group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&lt; .0001). We also saw an increase in herbivory for the</w:t>
      </w:r>
      <w:r>
        <w:t xml:space="preserve"> </w:t>
      </w:r>
      <w:r>
        <w:rPr>
          <w:iCs/>
          <w:i/>
        </w:rPr>
        <w:t xml:space="preserve">E-high</w:t>
      </w:r>
      <w:r>
        <w:t xml:space="preserve"> </w:t>
      </w:r>
      <w:r>
        <w:t xml:space="preserve">treatment group as Shannon diversity index for FEF increased, but this was not statistically significant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 0.062), a result contrary to our expectations.</w:t>
      </w:r>
    </w:p>
    <w:p>
      <w:pPr>
        <w:pStyle w:val="BodyText"/>
      </w:pPr>
      <w:r>
        <w:t xml:space="preserve">We noted significant negative relationships between pathogen damage and LPS (</w:t>
      </w:r>
      <w:hyperlink w:anchor="tbl-linearreg">
        <w:r>
          <w:rPr>
            <w:rStyle w:val="Hyperlink"/>
          </w:rPr>
          <w:t xml:space="preserve">Table 4</w:t>
        </w:r>
      </w:hyperlink>
      <w:r>
        <w:t xml:space="preserve"> </w:t>
      </w:r>
      <w:r>
        <w:t xml:space="preserve">and Figure S8b;</w:t>
      </w:r>
      <w:r>
        <w:t xml:space="preserve"> </w:t>
      </w:r>
      <w:r>
        <w:rPr>
          <w:iCs/>
          <w:i/>
        </w:rPr>
        <w:t xml:space="preserve">p</w:t>
      </w:r>
      <w:r>
        <w:t xml:space="preserve"> </w:t>
      </w:r>
      <w:r>
        <w:t xml:space="preserve">&lt; .0001), ACI (</w:t>
      </w:r>
      <w:hyperlink w:anchor="tbl-linearreg">
        <w:r>
          <w:rPr>
            <w:rStyle w:val="Hyperlink"/>
          </w:rPr>
          <w:t xml:space="preserve">Table 4</w:t>
        </w:r>
      </w:hyperlink>
      <w:r>
        <w:t xml:space="preserve"> </w:t>
      </w:r>
      <w:r>
        <w:t xml:space="preserve">and Figure S8c;</w:t>
      </w:r>
      <w:r>
        <w:t xml:space="preserve"> </w:t>
      </w:r>
      <w:r>
        <w:rPr>
          <w:iCs/>
          <w:i/>
        </w:rPr>
        <w:t xml:space="preserve">p</w:t>
      </w:r>
      <w:r>
        <w:t xml:space="preserve"> </w:t>
      </w:r>
      <w:r>
        <w:t xml:space="preserve">= .0002) and LMA (</w:t>
      </w:r>
      <w:hyperlink w:anchor="tbl-linearreg">
        <w:r>
          <w:rPr>
            <w:rStyle w:val="Hyperlink"/>
          </w:rPr>
          <w:t xml:space="preserve">Table 4</w:t>
        </w:r>
      </w:hyperlink>
      <w:r>
        <w:t xml:space="preserve"> </w:t>
      </w:r>
      <w:r>
        <w:t xml:space="preserve">and Figure S8d;</w:t>
      </w:r>
      <w:r>
        <w:t xml:space="preserve"> </w:t>
      </w:r>
      <w:r>
        <w:rPr>
          <w:iCs/>
          <w:i/>
        </w:rPr>
        <w:t xml:space="preserve">p</w:t>
      </w:r>
      <w:r>
        <w:t xml:space="preserve"> </w:t>
      </w:r>
      <w:r>
        <w:t xml:space="preserve">&lt; .001) when considering the complete data set. Pathogen damage did not have a significant correlation with LT (</w:t>
      </w:r>
      <w:hyperlink w:anchor="tbl-linearreg">
        <w:r>
          <w:rPr>
            <w:rStyle w:val="Hyperlink"/>
          </w:rPr>
          <w:t xml:space="preserve">Table 4</w:t>
        </w:r>
      </w:hyperlink>
      <w:r>
        <w:t xml:space="preserve"> </w:t>
      </w:r>
      <w:r>
        <w:t xml:space="preserve">and Figure S8a;</w:t>
      </w:r>
      <w:r>
        <w:t xml:space="preserve"> </w:t>
      </w:r>
      <w:r>
        <w:rPr>
          <w:iCs/>
          <w:i/>
        </w:rPr>
        <w:t xml:space="preserve">p</w:t>
      </w:r>
      <w:r>
        <w:t xml:space="preserve"> </w:t>
      </w:r>
      <w:r>
        <w:t xml:space="preserve">= .482). The</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follow the same general trend as the complete data set (</w:t>
      </w:r>
      <w:hyperlink w:anchor="tbl-linearreg">
        <w:r>
          <w:rPr>
            <w:rStyle w:val="Hyperlink"/>
          </w:rPr>
          <w:t xml:space="preserve">Table 4</w:t>
        </w:r>
      </w:hyperlink>
      <w:r>
        <w:t xml:space="preserve"> </w:t>
      </w:r>
      <w:r>
        <w:t xml:space="preserve">and Figure S8). Contrary to our predictions, we found a statistically significant positive relationship between pathogen damage and Shannon diversity index in the complete data set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Upon further scrutiny, only the</w:t>
      </w:r>
      <w:r>
        <w:t xml:space="preserve"> </w:t>
      </w:r>
      <w:r>
        <w:rPr>
          <w:iCs/>
          <w:i/>
        </w:rPr>
        <w:t xml:space="preserve">E-high</w:t>
      </w:r>
      <w:r>
        <w:t xml:space="preserve"> </w:t>
      </w:r>
      <w:r>
        <w:t xml:space="preserve">treatment group had a significant positive correlation between pathogen damage and Shannon diversity index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while the</w:t>
      </w:r>
      <w:r>
        <w:t xml:space="preserve"> </w:t>
      </w:r>
      <w:r>
        <w:rPr>
          <w:iCs/>
          <w:i/>
        </w:rPr>
        <w:t xml:space="preserve">E-low</w:t>
      </w:r>
      <w:r>
        <w:t xml:space="preserve"> </w:t>
      </w:r>
      <w:r>
        <w:t xml:space="preserve">treatment did not have a significant correlation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 0.81) .</w:t>
      </w:r>
    </w:p>
    <w:p>
      <w:pPr>
        <w:pStyle w:val="BodyText"/>
      </w:pPr>
      <w:r>
        <w:t xml:space="preserve">Leaf thickness and LMA have opposite outcomes in plants’ response to herbivory. The best-fit for our GLMMs showed that fixed effects LT, LMA, and</w:t>
      </w:r>
      <w:r>
        <w:t xml:space="preserve"> </w:t>
      </w:r>
      <w:r>
        <w:rPr>
          <w:iCs/>
          <w:i/>
        </w:rPr>
        <w:t xml:space="preserve">E-high</w:t>
      </w:r>
      <w:r>
        <w:t xml:space="preserve"> </w:t>
      </w:r>
      <w:r>
        <w:t xml:space="preserve">treatment group were statistically significant predictors of herbivory damage (</w:t>
      </w:r>
      <w:hyperlink w:anchor="tbl-tableGLMM">
        <w:r>
          <w:rPr>
            <w:rStyle w:val="Hyperlink"/>
          </w:rPr>
          <w:t xml:space="preserve">Table 5</w:t>
        </w:r>
      </w:hyperlink>
      <w:r>
        <w:t xml:space="preserve">). No measure of FEF abundance or diversity was present in the final model. Leaf mass per area was a significant positive predictor of herbivory with the greatest effect size (estimate = 823.6,</w:t>
      </w:r>
      <w:r>
        <w:t xml:space="preserve"> </w:t>
      </w:r>
      <w:r>
        <w:rPr>
          <w:iCs/>
          <w:i/>
        </w:rPr>
        <w:t xml:space="preserve">t</w:t>
      </w:r>
      <w:r>
        <w:t xml:space="preserve">(200) = 2.65</w:t>
      </w:r>
      <w:r>
        <w:t xml:space="preserve"> </w:t>
      </w:r>
      <w:r>
        <w:rPr>
          <w:iCs/>
          <w:i/>
        </w:rPr>
        <w:t xml:space="preserve">p</w:t>
      </w:r>
      <w:r>
        <w:t xml:space="preserve"> </w:t>
      </w:r>
      <w:r>
        <w:t xml:space="preserve">&lt; .01). While LT is a significant negative predictor of herbivory damage (estimate = -0.01,</w:t>
      </w:r>
      <w:r>
        <w:t xml:space="preserve"> </w:t>
      </w:r>
      <w:r>
        <w:rPr>
          <w:iCs/>
          <w:i/>
        </w:rPr>
        <w:t xml:space="preserve">t</w:t>
      </w:r>
      <w:r>
        <w:t xml:space="preserve">(200) = -3.16,</w:t>
      </w:r>
      <w:r>
        <w:t xml:space="preserve"> </w:t>
      </w:r>
      <w:r>
        <w:rPr>
          <w:iCs/>
          <w:i/>
        </w:rPr>
        <w:t xml:space="preserve">p</w:t>
      </w:r>
      <w:r>
        <w:t xml:space="preserve"> </w:t>
      </w:r>
      <w:r>
        <w:t xml:space="preserve">&lt; .01) and</w:t>
      </w:r>
      <w:r>
        <w:t xml:space="preserve"> </w:t>
      </w:r>
      <w:r>
        <w:rPr>
          <w:iCs/>
          <w:i/>
        </w:rPr>
        <w:t xml:space="preserve">E-high</w:t>
      </w:r>
      <w:r>
        <w:t xml:space="preserve"> </w:t>
      </w:r>
      <w:r>
        <w:t xml:space="preserve">as well (estimate = -0.75,</w:t>
      </w:r>
      <w:r>
        <w:t xml:space="preserve"> </w:t>
      </w:r>
      <w:r>
        <w:rPr>
          <w:iCs/>
          <w:i/>
        </w:rPr>
        <w:t xml:space="preserve">t</w:t>
      </w:r>
      <w:r>
        <w:t xml:space="preserve">(200) = -6.16,</w:t>
      </w:r>
      <w:r>
        <w:t xml:space="preserve"> </w:t>
      </w:r>
      <w:r>
        <w:rPr>
          <w:iCs/>
          <w:i/>
        </w:rPr>
        <w:t xml:space="preserve">p</w:t>
      </w:r>
      <w:r>
        <w:t xml:space="preserve"> </w:t>
      </w:r>
      <w:r>
        <w:t xml:space="preserve">&lt; .001). The best fit model for pathogen damage did not reveal any of the LFTs as significant predictors (</w:t>
      </w:r>
      <w:hyperlink w:anchor="tbl-tableGLMM">
        <w:r>
          <w:rPr>
            <w:rStyle w:val="Hyperlink"/>
          </w:rPr>
          <w:t xml:space="preserve">Table 5</w:t>
        </w:r>
      </w:hyperlink>
      <w:r>
        <w:t xml:space="preserve">). Like our previous model, no measure of FEF abundance or diversity was present in final model. Even though it was not significant, LMA showed the greatest effect size (estimate = 225.62,</w:t>
      </w:r>
      <w:r>
        <w:t xml:space="preserve"> </w:t>
      </w:r>
      <w:r>
        <w:rPr>
          <w:iCs/>
          <w:i/>
        </w:rPr>
        <w:t xml:space="preserve">t</w:t>
      </w:r>
      <w:r>
        <w:t xml:space="preserve">(352) = 1.61,</w:t>
      </w:r>
      <w:r>
        <w:t xml:space="preserve"> </w:t>
      </w:r>
      <w:r>
        <w:rPr>
          <w:iCs/>
          <w:i/>
        </w:rPr>
        <w:t xml:space="preserve">p</w:t>
      </w:r>
      <w:r>
        <w:t xml:space="preserve"> </w:t>
      </w:r>
      <w:r>
        <w:t xml:space="preserve">= .25).</w:t>
      </w:r>
    </w:p>
    <w:bookmarkEnd w:id="44"/>
    <w:bookmarkStart w:id="45" w:name="discussion"/>
    <w:p>
      <w:pPr>
        <w:pStyle w:val="Heading1"/>
      </w:pPr>
      <w:r>
        <w:t xml:space="preserve">6. Discussion</w:t>
      </w:r>
    </w:p>
    <w:p>
      <w:pPr>
        <w:pStyle w:val="FirstParagraph"/>
      </w:pPr>
      <w: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work to improve leaf defenses against generalist herbivores and pathogens in tropical trees. Across all host species, we saw that the</w:t>
      </w:r>
      <w:r>
        <w:t xml:space="preserve"> </w:t>
      </w:r>
      <w:r>
        <w:rPr>
          <w:iCs/>
          <w:i/>
        </w:rPr>
        <w:t xml:space="preserve">E-high</w:t>
      </w:r>
      <w:r>
        <w:t xml:space="preserve"> </w:t>
      </w:r>
      <w:r>
        <w:t xml:space="preserve">treatment group exhibited lower herbivory damage than the</w:t>
      </w:r>
      <w:r>
        <w:t xml:space="preserve"> </w:t>
      </w:r>
      <w:r>
        <w:rPr>
          <w:iCs/>
          <w:i/>
        </w:rPr>
        <w:t xml:space="preserve">E-low</w:t>
      </w:r>
      <w:r>
        <w:t xml:space="preserve"> </w:t>
      </w:r>
      <w:r>
        <w:t xml:space="preserve">treatment group. This is in partial support to our prediction that leaf-cutter ants cause less leaf damage in plants with higher FEF abundance; it is less clear how higher level of FEF richness and diversity influence leaf herbivory. At the host species level, we saw that</w:t>
      </w:r>
      <w:r>
        <w:t xml:space="preserve"> </w:t>
      </w:r>
      <w:r>
        <w:rPr>
          <w:iCs/>
          <w:i/>
        </w:rPr>
        <w:t xml:space="preserve">E-high</w:t>
      </w:r>
      <w:r>
        <w:t xml:space="preserve"> </w:t>
      </w:r>
      <w:r>
        <w:t xml:space="preserve">had less herbivory damage, however these differences were not significant between treatment groups. This is probably due to a small replicate size in treated individuals per species used in herbivory assay trials. Our results align with Estrada et al.,</w:t>
      </w:r>
      <w:r>
        <w:t xml:space="preserve"> </w:t>
      </w:r>
      <w:r>
        <w:t xml:space="preserve">(2013)</w:t>
      </w:r>
      <w:r>
        <w:t xml:space="preserve">, where leaf-cutter ant effects were significantly reduced in paper disks and leaves treated with higher densities of a common endophyte. In a laboratory setting, Bittleston et al.,</w:t>
      </w:r>
      <w:r>
        <w:t xml:space="preserve"> </w:t>
      </w:r>
      <w:r>
        <w:t xml:space="preserve">(2011)</w:t>
      </w:r>
      <w:r>
        <w:t xml:space="preserve"> </w:t>
      </w:r>
      <w:r>
        <w:t xml:space="preserve">found similar patterns in herbivory reduction using</w:t>
      </w:r>
      <w:r>
        <w:t xml:space="preserve"> </w:t>
      </w:r>
      <w:r>
        <w:rPr>
          <w:iCs/>
          <w:i/>
        </w:rPr>
        <w:t xml:space="preserve">C. alliodora</w:t>
      </w:r>
      <w:r>
        <w:t xml:space="preserve"> </w:t>
      </w:r>
      <w:r>
        <w:t xml:space="preserve">treated with high and low FEF loads and laboratory reared colonies of</w:t>
      </w:r>
      <w:r>
        <w:t xml:space="preserve"> </w:t>
      </w:r>
      <w:r>
        <w:rPr>
          <w:iCs/>
          <w:i/>
        </w:rPr>
        <w:t xml:space="preserve">Atta colombica</w:t>
      </w:r>
      <w:r>
        <w:t xml:space="preserve">. In a field study, Coblentz and Van Bael</w:t>
      </w:r>
      <w:r>
        <w:t xml:space="preserve"> </w:t>
      </w:r>
      <w:r>
        <w:t xml:space="preserve">(2013)</w:t>
      </w:r>
      <w:r>
        <w:t xml:space="preserve"> </w:t>
      </w:r>
      <w:r>
        <w:t xml:space="preserve">found that leaf-cutter ants preferred leaves with a lower FEF abundance when compared to surrounding leaf material (material not selected by ants). Rocha et al.</w:t>
      </w:r>
      <w:r>
        <w:t xml:space="preserve"> </w:t>
      </w:r>
      <w:r>
        <w:t xml:space="preserve">(2017)</w:t>
      </w:r>
      <w:r>
        <w:t xml:space="preserve">, found endophytic</w:t>
      </w:r>
      <w:r>
        <w:t xml:space="preserve"> </w:t>
      </w:r>
      <w:r>
        <w:rPr>
          <w:iCs/>
          <w:i/>
        </w:rPr>
        <w:t xml:space="preserve">Trichoderma</w:t>
      </w:r>
      <w:r>
        <w:t xml:space="preserve"> </w:t>
      </w:r>
      <w:r>
        <w:t xml:space="preserve">more frequently isolated from leaf cuttings rejected by queen-less leaf-cutter ant colonies of</w:t>
      </w:r>
      <w:r>
        <w:t xml:space="preserve"> </w:t>
      </w:r>
      <w:r>
        <w:rPr>
          <w:iCs/>
          <w:i/>
        </w:rPr>
        <w:t xml:space="preserve">A. sexdens rubropilosa</w:t>
      </w:r>
      <w:r>
        <w:t xml:space="preserve"> </w:t>
      </w:r>
      <w:r>
        <w:t xml:space="preserve">in southeast Brazil. Our results track findings from previous studies that focus on single host-endophyte interactions or haphazard field collection and build upon them by using multiple host tree species and field inoculated FEF communities.</w:t>
      </w:r>
    </w:p>
    <w:p>
      <w:pPr>
        <w:pStyle w:val="BodyText"/>
      </w:pPr>
      <w:r>
        <w:t xml:space="preserve">The leaf economic spectrum (LES) provides a framework for interpreting results based on the functional traits that can have an important role in understanding tripartite plant-insect-pathogen interactions. The LES describes how LFTs with high values are characteristic of long-lived versus short-lived leaves</w:t>
      </w:r>
      <w:r>
        <w:t xml:space="preserve"> </w:t>
      </w:r>
      <w:r>
        <w:t xml:space="preserve">Poorter &amp; Bongers (2006)</w:t>
      </w:r>
      <w:r>
        <w:t xml:space="preserve">. The LES, thus acts as a host-imposed filter which FEF communities must overcome to colonize leaf tissue, assemble, and carry out their life cycle. Through this lens we found partial support for predictions: 2)</w:t>
      </w:r>
      <w:r>
        <w:t xml:space="preserve"> </w:t>
      </w:r>
      <w:r>
        <w:rPr>
          <w:iCs/>
          <w:i/>
        </w:rPr>
        <w:t xml:space="preserve">tree species with leaf functional traits on the low end of the LES would have less herbivory and pathogen damage when treated with high FEF loads (</w:t>
      </w:r>
      <w:r>
        <w:t xml:space="preserve">E-high</w:t>
      </w:r>
      <w:r>
        <w:rPr>
          <w:iCs/>
          <w:i/>
        </w:rPr>
        <w:t xml:space="preserve">) compared to their low FEF counterparts (</w:t>
      </w:r>
      <w:r>
        <w:t xml:space="preserve">E-low</w:t>
      </w:r>
      <w:r>
        <w:rPr>
          <w:iCs/>
          <w:i/>
        </w:rPr>
        <w:t xml:space="preserve">)</w:t>
      </w:r>
      <w:r>
        <w:t xml:space="preserve">; and 3)</w:t>
      </w:r>
      <w:r>
        <w:t xml:space="preserve"> </w:t>
      </w:r>
      <w:r>
        <w:rPr>
          <w:iCs/>
          <w:i/>
        </w:rPr>
        <w:t xml:space="preserve">tree species with leaf functional traits on the high side of the LES treated with high FEF loads (</w:t>
      </w:r>
      <w:r>
        <w:t xml:space="preserve">E-high</w:t>
      </w:r>
      <w:r>
        <w:rPr>
          <w:iCs/>
          <w:i/>
        </w:rPr>
        <w:t xml:space="preserve">) would have no differences in herbivory and pathogen damage compared to their low FEF counterparts (</w:t>
      </w:r>
      <w:r>
        <w:t xml:space="preserve">E-low</w:t>
      </w:r>
      <w:r>
        <w:rPr>
          <w:iCs/>
          <w:i/>
        </w:rPr>
        <w:t xml:space="preserve">)</w:t>
      </w:r>
      <w:r>
        <w:t xml:space="preserve">. While we did not measure leaf lifespan directly, we interpret the values obtained for the LFTs we measured as proxies for leaf lifespan, with the caveat that the traits were measured on seedlings and leaves were relatively young (&lt; 150 days old). We saw that species with relatively low values of ACI, LMA, and LPS (Figures S2 - S5) constrained in the PC1 axis (Figure 4b) experienced very little herbivory damage (i.e.,</w:t>
      </w:r>
      <w:r>
        <w:t xml:space="preserve"> </w:t>
      </w:r>
      <w:r>
        <w:rPr>
          <w:iCs/>
          <w:i/>
        </w:rPr>
        <w:t xml:space="preserve">Dipteryx</w:t>
      </w:r>
      <w:r>
        <w:t xml:space="preserve"> </w:t>
      </w:r>
      <w:r>
        <w:t xml:space="preserve">sp.) or had much variability (i.e.,</w:t>
      </w:r>
      <w:r>
        <w:t xml:space="preserve"> </w:t>
      </w:r>
      <w:r>
        <w:rPr>
          <w:iCs/>
          <w:i/>
        </w:rPr>
        <w:t xml:space="preserve">C. alliodora</w:t>
      </w:r>
      <w:r>
        <w:t xml:space="preserve">) (Figure 5a), regardless of endophyte treatment. Overall, Species with relatively high values of ACI, LMA, and LPS like</w:t>
      </w:r>
      <w:r>
        <w:t xml:space="preserve"> </w:t>
      </w:r>
      <w:r>
        <w:rPr>
          <w:iCs/>
          <w:i/>
        </w:rPr>
        <w:t xml:space="preserve">C. cainito</w:t>
      </w:r>
      <w:r>
        <w:t xml:space="preserve"> </w:t>
      </w:r>
      <w:r>
        <w:t xml:space="preserve">experienced low to moderate herbivory damage (Figure 5a).</w:t>
      </w:r>
      <w:r>
        <w:t xml:space="preserve"> </w:t>
      </w:r>
    </w:p>
    <w:p>
      <w:pPr>
        <w:pStyle w:val="BodyText"/>
      </w:pPr>
      <w:r>
        <w:t xml:space="preserve">Our GLMM analysis allowed us to look at FEF and leaf traits at the same time; we observed only LMA, LT and</w:t>
      </w:r>
      <w:r>
        <w:t xml:space="preserve"> </w:t>
      </w:r>
      <w:r>
        <w:rPr>
          <w:iCs/>
          <w:i/>
        </w:rPr>
        <w:t xml:space="preserve">E-high</w:t>
      </w:r>
      <w:r>
        <w:t xml:space="preserve"> </w:t>
      </w:r>
      <w:r>
        <w:t xml:space="preserve">treatment group as strong predictors for herbivory damage (</w:t>
      </w:r>
      <w:hyperlink w:anchor="tbl-tableGLMM">
        <w:r>
          <w:rPr>
            <w:rStyle w:val="Hyperlink"/>
          </w:rPr>
          <w:t xml:space="preserve">Table 5</w:t>
        </w:r>
      </w:hyperlink>
      <w:r>
        <w:t xml:space="preserve">). Using data from all the assays in simple linear regressions, FEF diversity and community composition correlated negatively with herbivory damage, since we saw reduced herbivory as Shannon diversity index increased (</w:t>
      </w:r>
      <w:hyperlink w:anchor="tbl-linearreg">
        <w:r>
          <w:rPr>
            <w:rStyle w:val="Hyperlink"/>
          </w:rPr>
          <w:t xml:space="preserve">Table 4</w:t>
        </w:r>
      </w:hyperlink>
      <w:r>
        <w:t xml:space="preserve">; black regression line in Figure S7e). As a caveat to these results, we saw an inverse relationship between the treatment groups with the</w:t>
      </w:r>
      <w:r>
        <w:t xml:space="preserve"> </w:t>
      </w:r>
      <w:r>
        <w:rPr>
          <w:iCs/>
          <w:i/>
        </w:rPr>
        <w:t xml:space="preserve">E-high</w:t>
      </w:r>
      <w:r>
        <w:t xml:space="preserve"> </w:t>
      </w:r>
      <w:r>
        <w:t xml:space="preserve">group positively correlating to herbivory and</w:t>
      </w:r>
      <w:r>
        <w:t xml:space="preserve"> </w:t>
      </w:r>
      <w:r>
        <w:rPr>
          <w:iCs/>
          <w:i/>
        </w:rPr>
        <w:t xml:space="preserve">E-low</w:t>
      </w:r>
      <w:r>
        <w:t xml:space="preserve"> </w:t>
      </w:r>
      <w:r>
        <w:t xml:space="preserve">group negatively correlating to herbivory (</w:t>
      </w:r>
      <w:hyperlink w:anchor="tbl-linearreg">
        <w:r>
          <w:rPr>
            <w:rStyle w:val="Hyperlink"/>
          </w:rPr>
          <w:t xml:space="preserve">Table 4</w:t>
        </w:r>
      </w:hyperlink>
      <w: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w:t>
      </w:r>
      <w:r>
        <w:t xml:space="preserve"> </w:t>
      </w:r>
      <w:r>
        <w:rPr>
          <w:iCs/>
          <w:i/>
        </w:rPr>
        <w:t xml:space="preserve">E-high</w:t>
      </w:r>
      <w:r>
        <w:t xml:space="preserve"> </w:t>
      </w:r>
      <w:r>
        <w:t xml:space="preserve">treatment group, also played a strong role in predicting herbivory, but less so diversity and community composition.</w:t>
      </w:r>
      <w:r>
        <w:t xml:space="preserve"> </w:t>
      </w:r>
    </w:p>
    <w:p>
      <w:pPr>
        <w:pStyle w:val="BodyText"/>
      </w:pPr>
      <w: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w:t>
      </w:r>
      <w:r>
        <w:t xml:space="preserve"> </w:t>
      </w:r>
      <w:r>
        <w:rPr>
          <w:iCs/>
          <w:i/>
        </w:rPr>
        <w:t xml:space="preserve">E-high</w:t>
      </w:r>
      <w:r>
        <w:t xml:space="preserve"> </w:t>
      </w:r>
      <w:r>
        <w:t xml:space="preserve">group had equal or slightly higher pathogen damage than the</w:t>
      </w:r>
      <w:r>
        <w:t xml:space="preserve"> </w:t>
      </w:r>
      <w:r>
        <w:rPr>
          <w:iCs/>
          <w:i/>
        </w:rPr>
        <w:t xml:space="preserve">E-low</w:t>
      </w:r>
      <w:r>
        <w:t xml:space="preserve"> </w:t>
      </w:r>
      <w:r>
        <w:t xml:space="preserve">group in all tree species (Figure S6b). The best-fit GLMM for pathogen damage showed LMA and LT as weak predictors (</w:t>
      </w:r>
      <w:hyperlink w:anchor="tbl-tableGLMM">
        <w:r>
          <w:rPr>
            <w:rStyle w:val="Hyperlink"/>
          </w:rPr>
          <w:t xml:space="preserve">Table 5</w:t>
        </w:r>
      </w:hyperlink>
      <w:r>
        <w:t xml:space="preserve">). On the other hand, with simple linear regressions we saw a significant increase in pathogen damage as Shannon diversity index increased for the complete data set (</w:t>
      </w:r>
      <w:hyperlink w:anchor="tbl-linearreg">
        <w:r>
          <w:rPr>
            <w:rStyle w:val="Hyperlink"/>
          </w:rPr>
          <w:t xml:space="preserve">Table 4</w:t>
        </w:r>
      </w:hyperlink>
      <w:r>
        <w:t xml:space="preserve"> </w:t>
      </w:r>
      <w:r>
        <w:t xml:space="preserve">and Figure S8e). Like our herbivory damage models, the contrast between GLMM and simple linear regression point to a nuanced role of FEF abundance and diversity in combating a pathogen. Pathogen damage significantly increased in the</w:t>
      </w:r>
      <w:r>
        <w:t xml:space="preserve"> </w:t>
      </w:r>
      <w:r>
        <w:rPr>
          <w:iCs/>
          <w:i/>
        </w:rPr>
        <w:t xml:space="preserve">E-high</w:t>
      </w:r>
      <w:r>
        <w:t xml:space="preserve"> </w:t>
      </w:r>
      <w:r>
        <w:t xml:space="preserve">group as Shannon diversity increased, but the</w:t>
      </w:r>
      <w:r>
        <w:t xml:space="preserve"> </w:t>
      </w:r>
      <w:r>
        <w:rPr>
          <w:iCs/>
          <w:i/>
        </w:rPr>
        <w:t xml:space="preserve">E-low</w:t>
      </w:r>
      <w:r>
        <w:t xml:space="preserve"> </w:t>
      </w:r>
      <w:r>
        <w:t xml:space="preserve">group did not (</w:t>
      </w:r>
      <w:hyperlink w:anchor="tbl-linearreg">
        <w:r>
          <w:rPr>
            <w:rStyle w:val="Hyperlink"/>
          </w:rPr>
          <w:t xml:space="preserve">Table 4</w:t>
        </w:r>
      </w:hyperlink>
      <w:r>
        <w:t xml:space="preserve"> </w:t>
      </w:r>
      <w:r>
        <w:t xml:space="preserve">and Figure S8e). González-Tauber</w:t>
      </w:r>
      <w:r>
        <w:t xml:space="preserve"> </w:t>
      </w:r>
      <w:r>
        <w:t xml:space="preserve">(2016)</w:t>
      </w:r>
      <w:r>
        <w:t xml:space="preserve"> </w:t>
      </w:r>
      <w:r>
        <w:t xml:space="preserve">found the opposite trend when examining</w:t>
      </w:r>
      <w:r>
        <w:t xml:space="preserve"> </w:t>
      </w:r>
      <w:r>
        <w:rPr>
          <w:iCs/>
          <w:i/>
        </w:rPr>
        <w:t xml:space="preserve">in vitro</w:t>
      </w:r>
      <w:r>
        <w:t xml:space="preserve"> </w:t>
      </w:r>
      <w:r>
        <w:t xml:space="preserve">the inhibitory effects of the most abundant genera (</w:t>
      </w:r>
      <w:r>
        <w:rPr>
          <w:iCs/>
          <w:i/>
        </w:rPr>
        <w:t xml:space="preserve">Mycosphaerella</w:t>
      </w:r>
      <w:r>
        <w:t xml:space="preserve"> </w:t>
      </w:r>
      <w:r>
        <w:t xml:space="preserve">sp.,</w:t>
      </w:r>
      <w:r>
        <w:t xml:space="preserve"> </w:t>
      </w:r>
      <w:r>
        <w:rPr>
          <w:iCs/>
          <w:i/>
        </w:rPr>
        <w:t xml:space="preserve">Xylaria</w:t>
      </w:r>
      <w:r>
        <w:t xml:space="preserve"> </w:t>
      </w:r>
      <w:r>
        <w:t xml:space="preserve">sp.,</w:t>
      </w:r>
      <w:r>
        <w:t xml:space="preserve"> </w:t>
      </w:r>
      <w:r>
        <w:rPr>
          <w:iCs/>
          <w:i/>
        </w:rPr>
        <w:t xml:space="preserve">Diaporthe</w:t>
      </w:r>
      <w:r>
        <w:t xml:space="preserve"> </w:t>
      </w:r>
      <w:r>
        <w:t xml:space="preserve">sp., and</w:t>
      </w:r>
      <w:r>
        <w:t xml:space="preserve"> </w:t>
      </w:r>
      <w:r>
        <w:rPr>
          <w:iCs/>
          <w:i/>
        </w:rPr>
        <w:t xml:space="preserve">Penicillium</w:t>
      </w:r>
      <w:r>
        <w:t xml:space="preserve"> </w:t>
      </w:r>
      <w:r>
        <w:t xml:space="preserve">sp.) in FEF communities isolated from the southern temperate tree</w:t>
      </w:r>
      <w:r>
        <w:t xml:space="preserve"> </w:t>
      </w:r>
      <w:r>
        <w:rPr>
          <w:iCs/>
          <w:i/>
        </w:rPr>
        <w:t xml:space="preserve">Embothrium coccineum</w:t>
      </w:r>
      <w:r>
        <w:t xml:space="preserve"> </w:t>
      </w:r>
      <w:r>
        <w:t xml:space="preserve">against three common pathogens (</w:t>
      </w:r>
      <w:r>
        <w:rPr>
          <w:iCs/>
          <w:i/>
        </w:rPr>
        <w:t xml:space="preserve">Botrytis cinerea</w:t>
      </w:r>
      <w:r>
        <w:t xml:space="preserve">,</w:t>
      </w:r>
      <w:r>
        <w:t xml:space="preserve"> </w:t>
      </w:r>
      <w:r>
        <w:rPr>
          <w:iCs/>
          <w:i/>
        </w:rPr>
        <w:t xml:space="preserve">Fusarium oxysporum</w:t>
      </w:r>
      <w:r>
        <w:t xml:space="preserve"> </w:t>
      </w:r>
      <w:r>
        <w:t xml:space="preserve">and</w:t>
      </w:r>
      <w:r>
        <w:t xml:space="preserve"> </w:t>
      </w:r>
      <w:r>
        <w:rPr>
          <w:iCs/>
          <w:i/>
        </w:rPr>
        <w:t xml:space="preserve">Ceratocystis pilifera</w:t>
      </w:r>
      <w:r>
        <w:t xml:space="preserve">). In our case, it is possible that the FEF abundance and diversity acquired from spore-fall have a synergistic interaction with</w:t>
      </w:r>
      <w:r>
        <w:t xml:space="preserve"> </w:t>
      </w:r>
      <w:r>
        <w:rPr>
          <w:iCs/>
          <w:i/>
        </w:rPr>
        <w:t xml:space="preserve">Calonectria</w:t>
      </w:r>
      <w:r>
        <w:t xml:space="preserve"> </w:t>
      </w:r>
      <w:r>
        <w:t xml:space="preserve">sp., thus outweighing any benefits provided by single-species interactions, ultimately increasing pathogen damage intensity. Arnold et al.</w:t>
      </w:r>
      <w:r>
        <w:t xml:space="preserve"> </w:t>
      </w:r>
      <w:r>
        <w:t xml:space="preserve">(2003)</w:t>
      </w:r>
      <w:r>
        <w:t xml:space="preserve"> </w:t>
      </w:r>
      <w:r>
        <w:t xml:space="preserve">found significant differences in pathogen damage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 groups of</w:t>
      </w:r>
      <w:r>
        <w:t xml:space="preserve"> </w:t>
      </w:r>
      <w:r>
        <w:rPr>
          <w:iCs/>
          <w:i/>
        </w:rPr>
        <w:t xml:space="preserve">T. cacao</w:t>
      </w:r>
      <w:r>
        <w:t xml:space="preserve"> </w:t>
      </w:r>
      <w:r>
        <w:t xml:space="preserve">when exposed to</w:t>
      </w:r>
      <w:r>
        <w:t xml:space="preserve"> </w:t>
      </w:r>
      <w:r>
        <w:rPr>
          <w:iCs/>
          <w:i/>
        </w:rPr>
        <w:t xml:space="preserve">Phytophthora</w:t>
      </w:r>
      <w:r>
        <w:t xml:space="preserve"> </w:t>
      </w:r>
      <w:r>
        <w:t xml:space="preserve">sp. Our study focused on the effect of a pathogen on relatively young leaves</w:t>
      </w:r>
      <w:r>
        <w:t xml:space="preserve"> </w:t>
      </w:r>
      <w:r>
        <w:rPr>
          <w:iCs/>
          <w:i/>
        </w:rPr>
        <w:t xml:space="preserve">versus</w:t>
      </w:r>
      <w:r>
        <w:t xml:space="preserve"> </w:t>
      </w:r>
      <w:r>
        <w:t xml:space="preserve">Arnold et al.</w:t>
      </w:r>
      <w:r>
        <w:t xml:space="preserve"> </w:t>
      </w:r>
      <w:r>
        <w:t xml:space="preserve">(2003)</w:t>
      </w:r>
      <w:r>
        <w:t xml:space="preserve"> </w:t>
      </w:r>
      <w:r>
        <w:t xml:space="preserve">where they observed leaves from different life stages and the effects of the pathogen increased relative to leaf age. A lack of leaves at different life stages as well as a low sample size might explain the lack of differences in pathogen damage present in this study.</w:t>
      </w:r>
    </w:p>
    <w:p>
      <w:pPr>
        <w:pStyle w:val="BodyText"/>
      </w:pPr>
      <w:r>
        <w:t xml:space="preserve">Comprehending the relationship between the LES, plant defenses, and FEF communities is crucial for understanding the complex interactions among plants, insects, and pathogens. The Optimal Defense Theory (ODT), as outlined by Stamp</w:t>
      </w:r>
      <w:r>
        <w:t xml:space="preserve"> </w:t>
      </w:r>
      <w:r>
        <w:t xml:space="preserve">(2003)</w:t>
      </w:r>
      <w:r>
        <w:t xml:space="preserve">, proposes three key predictions about plant defenses. First, a plant’s defense investment is directly proportional to the frequency of attacks, such as herbivory or pathogen intensity, and inversely related to the cost of resources</w:t>
      </w:r>
      <w:r>
        <w:t xml:space="preserve"> </w:t>
      </w:r>
      <w:r>
        <w:t xml:space="preserve">(Holeski et al., 2010)</w:t>
      </w:r>
      <w:r>
        <w:t xml:space="preserve">.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w:t>
      </w:r>
      <w:r>
        <w:t xml:space="preserve"> </w:t>
      </w:r>
      <w:r>
        <w:t xml:space="preserve">(Holeski et al., 2010)</w:t>
      </w:r>
      <w:r>
        <w:t xml:space="preserve">.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assays could help elucidate the roles of specific FEF OTUs. The use of</w:t>
      </w:r>
      <w:r>
        <w:t xml:space="preserve"> </w:t>
      </w:r>
      <w:r>
        <w:rPr>
          <w:iCs/>
          <w:i/>
        </w:rPr>
        <w:t xml:space="preserve">in vitro</w:t>
      </w:r>
      <w:r>
        <w:t xml:space="preserve"> </w:t>
      </w:r>
      <w:r>
        <w:t xml:space="preserve">assays could help identify the potential anti-herbivore and anti-pathogen qualities of specific FEF OTUs.</w:t>
      </w:r>
      <w:r>
        <w:t xml:space="preserve"> </w:t>
      </w:r>
      <w:r>
        <w:rPr>
          <w:iCs/>
          <w:i/>
        </w:rPr>
        <w:t xml:space="preserve">In vivo</w:t>
      </w:r>
      <w:r>
        <w:t xml:space="preserve"> </w:t>
      </w:r>
      <w:r>
        <w:t xml:space="preserve">inoculation assays could help identify the importance that specific FEF OTUs have in different developmental stages, especially in older stages.</w:t>
      </w:r>
    </w:p>
    <w:bookmarkEnd w:id="45"/>
    <w:bookmarkStart w:id="46" w:name="conclusion"/>
    <w:p>
      <w:pPr>
        <w:pStyle w:val="Heading1"/>
      </w:pPr>
      <w:r>
        <w:t xml:space="preserve">7. Conclusion</w:t>
      </w:r>
    </w:p>
    <w:p>
      <w:pPr>
        <w:pStyle w:val="FirstParagraph"/>
      </w:pPr>
      <w:r>
        <w:t xml:space="preserve">This study advances our understanding of the intricate interactions between plants and their FEF communities, particularly in the context of plant defense mechanisms against herbivores and pathogens. Previous studies focused on single host species or limited number of endophytes, our study uses multiple host species and associated FEF community to have a better picture of community level dynamics.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p>
    <w:bookmarkEnd w:id="46"/>
    <w:bookmarkStart w:id="47" w:name="author-contributions"/>
    <w:p>
      <w:pPr>
        <w:pStyle w:val="Heading1"/>
      </w:pPr>
      <w:r>
        <w:t xml:space="preserve">8. Author Contributions</w:t>
      </w:r>
    </w:p>
    <w:p>
      <w:pPr>
        <w:pStyle w:val="FirstParagraph"/>
      </w:pPr>
      <w:r>
        <w:t xml:space="preserve">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bookmarkEnd w:id="47"/>
    <w:bookmarkStart w:id="48" w:name="acknowledgements"/>
    <w:p>
      <w:pPr>
        <w:pStyle w:val="Heading1"/>
      </w:pPr>
      <w:r>
        <w:t xml:space="preserve">9. Acknowledgements</w:t>
      </w:r>
    </w:p>
    <w:p>
      <w:pPr>
        <w:pStyle w:val="FirstParagraph"/>
      </w:pPr>
      <w:r>
        <w:t xml:space="preserve">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p>
    <w:bookmarkEnd w:id="48"/>
    <w:bookmarkStart w:id="49" w:name="conflict-of-interest-statement"/>
    <w:p>
      <w:pPr>
        <w:pStyle w:val="Heading1"/>
      </w:pPr>
      <w:r>
        <w:t xml:space="preserve">10. Conflict of Interest Statement</w:t>
      </w:r>
    </w:p>
    <w:p>
      <w:pPr>
        <w:pStyle w:val="FirstParagraph"/>
      </w:pPr>
      <w:r>
        <w:t xml:space="preserve">The authors declare no competing interests.</w:t>
      </w:r>
    </w:p>
    <w:bookmarkEnd w:id="49"/>
    <w:bookmarkStart w:id="50" w:name="data-availability-statement"/>
    <w:p>
      <w:pPr>
        <w:pStyle w:val="Heading1"/>
      </w:pPr>
      <w:r>
        <w:t xml:space="preserve">11. Data Availability Statement</w:t>
      </w:r>
    </w:p>
    <w:p>
      <w:pPr>
        <w:pStyle w:val="FirstParagraph"/>
      </w:pPr>
      <w:r>
        <w:t xml:space="preserve">Illumina metagenome sequences are available in NCBI-SRA (BioProject ID: PRJNA1162076). Leaf trait data and source code for figures, analysis and reproducible manuscript are available from Zenodo:</w:t>
      </w:r>
    </w:p>
    <w:bookmarkEnd w:id="50"/>
    <w:bookmarkStart w:id="207" w:name="references"/>
    <w:p>
      <w:pPr>
        <w:pStyle w:val="Heading1"/>
      </w:pPr>
      <w:r>
        <w:t xml:space="preserve">12. References</w:t>
      </w:r>
    </w:p>
    <w:bookmarkStart w:id="206" w:name="refs"/>
    <w:bookmarkStart w:id="52" w:name="ref-anderson2010"/>
    <w:p>
      <w:pPr>
        <w:pStyle w:val="Bibliography"/>
      </w:pPr>
      <w:r>
        <w:t xml:space="preserve">Anderson, J. P., Gleason, C. A., Foley, R. C., Thrall, P. H., Burdon, J. B., &amp; Singh, K. B. (2010). Plants versus pathogens: an evolutionary arms race.</w:t>
      </w:r>
      <w:r>
        <w:t xml:space="preserve"> </w:t>
      </w:r>
      <w:r>
        <w:rPr>
          <w:iCs/>
          <w:i/>
        </w:rPr>
        <w:t xml:space="preserve">Functional Plant Biology</w:t>
      </w:r>
      <w:r>
        <w:t xml:space="preserve">,</w:t>
      </w:r>
      <w:r>
        <w:t xml:space="preserve"> </w:t>
      </w:r>
      <w:r>
        <w:rPr>
          <w:iCs/>
          <w:i/>
        </w:rPr>
        <w:t xml:space="preserve">37</w:t>
      </w:r>
      <w:r>
        <w:t xml:space="preserve">(6), 499.</w:t>
      </w:r>
      <w:r>
        <w:t xml:space="preserve"> </w:t>
      </w:r>
      <w:hyperlink r:id="rId51">
        <w:r>
          <w:rPr>
            <w:rStyle w:val="Hyperlink"/>
          </w:rPr>
          <w:t xml:space="preserve">https://doi.org/10.1071/FP09304</w:t>
        </w:r>
      </w:hyperlink>
    </w:p>
    <w:bookmarkEnd w:id="52"/>
    <w:bookmarkStart w:id="54" w:name="ref-anderson2017"/>
    <w:p>
      <w:pPr>
        <w:pStyle w:val="Bibliography"/>
      </w:pPr>
      <w:r>
        <w:t xml:space="preserve">Anderson, M. J. (2017). Permutational Multivariate Analysis of Variance (PERMANOVA). In</w:t>
      </w:r>
      <w:r>
        <w:t xml:space="preserve"> </w:t>
      </w:r>
      <w:r>
        <w:rPr>
          <w:iCs/>
          <w:i/>
        </w:rPr>
        <w:t xml:space="preserve">Wiley StatsRef: Statistics Reference Online</w:t>
      </w:r>
      <w:r>
        <w:t xml:space="preserve"> </w:t>
      </w:r>
      <w:r>
        <w:t xml:space="preserve">(pp. 1–15). Wiley.</w:t>
      </w:r>
      <w:r>
        <w:t xml:space="preserve"> </w:t>
      </w:r>
      <w:hyperlink r:id="rId53">
        <w:r>
          <w:rPr>
            <w:rStyle w:val="Hyperlink"/>
          </w:rPr>
          <w:t xml:space="preserve">https://doi.org/10.1002/9781118445112.stat07841</w:t>
        </w:r>
      </w:hyperlink>
    </w:p>
    <w:bookmarkEnd w:id="54"/>
    <w:bookmarkStart w:id="56"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55">
        <w:r>
          <w:rPr>
            <w:rStyle w:val="Hyperlink"/>
          </w:rPr>
          <w:t xml:space="preserve">https://doi.org/10.1017/S0266467407004038</w:t>
        </w:r>
      </w:hyperlink>
    </w:p>
    <w:bookmarkEnd w:id="56"/>
    <w:bookmarkStart w:id="58" w:name="ref-arnold2000"/>
    <w:p>
      <w:pPr>
        <w:pStyle w:val="Bibliography"/>
      </w:pPr>
      <w:r>
        <w:t xml:space="preserve">Arnold, A. E., Maynard, Z., Gilbert, G. S., Coley, P. D., &amp; Kursar, T. A. (2000). Are tropical fungal endophytes hyperdiverse?</w:t>
      </w:r>
      <w:r>
        <w:t xml:space="preserve"> </w:t>
      </w:r>
      <w:r>
        <w:rPr>
          <w:iCs/>
          <w:i/>
        </w:rPr>
        <w:t xml:space="preserve">Ecology Letters</w:t>
      </w:r>
      <w:r>
        <w:t xml:space="preserve">,</w:t>
      </w:r>
      <w:r>
        <w:t xml:space="preserve"> </w:t>
      </w:r>
      <w:r>
        <w:rPr>
          <w:iCs/>
          <w:i/>
        </w:rPr>
        <w:t xml:space="preserve">3</w:t>
      </w:r>
      <w:r>
        <w:t xml:space="preserve">(4), 267–274.</w:t>
      </w:r>
      <w:r>
        <w:t xml:space="preserve"> </w:t>
      </w:r>
      <w:hyperlink r:id="rId57">
        <w:r>
          <w:rPr>
            <w:rStyle w:val="Hyperlink"/>
          </w:rPr>
          <w:t xml:space="preserve">https://doi.org/10.1046/j.1461-0248.2000.00159.x</w:t>
        </w:r>
      </w:hyperlink>
    </w:p>
    <w:bookmarkEnd w:id="58"/>
    <w:bookmarkStart w:id="60"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r>
        <w:t xml:space="preserve"> </w:t>
      </w:r>
      <w:hyperlink r:id="rId59">
        <w:r>
          <w:rPr>
            <w:rStyle w:val="Hyperlink"/>
          </w:rPr>
          <w:t xml:space="preserve">https://doi.org/10.1073/pnas.2533483100</w:t>
        </w:r>
      </w:hyperlink>
    </w:p>
    <w:bookmarkEnd w:id="60"/>
    <w:bookmarkStart w:id="62" w:name="ref-barton2023"/>
    <w:p>
      <w:pPr>
        <w:pStyle w:val="Bibliography"/>
      </w:pPr>
      <w:r>
        <w:t xml:space="preserve">Bartoń, K. (2023).</w:t>
      </w:r>
      <w:r>
        <w:t xml:space="preserve"> </w:t>
      </w:r>
      <w:r>
        <w:rPr>
          <w:iCs/>
          <w:i/>
        </w:rPr>
        <w:t xml:space="preserve">MuMIn: Multi-model inference</w:t>
      </w:r>
      <w:r>
        <w:t xml:space="preserve"> </w:t>
      </w:r>
      <w:r>
        <w:t xml:space="preserve">[Manual].</w:t>
      </w:r>
      <w:r>
        <w:t xml:space="preserve"> </w:t>
      </w:r>
      <w:hyperlink r:id="rId61">
        <w:r>
          <w:rPr>
            <w:rStyle w:val="Hyperlink"/>
          </w:rPr>
          <w:t xml:space="preserve">https://CRAN.R-project.org/package=MuMIn</w:t>
        </w:r>
      </w:hyperlink>
    </w:p>
    <w:bookmarkEnd w:id="62"/>
    <w:bookmarkStart w:id="64"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63">
        <w:r>
          <w:rPr>
            <w:rStyle w:val="Hyperlink"/>
          </w:rPr>
          <w:t xml:space="preserve">https://doi.org/10.1111/j.2517-6161.1995.tb02031.x</w:t>
        </w:r>
      </w:hyperlink>
    </w:p>
    <w:bookmarkEnd w:id="64"/>
    <w:bookmarkStart w:id="66" w:name="ref-bittleston2011"/>
    <w:p>
      <w:pPr>
        <w:pStyle w:val="Bibliography"/>
      </w:pPr>
      <w:r>
        <w:t xml:space="preserve">Bittleston, L. S., Brockmann, F., Wcislo, W., &amp; Van Bael, S. A. (2011). Endophytic fungi reduce leaf-cutting ant damage to seedlings.</w:t>
      </w:r>
      <w:r>
        <w:t xml:space="preserve"> </w:t>
      </w:r>
      <w:r>
        <w:rPr>
          <w:iCs/>
          <w:i/>
        </w:rPr>
        <w:t xml:space="preserve">Biology Letters</w:t>
      </w:r>
      <w:r>
        <w:t xml:space="preserve">,</w:t>
      </w:r>
      <w:r>
        <w:t xml:space="preserve"> </w:t>
      </w:r>
      <w:r>
        <w:rPr>
          <w:iCs/>
          <w:i/>
        </w:rPr>
        <w:t xml:space="preserve">7</w:t>
      </w:r>
      <w:r>
        <w:t xml:space="preserve">(1), 30–32.</w:t>
      </w:r>
      <w:r>
        <w:t xml:space="preserve"> </w:t>
      </w:r>
      <w:hyperlink r:id="rId65">
        <w:r>
          <w:rPr>
            <w:rStyle w:val="Hyperlink"/>
          </w:rPr>
          <w:t xml:space="preserve">https://doi.org/10.1098/rsbl.2010.0456</w:t>
        </w:r>
      </w:hyperlink>
    </w:p>
    <w:bookmarkEnd w:id="66"/>
    <w:bookmarkStart w:id="68" w:name="ref-blanchet2008"/>
    <w:p>
      <w:pPr>
        <w:pStyle w:val="Bibliography"/>
      </w:pPr>
      <w:r>
        <w:t xml:space="preserve">Blanchet, F. G., Legendre, P., &amp; Borcard, D. (2008). Forward Selection of Explanatory Variables.</w:t>
      </w:r>
      <w:r>
        <w:t xml:space="preserve"> </w:t>
      </w:r>
      <w:r>
        <w:rPr>
          <w:iCs/>
          <w:i/>
        </w:rPr>
        <w:t xml:space="preserve">Ecology</w:t>
      </w:r>
      <w:r>
        <w:t xml:space="preserve">,</w:t>
      </w:r>
      <w:r>
        <w:t xml:space="preserve"> </w:t>
      </w:r>
      <w:r>
        <w:rPr>
          <w:iCs/>
          <w:i/>
        </w:rPr>
        <w:t xml:space="preserve">89</w:t>
      </w:r>
      <w:r>
        <w:t xml:space="preserve">(9), 2623–2632.</w:t>
      </w:r>
      <w:r>
        <w:t xml:space="preserve"> </w:t>
      </w:r>
      <w:hyperlink r:id="rId67">
        <w:r>
          <w:rPr>
            <w:rStyle w:val="Hyperlink"/>
          </w:rPr>
          <w:t xml:space="preserve">https://doi.org/10.1890/07-0986.1</w:t>
        </w:r>
      </w:hyperlink>
    </w:p>
    <w:bookmarkEnd w:id="68"/>
    <w:bookmarkStart w:id="70" w:name="ref-carbone2017"/>
    <w:p>
      <w:pPr>
        <w:pStyle w:val="Bibliography"/>
      </w:pPr>
      <w: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w:t>
      </w:r>
      <w:r>
        <w:t xml:space="preserve"> </w:t>
      </w:r>
      <w:r>
        <w:rPr>
          <w:iCs/>
          <w:i/>
        </w:rPr>
        <w:t xml:space="preserve">Bioinformatics</w:t>
      </w:r>
      <w:r>
        <w:t xml:space="preserve">,</w:t>
      </w:r>
      <w:r>
        <w:t xml:space="preserve"> </w:t>
      </w:r>
      <w:r>
        <w:rPr>
          <w:iCs/>
          <w:i/>
        </w:rPr>
        <w:t xml:space="preserve">33</w:t>
      </w:r>
      <w:r>
        <w:t xml:space="preserve">(8), 1160–1168.</w:t>
      </w:r>
      <w:r>
        <w:t xml:space="preserve"> </w:t>
      </w:r>
      <w:hyperlink r:id="rId69">
        <w:r>
          <w:rPr>
            <w:rStyle w:val="Hyperlink"/>
          </w:rPr>
          <w:t xml:space="preserve">https://doi.org/10.1093/bioinformatics/btw808</w:t>
        </w:r>
      </w:hyperlink>
    </w:p>
    <w:bookmarkEnd w:id="70"/>
    <w:bookmarkStart w:id="72" w:name="ref-carbone2019"/>
    <w:p>
      <w:pPr>
        <w:pStyle w:val="Bibliography"/>
      </w:pPr>
      <w: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w:t>
      </w:r>
      <w:r>
        <w:t xml:space="preserve"> </w:t>
      </w:r>
      <w:r>
        <w:rPr>
          <w:iCs/>
          <w:i/>
        </w:rPr>
        <w:t xml:space="preserve">Microbiology Resource Announcements</w:t>
      </w:r>
      <w:r>
        <w:t xml:space="preserve">,</w:t>
      </w:r>
      <w:r>
        <w:t xml:space="preserve"> </w:t>
      </w:r>
      <w:r>
        <w:rPr>
          <w:iCs/>
          <w:i/>
        </w:rPr>
        <w:t xml:space="preserve">8</w:t>
      </w:r>
      <w:r>
        <w:t xml:space="preserve">(29), e00328–19.</w:t>
      </w:r>
      <w:r>
        <w:t xml:space="preserve"> </w:t>
      </w:r>
      <w:hyperlink r:id="rId71">
        <w:r>
          <w:rPr>
            <w:rStyle w:val="Hyperlink"/>
          </w:rPr>
          <w:t xml:space="preserve">https://doi.org/10.1128/MRA.00328-19</w:t>
        </w:r>
      </w:hyperlink>
    </w:p>
    <w:bookmarkEnd w:id="72"/>
    <w:bookmarkStart w:id="74" w:name="ref-chagas2018"/>
    <w:p>
      <w:pPr>
        <w:pStyle w:val="Bibliography"/>
      </w:pPr>
      <w:r>
        <w:t xml:space="preserve">Chagas, F. O., Pessotti, R. D. C., Caraballo-Rodríguez, A. M., &amp; Pupo, M. T. (2018). Chemical signaling involved in plant–microbe interactions.</w:t>
      </w:r>
      <w:r>
        <w:t xml:space="preserve"> </w:t>
      </w:r>
      <w:r>
        <w:rPr>
          <w:iCs/>
          <w:i/>
        </w:rPr>
        <w:t xml:space="preserve">Chemical Society Reviews</w:t>
      </w:r>
      <w:r>
        <w:t xml:space="preserve">,</w:t>
      </w:r>
      <w:r>
        <w:t xml:space="preserve"> </w:t>
      </w:r>
      <w:r>
        <w:rPr>
          <w:iCs/>
          <w:i/>
        </w:rPr>
        <w:t xml:space="preserve">47</w:t>
      </w:r>
      <w:r>
        <w:t xml:space="preserve">(5), 1652–1704.</w:t>
      </w:r>
      <w:r>
        <w:t xml:space="preserve"> </w:t>
      </w:r>
      <w:hyperlink r:id="rId73">
        <w:r>
          <w:rPr>
            <w:rStyle w:val="Hyperlink"/>
          </w:rPr>
          <w:t xml:space="preserve">https://doi.org/10.1039/C7CS00343A</w:t>
        </w:r>
      </w:hyperlink>
    </w:p>
    <w:bookmarkEnd w:id="74"/>
    <w:bookmarkStart w:id="76" w:name="ref-christian2017"/>
    <w:p>
      <w:pPr>
        <w:pStyle w:val="Bibliography"/>
      </w:pPr>
      <w:r>
        <w:t xml:space="preserve">Christian, N., Whitaker, B. K., &amp; Clay, K. (2017). Chapter 5 A Novel Framework for Decoding Fungal Endophyte Diversity. In J. Dighton &amp; J. F. White (Eds.),</w:t>
      </w:r>
      <w:r>
        <w:t xml:space="preserve"> </w:t>
      </w:r>
      <w:r>
        <w:rPr>
          <w:iCs/>
          <w:i/>
        </w:rPr>
        <w:t xml:space="preserve">Mycology</w:t>
      </w:r>
      <w:r>
        <w:t xml:space="preserve"> </w:t>
      </w:r>
      <w:r>
        <w:t xml:space="preserve">(pp. 63–78). CRC Press.</w:t>
      </w:r>
      <w:r>
        <w:t xml:space="preserve"> </w:t>
      </w:r>
      <w:hyperlink r:id="rId75">
        <w:r>
          <w:rPr>
            <w:rStyle w:val="Hyperlink"/>
          </w:rPr>
          <w:t xml:space="preserve">https://doi.org/10.1201/9781315119496-6</w:t>
        </w:r>
      </w:hyperlink>
    </w:p>
    <w:bookmarkEnd w:id="76"/>
    <w:bookmarkStart w:id="78" w:name="ref-coblentz2013"/>
    <w:p>
      <w:pPr>
        <w:pStyle w:val="Bibliography"/>
      </w:pPr>
      <w:r>
        <w:t xml:space="preserve">Coblentz, K. E., &amp; Van Bael, S. A. (2013). Field colonies of leaf-cutting ants select plant materials containing low abundances of endophytic fungi.</w:t>
      </w:r>
      <w:r>
        <w:t xml:space="preserve"> </w:t>
      </w:r>
      <w:r>
        <w:rPr>
          <w:iCs/>
          <w:i/>
        </w:rPr>
        <w:t xml:space="preserve">Ecosphere</w:t>
      </w:r>
      <w:r>
        <w:t xml:space="preserve">,</w:t>
      </w:r>
      <w:r>
        <w:t xml:space="preserve"> </w:t>
      </w:r>
      <w:r>
        <w:rPr>
          <w:iCs/>
          <w:i/>
        </w:rPr>
        <w:t xml:space="preserve">4</w:t>
      </w:r>
      <w:r>
        <w:t xml:space="preserve">(5).</w:t>
      </w:r>
      <w:r>
        <w:t xml:space="preserve"> </w:t>
      </w:r>
      <w:hyperlink r:id="rId77">
        <w:r>
          <w:rPr>
            <w:rStyle w:val="Hyperlink"/>
          </w:rPr>
          <w:t xml:space="preserve">https://doi.org/10.1890/ES13-00012.1</w:t>
        </w:r>
      </w:hyperlink>
    </w:p>
    <w:bookmarkEnd w:id="78"/>
    <w:bookmarkStart w:id="80" w:name="ref-crous2006"/>
    <w:p>
      <w:pPr>
        <w:pStyle w:val="Bibliography"/>
      </w:pPr>
      <w:r>
        <w:t xml:space="preserve">Crous, P. W., Groenewald, J. Z., Risède, J.-M., Simoneau, P., &amp; Hyde, K. D. (2006).</w:t>
      </w:r>
      <w:r>
        <w:t xml:space="preserve"> </w:t>
      </w:r>
      <w:r>
        <w:rPr>
          <w:iCs/>
          <w:i/>
        </w:rPr>
        <w:t xml:space="preserve">Calonectria</w:t>
      </w:r>
      <w:r>
        <w:t xml:space="preserve"> </w:t>
      </w:r>
      <w:r>
        <w:t xml:space="preserve">species and their</w:t>
      </w:r>
      <w:r>
        <w:t xml:space="preserve"> </w:t>
      </w:r>
      <w:r>
        <w:rPr>
          <w:iCs/>
          <w:i/>
        </w:rPr>
        <w:t xml:space="preserve">Cylindrocladium</w:t>
      </w:r>
      <w:r>
        <w:t xml:space="preserve"> </w:t>
      </w:r>
      <w:r>
        <w:t xml:space="preserve">anamorphs: species with clavate vesicles.</w:t>
      </w:r>
      <w:r>
        <w:t xml:space="preserve"> </w:t>
      </w:r>
      <w:r>
        <w:rPr>
          <w:iCs/>
          <w:i/>
        </w:rPr>
        <w:t xml:space="preserve">Studies in Mycology</w:t>
      </w:r>
      <w:r>
        <w:t xml:space="preserve">,</w:t>
      </w:r>
      <w:r>
        <w:t xml:space="preserve"> </w:t>
      </w:r>
      <w:r>
        <w:rPr>
          <w:iCs/>
          <w:i/>
        </w:rPr>
        <w:t xml:space="preserve">55</w:t>
      </w:r>
      <w:r>
        <w:t xml:space="preserve">, 213–226.</w:t>
      </w:r>
      <w:r>
        <w:t xml:space="preserve"> </w:t>
      </w:r>
      <w:hyperlink r:id="rId79">
        <w:r>
          <w:rPr>
            <w:rStyle w:val="Hyperlink"/>
          </w:rPr>
          <w:t xml:space="preserve">https://doi.org/10.3114/sim.55.1.213</w:t>
        </w:r>
      </w:hyperlink>
    </w:p>
    <w:bookmarkEnd w:id="80"/>
    <w:bookmarkStart w:id="82" w:name="ref-currie2014"/>
    <w:p>
      <w:pPr>
        <w:pStyle w:val="Bibliography"/>
      </w:pPr>
      <w:r>
        <w:t xml:space="preserve">Currie, A. F., Wearn, J., Hodgson, S., Wendt, H., Broughton, S., &amp; Jin, L. (2014). Foliar Fungal Endophytes in Herbaceous Plants: A Marriage of Convinience? In V. C. Verma &amp; A. C. Gange (Eds.),</w:t>
      </w:r>
      <w:r>
        <w:t xml:space="preserve"> </w:t>
      </w:r>
      <w:r>
        <w:rPr>
          <w:iCs/>
          <w:i/>
        </w:rPr>
        <w:t xml:space="preserve">Advances in Endophytic Research</w:t>
      </w:r>
      <w:r>
        <w:t xml:space="preserve"> </w:t>
      </w:r>
      <w:r>
        <w:t xml:space="preserve">(pp. 61–81). Springer India.</w:t>
      </w:r>
      <w:r>
        <w:t xml:space="preserve"> </w:t>
      </w:r>
      <w:hyperlink r:id="rId81">
        <w:r>
          <w:rPr>
            <w:rStyle w:val="Hyperlink"/>
          </w:rPr>
          <w:t xml:space="preserve">https://doi.org/10.1007/978-81-322-1575-2</w:t>
        </w:r>
      </w:hyperlink>
    </w:p>
    <w:bookmarkEnd w:id="82"/>
    <w:bookmarkStart w:id="84" w:name="ref-daru2019"/>
    <w:p>
      <w:pPr>
        <w:pStyle w:val="Bibliography"/>
      </w:pPr>
      <w:r>
        <w:t xml:space="preserve">Daru, B. H., Bowman, E. A., Pfister, D. H., &amp; Arnold, A. E. (2019). A novel proof of concept for capturing the diversity of endophytic fungi preserved in herbarium specimens.</w:t>
      </w:r>
      <w:r>
        <w:t xml:space="preserve"> </w:t>
      </w:r>
      <w:r>
        <w:rPr>
          <w:iCs/>
          <w:i/>
        </w:rPr>
        <w:t xml:space="preserve">Philosophical Transactions of the Royal Society B: Biological Sciences</w:t>
      </w:r>
      <w:r>
        <w:t xml:space="preserve">,</w:t>
      </w:r>
      <w:r>
        <w:t xml:space="preserve"> </w:t>
      </w:r>
      <w:r>
        <w:rPr>
          <w:iCs/>
          <w:i/>
        </w:rPr>
        <w:t xml:space="preserve">374</w:t>
      </w:r>
      <w:r>
        <w:t xml:space="preserve">(1763), 20170395.</w:t>
      </w:r>
      <w:r>
        <w:t xml:space="preserve"> </w:t>
      </w:r>
      <w:hyperlink r:id="rId83">
        <w:r>
          <w:rPr>
            <w:rStyle w:val="Hyperlink"/>
          </w:rPr>
          <w:t xml:space="preserve">https://doi.org/10.1098/rstb.2017.0395</w:t>
        </w:r>
      </w:hyperlink>
    </w:p>
    <w:bookmarkEnd w:id="84"/>
    <w:bookmarkStart w:id="86" w:name="ref-decaceres2009"/>
    <w:p>
      <w:pPr>
        <w:pStyle w:val="Bibliography"/>
      </w:pPr>
      <w:r>
        <w:t xml:space="preserve">De Cáceres, M., &amp; Legendre, P. (2009). Associations between species and groups of sites: indices and statistical inference.</w:t>
      </w:r>
      <w:r>
        <w:t xml:space="preserve"> </w:t>
      </w:r>
      <w:r>
        <w:rPr>
          <w:iCs/>
          <w:i/>
        </w:rPr>
        <w:t xml:space="preserve">Ecology</w:t>
      </w:r>
      <w:r>
        <w:t xml:space="preserve">,</w:t>
      </w:r>
      <w:r>
        <w:t xml:space="preserve"> </w:t>
      </w:r>
      <w:r>
        <w:rPr>
          <w:iCs/>
          <w:i/>
        </w:rPr>
        <w:t xml:space="preserve">90</w:t>
      </w:r>
      <w:r>
        <w:t xml:space="preserve">, 3566–3574.</w:t>
      </w:r>
      <w:r>
        <w:t xml:space="preserve"> </w:t>
      </w:r>
      <w:hyperlink r:id="rId85">
        <w:r>
          <w:rPr>
            <w:rStyle w:val="Hyperlink"/>
          </w:rPr>
          <w:t xml:space="preserve">https://doi.org/10.1890/08-1823.1</w:t>
        </w:r>
      </w:hyperlink>
    </w:p>
    <w:bookmarkEnd w:id="86"/>
    <w:bookmarkStart w:id="88" w:name="ref-edgar2004"/>
    <w:p>
      <w:pPr>
        <w:pStyle w:val="Bibliography"/>
      </w:pPr>
      <w:r>
        <w:t xml:space="preserve">Edgar, R. C. (2004). MUSCLE: multiple sequence alignment with high accuracy and high throughput.</w:t>
      </w:r>
      <w:r>
        <w:t xml:space="preserve"> </w:t>
      </w:r>
      <w:r>
        <w:rPr>
          <w:iCs/>
          <w:i/>
        </w:rPr>
        <w:t xml:space="preserve">Nucleic Acids Research</w:t>
      </w:r>
      <w:r>
        <w:t xml:space="preserve">,</w:t>
      </w:r>
      <w:r>
        <w:t xml:space="preserve"> </w:t>
      </w:r>
      <w:r>
        <w:rPr>
          <w:iCs/>
          <w:i/>
        </w:rPr>
        <w:t xml:space="preserve">32</w:t>
      </w:r>
      <w:r>
        <w:t xml:space="preserve">(5), 1792–1797.</w:t>
      </w:r>
      <w:r>
        <w:t xml:space="preserve"> </w:t>
      </w:r>
      <w:hyperlink r:id="rId87">
        <w:r>
          <w:rPr>
            <w:rStyle w:val="Hyperlink"/>
          </w:rPr>
          <w:t xml:space="preserve">https://doi.org/10.1093/nar/gkh340</w:t>
        </w:r>
      </w:hyperlink>
    </w:p>
    <w:bookmarkEnd w:id="88"/>
    <w:bookmarkStart w:id="90"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89">
        <w:r>
          <w:rPr>
            <w:rStyle w:val="Hyperlink"/>
          </w:rPr>
          <w:t xml:space="preserve">https://doi.org/10.1111/nph.12140</w:t>
        </w:r>
      </w:hyperlink>
    </w:p>
    <w:bookmarkEnd w:id="90"/>
    <w:bookmarkStart w:id="92" w:name="ref-feild2005"/>
    <w:p>
      <w:pPr>
        <w:pStyle w:val="Bibliography"/>
      </w:pPr>
      <w:r>
        <w:t xml:space="preserve">Feild, T. S., &amp; Arens, N. C. (2005). Form, function and environments of the early angiosperms: merging extant phylogeny and ecophysiology with fossils.</w:t>
      </w:r>
      <w:r>
        <w:t xml:space="preserve"> </w:t>
      </w:r>
      <w:r>
        <w:rPr>
          <w:iCs/>
          <w:i/>
        </w:rPr>
        <w:t xml:space="preserve">New Phytologist</w:t>
      </w:r>
      <w:r>
        <w:t xml:space="preserve">,</w:t>
      </w:r>
      <w:r>
        <w:t xml:space="preserve"> </w:t>
      </w:r>
      <w:r>
        <w:rPr>
          <w:iCs/>
          <w:i/>
        </w:rPr>
        <w:t xml:space="preserve">166</w:t>
      </w:r>
      <w:r>
        <w:t xml:space="preserve">(2), 383–408.</w:t>
      </w:r>
      <w:r>
        <w:t xml:space="preserve"> </w:t>
      </w:r>
      <w:hyperlink r:id="rId91">
        <w:r>
          <w:rPr>
            <w:rStyle w:val="Hyperlink"/>
          </w:rPr>
          <w:t xml:space="preserve">https://doi.org/10.1111/j.1469-8137.2005.01333.x</w:t>
        </w:r>
      </w:hyperlink>
    </w:p>
    <w:bookmarkEnd w:id="92"/>
    <w:bookmarkStart w:id="93" w:name="ref-fox2019"/>
    <w:p>
      <w:pPr>
        <w:pStyle w:val="Bibliography"/>
      </w:pPr>
      <w:r>
        <w:t xml:space="preserve">Fox, J., &amp; Weisberg, S. (2019).</w:t>
      </w:r>
      <w:r>
        <w:t xml:space="preserve"> </w:t>
      </w:r>
      <w:r>
        <w:rPr>
          <w:iCs/>
          <w:i/>
        </w:rPr>
        <w:t xml:space="preserve">An R companion to applied regression</w:t>
      </w:r>
      <w:r>
        <w:t xml:space="preserve"> </w:t>
      </w:r>
      <w:r>
        <w:t xml:space="preserve">(Third edition). SAGE.</w:t>
      </w:r>
    </w:p>
    <w:bookmarkEnd w:id="93"/>
    <w:bookmarkStart w:id="95" w:name="ref-friesen2011"/>
    <w:p>
      <w:pPr>
        <w:pStyle w:val="Bibliography"/>
      </w:pPr>
      <w:r>
        <w:t xml:space="preserve">Friesen, M. L., Porter, S. S., Stark, S. C., Von Wettberg, E. J., Sachs, J. L., &amp; Martinez-Romero, E. (2011). Microbially Mediated Plant Functional Traits.</w:t>
      </w:r>
      <w:r>
        <w:t xml:space="preserve"> </w:t>
      </w:r>
      <w:r>
        <w:rPr>
          <w:iCs/>
          <w:i/>
        </w:rPr>
        <w:t xml:space="preserve">Annual Review of Ecology, Evolution, and Systematics</w:t>
      </w:r>
      <w:r>
        <w:t xml:space="preserve">,</w:t>
      </w:r>
      <w:r>
        <w:t xml:space="preserve"> </w:t>
      </w:r>
      <w:r>
        <w:rPr>
          <w:iCs/>
          <w:i/>
        </w:rPr>
        <w:t xml:space="preserve">42</w:t>
      </w:r>
      <w:r>
        <w:t xml:space="preserve">(1), 23–46.</w:t>
      </w:r>
      <w:r>
        <w:t xml:space="preserve"> </w:t>
      </w:r>
      <w:hyperlink r:id="rId94">
        <w:r>
          <w:rPr>
            <w:rStyle w:val="Hyperlink"/>
          </w:rPr>
          <w:t xml:space="preserve">https://doi.org/10.1146/annurev-ecolsys-102710-145039</w:t>
        </w:r>
      </w:hyperlink>
    </w:p>
    <w:bookmarkEnd w:id="95"/>
    <w:bookmarkStart w:id="97" w:name="ref-gilbert2007"/>
    <w:p>
      <w:pPr>
        <w:pStyle w:val="Bibliography"/>
      </w:pPr>
      <w:r>
        <w:t xml:space="preserve">Gilbert, G. S., &amp; Webb, C. O. (2007). Phylogenetic signal in plant pathogen–host range.</w:t>
      </w:r>
      <w:r>
        <w:t xml:space="preserve"> </w:t>
      </w:r>
      <w:r>
        <w:rPr>
          <w:iCs/>
          <w:i/>
        </w:rPr>
        <w:t xml:space="preserve">Proceedings of the National Academy of Sciences</w:t>
      </w:r>
      <w:r>
        <w:t xml:space="preserve">,</w:t>
      </w:r>
      <w:r>
        <w:t xml:space="preserve"> </w:t>
      </w:r>
      <w:r>
        <w:rPr>
          <w:iCs/>
          <w:i/>
        </w:rPr>
        <w:t xml:space="preserve">104</w:t>
      </w:r>
      <w:r>
        <w:t xml:space="preserve">(12), 4979–4983.</w:t>
      </w:r>
      <w:r>
        <w:t xml:space="preserve"> </w:t>
      </w:r>
      <w:hyperlink r:id="rId96">
        <w:r>
          <w:rPr>
            <w:rStyle w:val="Hyperlink"/>
          </w:rPr>
          <w:t xml:space="preserve">https://doi.org/10.1073/pnas.0607968104</w:t>
        </w:r>
      </w:hyperlink>
    </w:p>
    <w:bookmarkEnd w:id="97"/>
    <w:bookmarkStart w:id="99" w:name="ref-gohel2024"/>
    <w:p>
      <w:pPr>
        <w:pStyle w:val="Bibliography"/>
      </w:pPr>
      <w:r>
        <w:t xml:space="preserve">Gohel, D., &amp; Skintzos, P. (2024).</w:t>
      </w:r>
      <w:r>
        <w:t xml:space="preserve"> </w:t>
      </w:r>
      <w:r>
        <w:rPr>
          <w:iCs/>
          <w:i/>
        </w:rPr>
        <w:t xml:space="preserve">flextable: Functions for tabular reporting</w:t>
      </w:r>
      <w:r>
        <w:t xml:space="preserve"> </w:t>
      </w:r>
      <w:r>
        <w:t xml:space="preserve">[Manual].</w:t>
      </w:r>
      <w:r>
        <w:t xml:space="preserve"> </w:t>
      </w:r>
      <w:hyperlink r:id="rId98">
        <w:r>
          <w:rPr>
            <w:rStyle w:val="Hyperlink"/>
          </w:rPr>
          <w:t xml:space="preserve">https://ardata-fr.github.io/flextable-book/</w:t>
        </w:r>
      </w:hyperlink>
    </w:p>
    <w:bookmarkEnd w:id="99"/>
    <w:bookmarkStart w:id="101" w:name="ref-gonzalez-teuber2016"/>
    <w:p>
      <w:pPr>
        <w:pStyle w:val="Bibliography"/>
      </w:pPr>
      <w:r>
        <w:t xml:space="preserve">González-Teuber, M. (2016). The defensive role of foliar endophytic fungi for a South American tree.</w:t>
      </w:r>
      <w:r>
        <w:t xml:space="preserve"> </w:t>
      </w:r>
      <w:r>
        <w:rPr>
          <w:iCs/>
          <w:i/>
        </w:rPr>
        <w:t xml:space="preserve">AoB PLANTS</w:t>
      </w:r>
      <w:r>
        <w:t xml:space="preserve">,</w:t>
      </w:r>
      <w:r>
        <w:t xml:space="preserve"> </w:t>
      </w:r>
      <w:r>
        <w:rPr>
          <w:iCs/>
          <w:i/>
        </w:rPr>
        <w:t xml:space="preserve">8</w:t>
      </w:r>
      <w:r>
        <w:t xml:space="preserve">, plw050.</w:t>
      </w:r>
      <w:r>
        <w:t xml:space="preserve"> </w:t>
      </w:r>
      <w:hyperlink r:id="rId100">
        <w:r>
          <w:rPr>
            <w:rStyle w:val="Hyperlink"/>
          </w:rPr>
          <w:t xml:space="preserve">https://doi.org/10.1093/aobpla/plw050</w:t>
        </w:r>
      </w:hyperlink>
    </w:p>
    <w:bookmarkEnd w:id="101"/>
    <w:bookmarkStart w:id="103" w:name="ref-guerriero2018"/>
    <w:p>
      <w:pPr>
        <w:pStyle w:val="Bibliography"/>
      </w:pPr>
      <w:r>
        <w:t xml:space="preserve">Guerriero, G., Berni, R., Muñoz-Sanchez, J., Apone, F., Abdel-Salam, E., Qahtan, A., Alatar, A., Cantini, C., Cai, G., Hausman, J.-F., Siddiqui, K., Hernández-Sotomayor, S., &amp; Faisal, M. (2018). Production of Plant Secondary Metabolites: Examples, Tips and Suggestions for Biotechnologists.</w:t>
      </w:r>
      <w:r>
        <w:t xml:space="preserve"> </w:t>
      </w:r>
      <w:r>
        <w:rPr>
          <w:iCs/>
          <w:i/>
        </w:rPr>
        <w:t xml:space="preserve">Genes</w:t>
      </w:r>
      <w:r>
        <w:t xml:space="preserve">,</w:t>
      </w:r>
      <w:r>
        <w:t xml:space="preserve"> </w:t>
      </w:r>
      <w:r>
        <w:rPr>
          <w:iCs/>
          <w:i/>
        </w:rPr>
        <w:t xml:space="preserve">9</w:t>
      </w:r>
      <w:r>
        <w:t xml:space="preserve">(6), 309.</w:t>
      </w:r>
      <w:r>
        <w:t xml:space="preserve"> </w:t>
      </w:r>
      <w:hyperlink r:id="rId102">
        <w:r>
          <w:rPr>
            <w:rStyle w:val="Hyperlink"/>
          </w:rPr>
          <w:t xml:space="preserve">https://doi.org/10.3390/genes9060309</w:t>
        </w:r>
      </w:hyperlink>
    </w:p>
    <w:bookmarkEnd w:id="103"/>
    <w:bookmarkStart w:id="105" w:name="ref-hanley2007"/>
    <w:p>
      <w:pPr>
        <w:pStyle w:val="Bibliography"/>
      </w:pPr>
      <w:r>
        <w:t xml:space="preserve">Hanley, M. E., Lamont, B. B., Fairbanks, M. M., &amp; Rafferty, C. M. (2007). Plant structural traits and their role in anti-herbivore defence.</w:t>
      </w:r>
      <w:r>
        <w:t xml:space="preserve"> </w:t>
      </w:r>
      <w:r>
        <w:rPr>
          <w:iCs/>
          <w:i/>
        </w:rPr>
        <w:t xml:space="preserve">Perspectives in Plant Ecology, Evolution and Systematics</w:t>
      </w:r>
      <w:r>
        <w:t xml:space="preserve">,</w:t>
      </w:r>
      <w:r>
        <w:t xml:space="preserve"> </w:t>
      </w:r>
      <w:r>
        <w:rPr>
          <w:iCs/>
          <w:i/>
        </w:rPr>
        <w:t xml:space="preserve">8</w:t>
      </w:r>
      <w:r>
        <w:t xml:space="preserve">(4), 157–178.</w:t>
      </w:r>
      <w:r>
        <w:t xml:space="preserve"> </w:t>
      </w:r>
      <w:hyperlink r:id="rId104">
        <w:r>
          <w:rPr>
            <w:rStyle w:val="Hyperlink"/>
          </w:rPr>
          <w:t xml:space="preserve">https://doi.org/10.1016/j.ppees.2007.01.001</w:t>
        </w:r>
      </w:hyperlink>
    </w:p>
    <w:bookmarkEnd w:id="105"/>
    <w:bookmarkStart w:id="107" w:name="ref-higgins2014"/>
    <w:p>
      <w:pPr>
        <w:pStyle w:val="Bibliography"/>
      </w:pPr>
      <w:r>
        <w:t xml:space="preserve">Higgins, K. L., Arnold, A. E., Coley, P. D., &amp; Kursar, T. A. (2014). Communities of fungal endophytes in tropical forest grasses: Highly 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106">
        <w:r>
          <w:rPr>
            <w:rStyle w:val="Hyperlink"/>
          </w:rPr>
          <w:t xml:space="preserve">https://doi.org/10.1016/j.funeco.2013.12.005</w:t>
        </w:r>
      </w:hyperlink>
    </w:p>
    <w:bookmarkEnd w:id="107"/>
    <w:bookmarkStart w:id="109" w:name="ref-holeski2010"/>
    <w:p>
      <w:pPr>
        <w:pStyle w:val="Bibliography"/>
      </w:pPr>
      <w:r>
        <w:t xml:space="preserve">Holeski, L. M., Chase-Alone, R., &amp; Kelly, J. K. (2010). The genetics of phenotypic plasticity in plant defense: Trichome production in</w:t>
      </w:r>
      <w:r>
        <w:t xml:space="preserve"> </w:t>
      </w:r>
      <w:r>
        <w:rPr>
          <w:iCs/>
          <w:i/>
        </w:rPr>
        <w:t xml:space="preserve">Mimulus guttatus</w:t>
      </w:r>
      <w:r>
        <w:t xml:space="preserve">.</w:t>
      </w:r>
      <w:r>
        <w:t xml:space="preserve"> </w:t>
      </w:r>
      <w:r>
        <w:rPr>
          <w:iCs/>
          <w:i/>
        </w:rPr>
        <w:t xml:space="preserve">American Naturalist</w:t>
      </w:r>
      <w:r>
        <w:t xml:space="preserve">,</w:t>
      </w:r>
      <w:r>
        <w:t xml:space="preserve"> </w:t>
      </w:r>
      <w:r>
        <w:rPr>
          <w:iCs/>
          <w:i/>
        </w:rPr>
        <w:t xml:space="preserve">175</w:t>
      </w:r>
      <w:r>
        <w:t xml:space="preserve">(4), 391–400.</w:t>
      </w:r>
      <w:r>
        <w:t xml:space="preserve"> </w:t>
      </w:r>
      <w:hyperlink r:id="rId108">
        <w:r>
          <w:rPr>
            <w:rStyle w:val="Hyperlink"/>
          </w:rPr>
          <w:t xml:space="preserve">https://doi.org/10.1086/651300</w:t>
        </w:r>
      </w:hyperlink>
    </w:p>
    <w:bookmarkEnd w:id="109"/>
    <w:bookmarkStart w:id="111" w:name="ref-hugh-jones2023"/>
    <w:p>
      <w:pPr>
        <w:pStyle w:val="Bibliography"/>
      </w:pPr>
      <w:r>
        <w:t xml:space="preserve">Hugh-Jones, D. (2023).</w:t>
      </w:r>
      <w:r>
        <w:t xml:space="preserve"> </w:t>
      </w:r>
      <w:r>
        <w:rPr>
          <w:iCs/>
          <w:i/>
        </w:rPr>
        <w:t xml:space="preserve">huxtable: Easily create and style tables for LaTeX, HTML and other formats</w:t>
      </w:r>
      <w:r>
        <w:t xml:space="preserve"> </w:t>
      </w:r>
      <w:r>
        <w:t xml:space="preserve">[Manual].</w:t>
      </w:r>
      <w:r>
        <w:t xml:space="preserve"> </w:t>
      </w:r>
      <w:hyperlink r:id="rId110">
        <w:r>
          <w:rPr>
            <w:rStyle w:val="Hyperlink"/>
          </w:rPr>
          <w:t xml:space="preserve">https://CRAN.R-project.org/package=huxtable</w:t>
        </w:r>
      </w:hyperlink>
    </w:p>
    <w:bookmarkEnd w:id="111"/>
    <w:bookmarkStart w:id="113" w:name="ref-iannone2023"/>
    <w:p>
      <w:pPr>
        <w:pStyle w:val="Bibliography"/>
      </w:pPr>
      <w:r>
        <w:t xml:space="preserve">Iannone, R., Cheng, J., Schloerke, B., Hughes, E., Lauer, A., &amp; Seo, J. (2023).</w:t>
      </w:r>
      <w:r>
        <w:t xml:space="preserve"> </w:t>
      </w:r>
      <w:r>
        <w:rPr>
          <w:iCs/>
          <w:i/>
        </w:rPr>
        <w:t xml:space="preserve">gt: Easily create presentation-ready display tables</w:t>
      </w:r>
      <w:r>
        <w:t xml:space="preserve"> </w:t>
      </w:r>
      <w:r>
        <w:t xml:space="preserve">[Manual].</w:t>
      </w:r>
      <w:r>
        <w:t xml:space="preserve"> </w:t>
      </w:r>
      <w:hyperlink r:id="rId112">
        <w:r>
          <w:rPr>
            <w:rStyle w:val="Hyperlink"/>
          </w:rPr>
          <w:t xml:space="preserve">https://CRAN.R-project.org/package=gt</w:t>
        </w:r>
      </w:hyperlink>
    </w:p>
    <w:bookmarkEnd w:id="113"/>
    <w:bookmarkStart w:id="115" w:name="ref-kassambara2023a"/>
    <w:p>
      <w:pPr>
        <w:pStyle w:val="Bibliography"/>
      </w:pPr>
      <w:r>
        <w:t xml:space="preserve">Kassambara, A. (2023a).</w:t>
      </w:r>
      <w:r>
        <w:t xml:space="preserve"> </w:t>
      </w:r>
      <w:r>
        <w:rPr>
          <w:iCs/>
          <w:i/>
        </w:rPr>
        <w:t xml:space="preserve">ggpubr:</w:t>
      </w:r>
      <w:r>
        <w:rPr>
          <w:iCs/>
          <w:i/>
        </w:rPr>
        <w:t xml:space="preserve"> </w:t>
      </w:r>
      <w:r>
        <w:rPr>
          <w:iCs/>
          <w:i/>
        </w:rPr>
        <w:t xml:space="preserve">“ggplot2”</w:t>
      </w:r>
      <w:r>
        <w:rPr>
          <w:iCs/>
          <w:i/>
        </w:rPr>
        <w:t xml:space="preserve"> </w:t>
      </w:r>
      <w:r>
        <w:rPr>
          <w:iCs/>
          <w:i/>
        </w:rPr>
        <w:t xml:space="preserve">Based Publication Ready Plots</w:t>
      </w:r>
      <w:r>
        <w:t xml:space="preserve"> </w:t>
      </w:r>
      <w:r>
        <w:t xml:space="preserve">(R package version 0.6.0) [Computer software].</w:t>
      </w:r>
      <w:r>
        <w:t xml:space="preserve"> </w:t>
      </w:r>
      <w:hyperlink r:id="rId114">
        <w:r>
          <w:rPr>
            <w:rStyle w:val="Hyperlink"/>
          </w:rPr>
          <w:t xml:space="preserve">https://rpkgs.datanovia.com/ggpubr/</w:t>
        </w:r>
      </w:hyperlink>
    </w:p>
    <w:bookmarkEnd w:id="115"/>
    <w:bookmarkStart w:id="117" w:name="ref-kassambara2023"/>
    <w:p>
      <w:pPr>
        <w:pStyle w:val="Bibliography"/>
      </w:pPr>
      <w:r>
        <w:t xml:space="preserve">Kassambara, A. (2023b).</w:t>
      </w:r>
      <w:r>
        <w:t xml:space="preserve"> </w:t>
      </w:r>
      <w:r>
        <w:rPr>
          <w:iCs/>
          <w:i/>
        </w:rPr>
        <w:t xml:space="preserve">rstatix: Pipe-Friendly Framework for Basic Statistical Tests</w:t>
      </w:r>
      <w:r>
        <w:t xml:space="preserve"> </w:t>
      </w:r>
      <w:r>
        <w:t xml:space="preserve">(R package version 0.7.2) [Computer software].</w:t>
      </w:r>
      <w:r>
        <w:t xml:space="preserve"> </w:t>
      </w:r>
      <w:hyperlink r:id="rId116">
        <w:r>
          <w:rPr>
            <w:rStyle w:val="Hyperlink"/>
          </w:rPr>
          <w:t xml:space="preserve">https://rpkgs.datanovia.com/rstatix/</w:t>
        </w:r>
      </w:hyperlink>
    </w:p>
    <w:bookmarkEnd w:id="117"/>
    <w:bookmarkStart w:id="119" w:name="ref-kitajima2013"/>
    <w:p>
      <w:pPr>
        <w:pStyle w:val="Bibliography"/>
      </w:pPr>
      <w:r>
        <w:t xml:space="preserve">Kitajima, K., Cordero, R. A., &amp; Wright, S. J. (2013). Leaf life span spectrum of tropical woody seedlings: Effects 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18">
        <w:r>
          <w:rPr>
            <w:rStyle w:val="Hyperlink"/>
          </w:rPr>
          <w:t xml:space="preserve">https://doi.org/10.1093/aob/mct036</w:t>
        </w:r>
      </w:hyperlink>
    </w:p>
    <w:bookmarkEnd w:id="119"/>
    <w:bookmarkStart w:id="121" w:name="ref-kitajima2012"/>
    <w:p>
      <w:pPr>
        <w:pStyle w:val="Bibliography"/>
      </w:pPr>
      <w:r>
        <w:t xml:space="preserve">Kitajima, K., Llorens, A., Stefanescu, C., Timchenko, M. V., Lucas, P. W., &amp; Wright, S. J. (2012). How cellulose‐based leaf toughness and lamina density contribute to long leaf lifespans of shade‐tolerant species.</w:t>
      </w:r>
      <w:r>
        <w:t xml:space="preserve"> </w:t>
      </w:r>
      <w:r>
        <w:rPr>
          <w:iCs/>
          <w:i/>
        </w:rPr>
        <w:t xml:space="preserve">New Phytologist</w:t>
      </w:r>
      <w:r>
        <w:t xml:space="preserve">,</w:t>
      </w:r>
      <w:r>
        <w:t xml:space="preserve"> </w:t>
      </w:r>
      <w:r>
        <w:rPr>
          <w:iCs/>
          <w:i/>
        </w:rPr>
        <w:t xml:space="preserve">195</w:t>
      </w:r>
      <w:r>
        <w:t xml:space="preserve">(3), 640–652.</w:t>
      </w:r>
      <w:r>
        <w:t xml:space="preserve"> </w:t>
      </w:r>
      <w:hyperlink r:id="rId120">
        <w:r>
          <w:rPr>
            <w:rStyle w:val="Hyperlink"/>
          </w:rPr>
          <w:t xml:space="preserve">https://doi.org/10.1111/j.1469-8137.2012.04203.x</w:t>
        </w:r>
      </w:hyperlink>
    </w:p>
    <w:bookmarkEnd w:id="121"/>
    <w:bookmarkStart w:id="123" w:name="ref-kress2009"/>
    <w:p>
      <w:pPr>
        <w:pStyle w:val="Bibliography"/>
      </w:pPr>
      <w:r>
        <w:t xml:space="preserve">Kress, W. J., Erickson, D. L., Jones, F. A., Swenson, N. G., Perez, R., Sanjur, O., &amp; Bermingham, E. (2009). Plant DNA barcodes and a community phylogeny of a tropical forest dynamics plot in Panama.</w:t>
      </w:r>
      <w:r>
        <w:t xml:space="preserve"> </w:t>
      </w:r>
      <w:r>
        <w:rPr>
          <w:iCs/>
          <w:i/>
        </w:rPr>
        <w:t xml:space="preserve">Proceedings of the National Academy of Sciences</w:t>
      </w:r>
      <w:r>
        <w:t xml:space="preserve">,</w:t>
      </w:r>
      <w:r>
        <w:t xml:space="preserve"> </w:t>
      </w:r>
      <w:r>
        <w:rPr>
          <w:iCs/>
          <w:i/>
        </w:rPr>
        <w:t xml:space="preserve">106</w:t>
      </w:r>
      <w:r>
        <w:t xml:space="preserve">(44), 18621–18626.</w:t>
      </w:r>
      <w:r>
        <w:t xml:space="preserve"> </w:t>
      </w:r>
      <w:hyperlink r:id="rId122">
        <w:r>
          <w:rPr>
            <w:rStyle w:val="Hyperlink"/>
          </w:rPr>
          <w:t xml:space="preserve">https://doi.org/10.1073/pnas.0909820106</w:t>
        </w:r>
      </w:hyperlink>
    </w:p>
    <w:bookmarkEnd w:id="123"/>
    <w:bookmarkStart w:id="125" w:name="ref-leakey2012"/>
    <w:p>
      <w:pPr>
        <w:pStyle w:val="Bibliography"/>
      </w:pPr>
      <w:r>
        <w:t xml:space="preserve">Leakey, A. D. B., &amp; Lau, J. A. (2012). Evolutionary context for understanding and manipulating plant responses to past, present and future atmospheric [CO</w:t>
      </w:r>
      <w:r>
        <w:t xml:space="preserve"> </w:t>
      </w:r>
      <w:r>
        <w:rPr>
          <w:vertAlign w:val="subscript"/>
        </w:rPr>
        <w:t xml:space="preserve">2</w:t>
      </w:r>
      <w:r>
        <w:t xml:space="preserve"> </w:t>
      </w:r>
      <w:r>
        <w:t xml:space="preserve">].</w:t>
      </w:r>
      <w:r>
        <w:t xml:space="preserve"> </w:t>
      </w:r>
      <w:r>
        <w:rPr>
          <w:iCs/>
          <w:i/>
        </w:rPr>
        <w:t xml:space="preserve">Philosophical Transactions of the Royal Society B: Biological Sciences</w:t>
      </w:r>
      <w:r>
        <w:t xml:space="preserve">,</w:t>
      </w:r>
      <w:r>
        <w:t xml:space="preserve"> </w:t>
      </w:r>
      <w:r>
        <w:rPr>
          <w:iCs/>
          <w:i/>
        </w:rPr>
        <w:t xml:space="preserve">367</w:t>
      </w:r>
      <w:r>
        <w:t xml:space="preserve">(1588), 613–629.</w:t>
      </w:r>
      <w:r>
        <w:t xml:space="preserve"> </w:t>
      </w:r>
      <w:hyperlink r:id="rId124">
        <w:r>
          <w:rPr>
            <w:rStyle w:val="Hyperlink"/>
          </w:rPr>
          <w:t xml:space="preserve">https://doi.org/10.1098/rstb.2011.0248</w:t>
        </w:r>
      </w:hyperlink>
    </w:p>
    <w:bookmarkEnd w:id="125"/>
    <w:bookmarkStart w:id="127" w:name="ref-legendre1999"/>
    <w:p>
      <w:pPr>
        <w:pStyle w:val="Bibliography"/>
      </w:pPr>
      <w:r>
        <w:t xml:space="preserve">Legendre, P., &amp; Anderson, M. J. (1999). Distance-based redundancy analysis: Testing 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26">
        <w:r>
          <w:rPr>
            <w:rStyle w:val="Hyperlink"/>
          </w:rPr>
          <w:t xml:space="preserve">https://doi.org/10.1890/0012-9615(1999)069[0001:DBRATM]2.0.CO;2</w:t>
        </w:r>
      </w:hyperlink>
    </w:p>
    <w:bookmarkEnd w:id="127"/>
    <w:bookmarkStart w:id="128" w:name="ref-legendre2012"/>
    <w:p>
      <w:pPr>
        <w:pStyle w:val="Bibliography"/>
      </w:pPr>
      <w:r>
        <w:t xml:space="preserve">Legendre, P., &amp; Legendre, L. (2012).</w:t>
      </w:r>
      <w:r>
        <w:t xml:space="preserve"> </w:t>
      </w:r>
      <w:r>
        <w:rPr>
          <w:iCs/>
          <w:i/>
        </w:rPr>
        <w:t xml:space="preserve">Numerical ecology</w:t>
      </w:r>
      <w:r>
        <w:t xml:space="preserve"> </w:t>
      </w:r>
      <w:r>
        <w:t xml:space="preserve">(24; 3d English edition). Elsevier.</w:t>
      </w:r>
    </w:p>
    <w:bookmarkEnd w:id="128"/>
    <w:bookmarkStart w:id="130"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29">
        <w:r>
          <w:rPr>
            <w:rStyle w:val="Hyperlink"/>
          </w:rPr>
          <w:t xml:space="preserve">https://doi.org/10.1111/j.2041-210X.2010.00078.x</w:t>
        </w:r>
      </w:hyperlink>
    </w:p>
    <w:bookmarkEnd w:id="130"/>
    <w:bookmarkStart w:id="131" w:name="ref-leigh1996"/>
    <w:p>
      <w:pPr>
        <w:pStyle w:val="Bibliography"/>
      </w:pPr>
      <w:r>
        <w:t xml:space="preserve">Leigh, E. G., Rand, A. S., Windsor, D. M., &amp; Smithsonian Tropical Research Institute (Eds.). (1996).</w:t>
      </w:r>
      <w:r>
        <w:t xml:space="preserve"> </w:t>
      </w:r>
      <w:r>
        <w:rPr>
          <w:iCs/>
          <w:i/>
        </w:rPr>
        <w:t xml:space="preserve">The ecology of a tropical forest: seasonal rhythms and long-term changes</w:t>
      </w:r>
      <w:r>
        <w:t xml:space="preserve"> </w:t>
      </w:r>
      <w:r>
        <w:t xml:space="preserve">(2nd ed). Smithsonian Institution Press.</w:t>
      </w:r>
    </w:p>
    <w:bookmarkEnd w:id="131"/>
    <w:bookmarkStart w:id="133" w:name="ref-li2022"/>
    <w:p>
      <w:pPr>
        <w:pStyle w:val="Bibliography"/>
      </w:pPr>
      <w:r>
        <w:t xml:space="preserve">Li, J., Wingfield, M. J., Barnes, I., &amp; Chen, S. (2022).</w:t>
      </w:r>
      <w:r>
        <w:t xml:space="preserve"> </w:t>
      </w:r>
      <w:r>
        <w:rPr>
          <w:iCs/>
          <w:i/>
        </w:rPr>
        <w:t xml:space="preserve">Calonectria</w:t>
      </w:r>
      <w:r>
        <w:t xml:space="preserve"> </w:t>
      </w:r>
      <w:r>
        <w:t xml:space="preserve">in the age of genes and genomes: Towards understanding an important but relatively unknown group of pathogens.</w:t>
      </w:r>
      <w:r>
        <w:t xml:space="preserve"> </w:t>
      </w:r>
      <w:r>
        <w:rPr>
          <w:iCs/>
          <w:i/>
        </w:rPr>
        <w:t xml:space="preserve">Molecular Plant Pathology</w:t>
      </w:r>
      <w:r>
        <w:t xml:space="preserve">,</w:t>
      </w:r>
      <w:r>
        <w:t xml:space="preserve"> </w:t>
      </w:r>
      <w:r>
        <w:rPr>
          <w:iCs/>
          <w:i/>
        </w:rPr>
        <w:t xml:space="preserve">23</w:t>
      </w:r>
      <w:r>
        <w:t xml:space="preserve">(7), 1060–1072.</w:t>
      </w:r>
      <w:r>
        <w:t xml:space="preserve"> </w:t>
      </w:r>
      <w:hyperlink r:id="rId132">
        <w:r>
          <w:rPr>
            <w:rStyle w:val="Hyperlink"/>
          </w:rPr>
          <w:t xml:space="preserve">https://doi.org/10.1111/mpp.13209</w:t>
        </w:r>
      </w:hyperlink>
    </w:p>
    <w:bookmarkEnd w:id="133"/>
    <w:bookmarkStart w:id="135" w:name="ref-lombard2010"/>
    <w:p>
      <w:pPr>
        <w:pStyle w:val="Bibliography"/>
      </w:pPr>
      <w:r>
        <w:t xml:space="preserve">Lombard, L., Crous, P. W., Wingfield, B. D., &amp; Wingfield, M. J. (2010). Species concepts in Calonectria (Cylindrocladium).</w:t>
      </w:r>
      <w:r>
        <w:t xml:space="preserve"> </w:t>
      </w:r>
      <w:r>
        <w:rPr>
          <w:iCs/>
          <w:i/>
        </w:rPr>
        <w:t xml:space="preserve">Studies in Mycology</w:t>
      </w:r>
      <w:r>
        <w:t xml:space="preserve">,</w:t>
      </w:r>
      <w:r>
        <w:t xml:space="preserve"> </w:t>
      </w:r>
      <w:r>
        <w:rPr>
          <w:iCs/>
          <w:i/>
        </w:rPr>
        <w:t xml:space="preserve">66</w:t>
      </w:r>
      <w:r>
        <w:t xml:space="preserve">, 1–13.</w:t>
      </w:r>
      <w:r>
        <w:t xml:space="preserve"> </w:t>
      </w:r>
      <w:hyperlink r:id="rId134">
        <w:r>
          <w:rPr>
            <w:rStyle w:val="Hyperlink"/>
          </w:rPr>
          <w:t xml:space="preserve">https://doi.org/10.3114/sim.2010.66.01</w:t>
        </w:r>
      </w:hyperlink>
    </w:p>
    <w:bookmarkEnd w:id="135"/>
    <w:bookmarkStart w:id="137" w:name="ref-mason2015"/>
    <w:p>
      <w:pPr>
        <w:pStyle w:val="Bibliography"/>
      </w:pPr>
      <w:r>
        <w:t xml:space="preserve">Mason, C. M., &amp; Donovan, L. A. (2015). Does investment in leaf defenses drive changes in leaf economic strategy? A 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36">
        <w:r>
          <w:rPr>
            <w:rStyle w:val="Hyperlink"/>
          </w:rPr>
          <w:t xml:space="preserve">https://doi.org/10.1007/s00442-014-3177-2</w:t>
        </w:r>
      </w:hyperlink>
    </w:p>
    <w:bookmarkEnd w:id="137"/>
    <w:bookmarkStart w:id="139" w:name="ref-mcardle2001"/>
    <w:p>
      <w:pPr>
        <w:pStyle w:val="Bibliography"/>
      </w:pPr>
      <w:r>
        <w:t xml:space="preserve">McArdle, B. H., &amp; Anderson, M. J. (2001). Fitting Multivariate Models to Community Data: a Comment on Distance-Based Redundancy Analysis.</w:t>
      </w:r>
      <w:r>
        <w:t xml:space="preserve"> </w:t>
      </w:r>
      <w:r>
        <w:rPr>
          <w:iCs/>
          <w:i/>
        </w:rPr>
        <w:t xml:space="preserve">Ecology</w:t>
      </w:r>
      <w:r>
        <w:t xml:space="preserve">,</w:t>
      </w:r>
      <w:r>
        <w:t xml:space="preserve"> </w:t>
      </w:r>
      <w:r>
        <w:rPr>
          <w:iCs/>
          <w:i/>
        </w:rPr>
        <w:t xml:space="preserve">82</w:t>
      </w:r>
      <w:r>
        <w:t xml:space="preserve">(1), 290–297.</w:t>
      </w:r>
      <w:r>
        <w:t xml:space="preserve"> </w:t>
      </w:r>
      <w:hyperlink r:id="rId138">
        <w:r>
          <w:rPr>
            <w:rStyle w:val="Hyperlink"/>
          </w:rPr>
          <w:t xml:space="preserve">https://doi.org/10.1890/0012-9658(2001)082[0290:FMMTCD]2.0.CO;2</w:t>
        </w:r>
      </w:hyperlink>
    </w:p>
    <w:bookmarkEnd w:id="139"/>
    <w:bookmarkStart w:id="141" w:name="ref-mcgill2006"/>
    <w:p>
      <w:pPr>
        <w:pStyle w:val="Bibliography"/>
      </w:pPr>
      <w:r>
        <w:t xml:space="preserve">McGill, B. J., Enquist, B. J., Weiher, E., &amp; Westoby, M. (2006). Rebuilding community ecology from functional traits.</w:t>
      </w:r>
      <w:r>
        <w:t xml:space="preserve"> </w:t>
      </w:r>
      <w:r>
        <w:rPr>
          <w:iCs/>
          <w:i/>
        </w:rPr>
        <w:t xml:space="preserve">Trends in Ecology and Evolution</w:t>
      </w:r>
      <w:r>
        <w:t xml:space="preserve">,</w:t>
      </w:r>
      <w:r>
        <w:t xml:space="preserve"> </w:t>
      </w:r>
      <w:r>
        <w:rPr>
          <w:iCs/>
          <w:i/>
        </w:rPr>
        <w:t xml:space="preserve">21</w:t>
      </w:r>
      <w:r>
        <w:t xml:space="preserve">(4), 178–185.</w:t>
      </w:r>
      <w:r>
        <w:t xml:space="preserve"> </w:t>
      </w:r>
      <w:hyperlink r:id="rId140">
        <w:r>
          <w:rPr>
            <w:rStyle w:val="Hyperlink"/>
          </w:rPr>
          <w:t xml:space="preserve">https://doi.org/10.1016/j.tree.2006.02.002</w:t>
        </w:r>
      </w:hyperlink>
    </w:p>
    <w:bookmarkEnd w:id="141"/>
    <w:bookmarkStart w:id="143" w:name="ref-mcmurdie2013"/>
    <w:p>
      <w:pPr>
        <w:pStyle w:val="Bibliography"/>
      </w:pPr>
      <w:r>
        <w:t xml:space="preserve">McMurdie, P. J., &amp; Holmes, S. (2013). Phyloseq: An R Package for Reproducible Interactive Analysis and Graphics of Microbiome Census Data.</w:t>
      </w:r>
      <w:r>
        <w:t xml:space="preserve"> </w:t>
      </w:r>
      <w:r>
        <w:rPr>
          <w:iCs/>
          <w:i/>
        </w:rPr>
        <w:t xml:space="preserve">PLoS ONE</w:t>
      </w:r>
      <w:r>
        <w:t xml:space="preserve">,</w:t>
      </w:r>
      <w:r>
        <w:t xml:space="preserve"> </w:t>
      </w:r>
      <w:r>
        <w:rPr>
          <w:iCs/>
          <w:i/>
        </w:rPr>
        <w:t xml:space="preserve">8</w:t>
      </w:r>
      <w:r>
        <w:t xml:space="preserve">(4), e61217.</w:t>
      </w:r>
      <w:r>
        <w:t xml:space="preserve"> </w:t>
      </w:r>
      <w:hyperlink r:id="rId142">
        <w:r>
          <w:rPr>
            <w:rStyle w:val="Hyperlink"/>
          </w:rPr>
          <w:t xml:space="preserve">https://doi.org/10.1371/journal.pone.0061217</w:t>
        </w:r>
      </w:hyperlink>
    </w:p>
    <w:bookmarkEnd w:id="143"/>
    <w:bookmarkStart w:id="145"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(SEP), 1–16.</w:t>
      </w:r>
      <w:r>
        <w:t xml:space="preserve"> </w:t>
      </w:r>
      <w:hyperlink r:id="rId144">
        <w:r>
          <w:rPr>
            <w:rStyle w:val="Hyperlink"/>
          </w:rPr>
          <w:t xml:space="preserve">https://doi.org/10.3389/fmicb.2014.00479</w:t>
        </w:r>
      </w:hyperlink>
    </w:p>
    <w:bookmarkEnd w:id="145"/>
    <w:bookmarkStart w:id="147" w:name="ref-mejia2008"/>
    <w:p>
      <w:pPr>
        <w:pStyle w:val="Bibliography"/>
      </w:pPr>
      <w:r>
        <w:t xml:space="preserve">Mejía, L. C., Rojas, E. I., Maynard, Z., Bael, S. V., Arnold, A. E., Hebbar, P., Samuels, G. J., Robbins, N., &amp; Herre, E. A. (2008). Endophytic fungi as biocontrol agents of</w:t>
      </w:r>
      <w:r>
        <w:t xml:space="preserve"> </w:t>
      </w:r>
      <w:r>
        <w:rPr>
          <w:iCs/>
          <w:i/>
        </w:rPr>
        <w:t xml:space="preserve">Theobroma cacao</w:t>
      </w:r>
      <w:r>
        <w:t xml:space="preserve"> </w:t>
      </w:r>
      <w:r>
        <w:t xml:space="preserve">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46">
        <w:r>
          <w:rPr>
            <w:rStyle w:val="Hyperlink"/>
          </w:rPr>
          <w:t xml:space="preserve">https://doi.org/10.1016/j.biocontrol.2008.01.012</w:t>
        </w:r>
      </w:hyperlink>
    </w:p>
    <w:bookmarkEnd w:id="147"/>
    <w:bookmarkStart w:id="149" w:name="ref-minh2020"/>
    <w:p>
      <w:pPr>
        <w:pStyle w:val="Bibliography"/>
      </w:pPr>
      <w:r>
        <w:t xml:space="preserve">Minh, B. Q., Schmidt, H. A., Chernomor, O., Schrempf, D., Woodhams, M. D., Von Haeseler, A., &amp; Lanfear, R. (2020). IQ-TREE 2: New Models and Efficient Methods for Phylogenetic Inference in the Genomic Era.</w:t>
      </w:r>
      <w:r>
        <w:t xml:space="preserve"> </w:t>
      </w:r>
      <w:r>
        <w:rPr>
          <w:iCs/>
          <w:i/>
        </w:rPr>
        <w:t xml:space="preserve">Molecular Biology and Evolution</w:t>
      </w:r>
      <w:r>
        <w:t xml:space="preserve">,</w:t>
      </w:r>
      <w:r>
        <w:t xml:space="preserve"> </w:t>
      </w:r>
      <w:r>
        <w:rPr>
          <w:iCs/>
          <w:i/>
        </w:rPr>
        <w:t xml:space="preserve">37</w:t>
      </w:r>
      <w:r>
        <w:t xml:space="preserve">(5), 1530–1534.</w:t>
      </w:r>
      <w:r>
        <w:t xml:space="preserve"> </w:t>
      </w:r>
      <w:hyperlink r:id="rId148">
        <w:r>
          <w:rPr>
            <w:rStyle w:val="Hyperlink"/>
          </w:rPr>
          <w:t xml:space="preserve">https://doi.org/10.1093/molbev/msaa015</w:t>
        </w:r>
      </w:hyperlink>
    </w:p>
    <w:bookmarkEnd w:id="149"/>
    <w:bookmarkStart w:id="151" w:name="ref-mock2023"/>
    <w:p>
      <w:pPr>
        <w:pStyle w:val="Bibliography"/>
      </w:pPr>
      <w:r>
        <w:t xml:space="preserve">Mock, T. (2023).</w:t>
      </w:r>
      <w:r>
        <w:t xml:space="preserve"> </w:t>
      </w:r>
      <w:r>
        <w:rPr>
          <w:iCs/>
          <w:i/>
        </w:rPr>
        <w:t xml:space="preserve">gtExtras: Extending</w:t>
      </w:r>
      <w:r>
        <w:rPr>
          <w:iCs/>
          <w:i/>
        </w:rPr>
        <w:t xml:space="preserve"> </w:t>
      </w:r>
      <w:r>
        <w:rPr>
          <w:iCs/>
          <w:i/>
        </w:rPr>
        <w:t xml:space="preserve">“gt”</w:t>
      </w:r>
      <w:r>
        <w:rPr>
          <w:iCs/>
          <w:i/>
        </w:rPr>
        <w:t xml:space="preserve"> </w:t>
      </w:r>
      <w:r>
        <w:rPr>
          <w:iCs/>
          <w:i/>
        </w:rPr>
        <w:t xml:space="preserve">for beautiful HTML tables</w:t>
      </w:r>
      <w:r>
        <w:t xml:space="preserve"> </w:t>
      </w:r>
      <w:r>
        <w:t xml:space="preserve">[Manual].</w:t>
      </w:r>
      <w:r>
        <w:t xml:space="preserve"> </w:t>
      </w:r>
      <w:hyperlink r:id="rId150">
        <w:r>
          <w:rPr>
            <w:rStyle w:val="Hyperlink"/>
          </w:rPr>
          <w:t xml:space="preserve">https://CRAN.R-project.org/package=gtExtras</w:t>
        </w:r>
      </w:hyperlink>
    </w:p>
    <w:bookmarkEnd w:id="151"/>
    <w:bookmarkStart w:id="153" w:name="ref-niklas2023"/>
    <w:p>
      <w:pPr>
        <w:pStyle w:val="Bibliography"/>
      </w:pPr>
      <w:r>
        <w:t xml:space="preserve">Niklas, K. J., Shi, P., Gielis, J., Schrader, J., &amp; Niinemets, Ü. (2023). Editorial: Leaf functional traits: Ecological and evolutionary implications.</w:t>
      </w:r>
      <w:r>
        <w:t xml:space="preserve"> </w:t>
      </w:r>
      <w:r>
        <w:rPr>
          <w:iCs/>
          <w:i/>
        </w:rPr>
        <w:t xml:space="preserve">Frontiers in Plant Science</w:t>
      </w:r>
      <w:r>
        <w:t xml:space="preserve">,</w:t>
      </w:r>
      <w:r>
        <w:t xml:space="preserve"> </w:t>
      </w:r>
      <w:r>
        <w:rPr>
          <w:iCs/>
          <w:i/>
        </w:rPr>
        <w:t xml:space="preserve">14</w:t>
      </w:r>
      <w:r>
        <w:t xml:space="preserve">, 1169558.</w:t>
      </w:r>
      <w:r>
        <w:t xml:space="preserve"> </w:t>
      </w:r>
      <w:hyperlink r:id="rId152">
        <w:r>
          <w:rPr>
            <w:rStyle w:val="Hyperlink"/>
          </w:rPr>
          <w:t xml:space="preserve">https://doi.org/10.3389/fpls.2023.1169558</w:t>
        </w:r>
      </w:hyperlink>
    </w:p>
    <w:bookmarkEnd w:id="153"/>
    <w:bookmarkStart w:id="155"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54">
        <w:r>
          <w:rPr>
            <w:rStyle w:val="Hyperlink"/>
          </w:rPr>
          <w:t xml:space="preserve">https://doi.org/10.1038/s42003-021-01826-7</w:t>
        </w:r>
      </w:hyperlink>
    </w:p>
    <w:bookmarkEnd w:id="155"/>
    <w:bookmarkStart w:id="157"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 Community Ecology Package</w:t>
      </w:r>
      <w:r>
        <w:t xml:space="preserve">.</w:t>
      </w:r>
      <w:r>
        <w:t xml:space="preserve"> </w:t>
      </w:r>
      <w:hyperlink r:id="rId156">
        <w:r>
          <w:rPr>
            <w:rStyle w:val="Hyperlink"/>
          </w:rPr>
          <w:t xml:space="preserve">https://github.com/vegandevs/vegan</w:t>
        </w:r>
      </w:hyperlink>
    </w:p>
    <w:bookmarkEnd w:id="157"/>
    <w:bookmarkStart w:id="159" w:name="ref-paradis2019"/>
    <w:p>
      <w:pPr>
        <w:pStyle w:val="Bibliography"/>
      </w:pPr>
      <w:r>
        <w:t xml:space="preserve">Paradis, E., &amp; Schliep, K. (2019). ape 5.0: An environment for modern phylogenetics and evolutionary analyses in R.</w:t>
      </w:r>
      <w:r>
        <w:t xml:space="preserve"> </w:t>
      </w:r>
      <w:r>
        <w:rPr>
          <w:iCs/>
          <w:i/>
        </w:rPr>
        <w:t xml:space="preserve">Bioinformatics (Oxford, England)</w:t>
      </w:r>
      <w:r>
        <w:t xml:space="preserve">,</w:t>
      </w:r>
      <w:r>
        <w:t xml:space="preserve"> </w:t>
      </w:r>
      <w:r>
        <w:rPr>
          <w:iCs/>
          <w:i/>
        </w:rPr>
        <w:t xml:space="preserve">35</w:t>
      </w:r>
      <w:r>
        <w:t xml:space="preserve">, 526–528.</w:t>
      </w:r>
      <w:r>
        <w:t xml:space="preserve"> </w:t>
      </w:r>
      <w:hyperlink r:id="rId158">
        <w:r>
          <w:rPr>
            <w:rStyle w:val="Hyperlink"/>
          </w:rPr>
          <w:t xml:space="preserve">https://doi.org/10.1093/bioinformatics/bty633</w:t>
        </w:r>
      </w:hyperlink>
    </w:p>
    <w:bookmarkEnd w:id="159"/>
    <w:bookmarkStart w:id="161" w:name="ref-pinheiro2000"/>
    <w:p>
      <w:pPr>
        <w:pStyle w:val="Bibliography"/>
      </w:pPr>
      <w:r>
        <w:t xml:space="preserve">Pinheiro, J. C., &amp; Bates, D. M. (2000).</w:t>
      </w:r>
      <w:r>
        <w:t xml:space="preserve"> </w:t>
      </w:r>
      <w:r>
        <w:rPr>
          <w:iCs/>
          <w:i/>
        </w:rPr>
        <w:t xml:space="preserve">Mixed-Effects Models in S and S-PLUS</w:t>
      </w:r>
      <w:r>
        <w:t xml:space="preserve">. Springer.</w:t>
      </w:r>
      <w:r>
        <w:t xml:space="preserve"> </w:t>
      </w:r>
      <w:hyperlink r:id="rId160">
        <w:r>
          <w:rPr>
            <w:rStyle w:val="Hyperlink"/>
          </w:rPr>
          <w:t xml:space="preserve">https://doi.org/10.1007/b98882</w:t>
        </w:r>
      </w:hyperlink>
    </w:p>
    <w:bookmarkEnd w:id="161"/>
    <w:bookmarkStart w:id="163" w:name="ref-pinheiro2023"/>
    <w:p>
      <w:pPr>
        <w:pStyle w:val="Bibliography"/>
      </w:pPr>
      <w:r>
        <w:t xml:space="preserve">Pinheiro, J., Bates, D., &amp; R Core Team. (2023).</w:t>
      </w:r>
      <w:r>
        <w:t xml:space="preserve"> </w:t>
      </w:r>
      <w:r>
        <w:rPr>
          <w:iCs/>
          <w:i/>
        </w:rPr>
        <w:t xml:space="preserve">nlme: Linear and nonlinear mixed effects models</w:t>
      </w:r>
      <w:r>
        <w:t xml:space="preserve"> </w:t>
      </w:r>
      <w:r>
        <w:t xml:space="preserve">[Manual].</w:t>
      </w:r>
      <w:r>
        <w:t xml:space="preserve"> </w:t>
      </w:r>
      <w:hyperlink r:id="rId162">
        <w:r>
          <w:rPr>
            <w:rStyle w:val="Hyperlink"/>
          </w:rPr>
          <w:t xml:space="preserve">https://CRAN.R-project.org/package=nlme</w:t>
        </w:r>
      </w:hyperlink>
    </w:p>
    <w:bookmarkEnd w:id="163"/>
    <w:bookmarkStart w:id="165" w:name="ref-poorter2006"/>
    <w:p>
      <w:pPr>
        <w:pStyle w:val="Bibliography"/>
      </w:pPr>
      <w:r>
        <w:t xml:space="preserve">Poorter, L., &amp; Bongers, F. (2006). Leaf Traits Are Good Predictors of Plant Performance Across 53 Rain Forest Species.</w:t>
      </w:r>
      <w:r>
        <w:t xml:space="preserve"> </w:t>
      </w:r>
      <w:r>
        <w:rPr>
          <w:iCs/>
          <w:i/>
        </w:rPr>
        <w:t xml:space="preserve">Ecology</w:t>
      </w:r>
      <w:r>
        <w:t xml:space="preserve">,</w:t>
      </w:r>
      <w:r>
        <w:t xml:space="preserve"> </w:t>
      </w:r>
      <w:r>
        <w:rPr>
          <w:iCs/>
          <w:i/>
        </w:rPr>
        <w:t xml:space="preserve">87</w:t>
      </w:r>
      <w:r>
        <w:t xml:space="preserve">(7), 1733–1743.</w:t>
      </w:r>
      <w:r>
        <w:t xml:space="preserve"> </w:t>
      </w:r>
      <w:hyperlink r:id="rId164">
        <w:r>
          <w:rPr>
            <w:rStyle w:val="Hyperlink"/>
          </w:rPr>
          <w:t xml:space="preserve">https://doi.org/10.1890/0012-9658(2006)87[1733:LTAGPO]2.0.CO;2</w:t>
        </w:r>
      </w:hyperlink>
    </w:p>
    <w:bookmarkEnd w:id="165"/>
    <w:bookmarkStart w:id="167" w:name="ref-porras-alfaro2011"/>
    <w:p>
      <w:pPr>
        <w:pStyle w:val="Bibliography"/>
      </w:pPr>
      <w:r>
        <w:t xml:space="preserve">Porras-Alfaro, A., &amp; Bayman, P. (2011). Hidden Fungi, Emergent Properties: Endophytes and Microbiomes.</w:t>
      </w:r>
      <w:r>
        <w:t xml:space="preserve"> </w:t>
      </w:r>
      <w:r>
        <w:rPr>
          <w:iCs/>
          <w:i/>
        </w:rPr>
        <w:t xml:space="preserve">Annual Review of Phytopathology</w:t>
      </w:r>
      <w:r>
        <w:t xml:space="preserve">,</w:t>
      </w:r>
      <w:r>
        <w:t xml:space="preserve"> </w:t>
      </w:r>
      <w:r>
        <w:rPr>
          <w:iCs/>
          <w:i/>
        </w:rPr>
        <w:t xml:space="preserve">49</w:t>
      </w:r>
      <w:r>
        <w:t xml:space="preserve">(1), 291–315.</w:t>
      </w:r>
      <w:r>
        <w:t xml:space="preserve"> </w:t>
      </w:r>
      <w:hyperlink r:id="rId166">
        <w:r>
          <w:rPr>
            <w:rStyle w:val="Hyperlink"/>
          </w:rPr>
          <w:t xml:space="preserve">https://doi.org/10.1146/annurev-phyto-080508-081831</w:t>
        </w:r>
      </w:hyperlink>
    </w:p>
    <w:bookmarkEnd w:id="167"/>
    <w:bookmarkStart w:id="169" w:name="ref-rcoreteam2024"/>
    <w:p>
      <w:pPr>
        <w:pStyle w:val="Bibliography"/>
      </w:pPr>
      <w:r>
        <w:t xml:space="preserve">R Core Team. (2024).</w:t>
      </w:r>
      <w:r>
        <w:t xml:space="preserve"> </w:t>
      </w:r>
      <w:r>
        <w:rPr>
          <w:iCs/>
          <w:i/>
        </w:rPr>
        <w:t xml:space="preserve">R: A language and environment for statistical computing</w:t>
      </w:r>
      <w:r>
        <w:t xml:space="preserve"> </w:t>
      </w:r>
      <w:r>
        <w:t xml:space="preserve">[Manual]. R Foundation for Statistical Computing.</w:t>
      </w:r>
      <w:r>
        <w:t xml:space="preserve"> </w:t>
      </w:r>
      <w:hyperlink r:id="rId168">
        <w:r>
          <w:rPr>
            <w:rStyle w:val="Hyperlink"/>
          </w:rPr>
          <w:t xml:space="preserve">https://www.R-project.org/</w:t>
        </w:r>
      </w:hyperlink>
    </w:p>
    <w:bookmarkEnd w:id="169"/>
    <w:bookmarkStart w:id="171"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 Trojan-horse 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70">
        <w:r>
          <w:rPr>
            <w:rStyle w:val="Hyperlink"/>
          </w:rPr>
          <w:t xml:space="preserve">https://doi.org/10.1098/rsos.160628</w:t>
        </w:r>
      </w:hyperlink>
    </w:p>
    <w:bookmarkEnd w:id="171"/>
    <w:bookmarkStart w:id="173" w:name="ref-rodriguez2009"/>
    <w:p>
      <w:pPr>
        <w:pStyle w:val="Bibliography"/>
      </w:pPr>
      <w:r>
        <w:t xml:space="preserve">Rodriguez, R. J., White, J. F., Arnold, A. E., &amp; Redman, R. S. (2009). Fungal endophytes: Diversity and functional roles.</w:t>
      </w:r>
      <w:r>
        <w:t xml:space="preserve"> </w:t>
      </w:r>
      <w:r>
        <w:rPr>
          <w:iCs/>
          <w:i/>
        </w:rPr>
        <w:t xml:space="preserve">New Phytologist</w:t>
      </w:r>
      <w:r>
        <w:t xml:space="preserve">,</w:t>
      </w:r>
      <w:r>
        <w:t xml:space="preserve"> </w:t>
      </w:r>
      <w:r>
        <w:rPr>
          <w:iCs/>
          <w:i/>
        </w:rPr>
        <w:t xml:space="preserve">182</w:t>
      </w:r>
      <w:r>
        <w:t xml:space="preserve">(2), 314–330.</w:t>
      </w:r>
      <w:r>
        <w:t xml:space="preserve"> </w:t>
      </w:r>
      <w:hyperlink r:id="rId172">
        <w:r>
          <w:rPr>
            <w:rStyle w:val="Hyperlink"/>
          </w:rPr>
          <w:t xml:space="preserve">https://doi.org/10.1111/j.1469-8137.2009.02773.x</w:t>
        </w:r>
      </w:hyperlink>
    </w:p>
    <w:bookmarkEnd w:id="173"/>
    <w:bookmarkStart w:id="175" w:name="ref-rognes2016"/>
    <w:p>
      <w:pPr>
        <w:pStyle w:val="Bibliography"/>
      </w:pPr>
      <w:r>
        <w:t xml:space="preserve">Rognes, T., Flouri, T., Nichols, B., Quince, C., &amp; Mahé, F. (2016). VSEARCH: a versatile open source tool for metagenomics.</w:t>
      </w:r>
      <w:r>
        <w:t xml:space="preserve"> </w:t>
      </w:r>
      <w:r>
        <w:rPr>
          <w:iCs/>
          <w:i/>
        </w:rPr>
        <w:t xml:space="preserve">PeerJ</w:t>
      </w:r>
      <w:r>
        <w:t xml:space="preserve">,</w:t>
      </w:r>
      <w:r>
        <w:t xml:space="preserve"> </w:t>
      </w:r>
      <w:r>
        <w:rPr>
          <w:iCs/>
          <w:i/>
        </w:rPr>
        <w:t xml:space="preserve">4</w:t>
      </w:r>
      <w:r>
        <w:t xml:space="preserve">, e2584.</w:t>
      </w:r>
      <w:r>
        <w:t xml:space="preserve"> </w:t>
      </w:r>
      <w:hyperlink r:id="rId174">
        <w:r>
          <w:rPr>
            <w:rStyle w:val="Hyperlink"/>
          </w:rPr>
          <w:t xml:space="preserve">https://doi.org/10.7717/peerj.2584</w:t>
        </w:r>
      </w:hyperlink>
    </w:p>
    <w:bookmarkEnd w:id="175"/>
    <w:bookmarkStart w:id="177" w:name="ref-sanchez-gonzalez2022"/>
    <w:p>
      <w:pPr>
        <w:pStyle w:val="Bibliography"/>
      </w:pPr>
      <w:r>
        <w:t xml:space="preserve">Sanchez-Gonzalez, E. I., Soares, T. D. P. F., Zarpelon, T. G., Zauza, E. A. V., Mafia, R. G., &amp; Ferreira, M. A. (2022). Two new species of</w:t>
      </w:r>
      <w:r>
        <w:t xml:space="preserve"> </w:t>
      </w:r>
      <w:r>
        <w:rPr>
          <w:iCs/>
          <w:i/>
        </w:rPr>
        <w:t xml:space="preserve">Calonectria</w:t>
      </w:r>
      <w:r>
        <w:t xml:space="preserve"> </w:t>
      </w:r>
      <w:r>
        <w:t xml:space="preserve">(Hypocreales, Nectriaceae) causing Eucalyptus leaf blight in Brazil.</w:t>
      </w:r>
      <w:r>
        <w:t xml:space="preserve"> </w:t>
      </w:r>
      <w:r>
        <w:rPr>
          <w:iCs/>
          <w:i/>
        </w:rPr>
        <w:t xml:space="preserve">MycoKeys</w:t>
      </w:r>
      <w:r>
        <w:t xml:space="preserve">,</w:t>
      </w:r>
      <w:r>
        <w:t xml:space="preserve"> </w:t>
      </w:r>
      <w:r>
        <w:rPr>
          <w:iCs/>
          <w:i/>
        </w:rPr>
        <w:t xml:space="preserve">91</w:t>
      </w:r>
      <w:r>
        <w:t xml:space="preserve">, 169–197.</w:t>
      </w:r>
      <w:r>
        <w:t xml:space="preserve"> </w:t>
      </w:r>
      <w:hyperlink r:id="rId176">
        <w:r>
          <w:rPr>
            <w:rStyle w:val="Hyperlink"/>
          </w:rPr>
          <w:t xml:space="preserve">https://doi.org/10.3897/mycokeys.91.84896</w:t>
        </w:r>
      </w:hyperlink>
    </w:p>
    <w:bookmarkEnd w:id="177"/>
    <w:bookmarkStart w:id="179"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78">
        <w:r>
          <w:rPr>
            <w:rStyle w:val="Hyperlink"/>
          </w:rPr>
          <w:t xml:space="preserve">https://doi.org/10.1073/pnas.1706324114</w:t>
        </w:r>
      </w:hyperlink>
    </w:p>
    <w:bookmarkEnd w:id="179"/>
    <w:bookmarkStart w:id="181"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80">
        <w:r>
          <w:rPr>
            <w:rStyle w:val="Hyperlink"/>
          </w:rPr>
          <w:t xml:space="preserve">https://doi.org/10.1111/j.1752-4571.2010.00141.x</w:t>
        </w:r>
      </w:hyperlink>
    </w:p>
    <w:bookmarkEnd w:id="181"/>
    <w:bookmarkStart w:id="183" w:name="ref-schneider2012"/>
    <w:p>
      <w:pPr>
        <w:pStyle w:val="Bibliography"/>
      </w:pPr>
      <w:r>
        <w:t xml:space="preserve">Schneider, C. A., Rasband, W. S., &amp; Eliceiri, K. W. (2012). NIH Image to ImageJ: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82">
        <w:r>
          <w:rPr>
            <w:rStyle w:val="Hyperlink"/>
          </w:rPr>
          <w:t xml:space="preserve">https://doi.org/10.1038/nmeth.2089</w:t>
        </w:r>
      </w:hyperlink>
    </w:p>
    <w:bookmarkEnd w:id="183"/>
    <w:bookmarkStart w:id="185" w:name="ref-stamp2003"/>
    <w:p>
      <w:pPr>
        <w:pStyle w:val="Bibliography"/>
      </w:pPr>
      <w:r>
        <w:t xml:space="preserve">Stamp, N. (2003). Out of the quagmire of plant defense hypotheses.</w:t>
      </w:r>
      <w:r>
        <w:t xml:space="preserve"> </w:t>
      </w:r>
      <w:r>
        <w:rPr>
          <w:iCs/>
          <w:i/>
        </w:rPr>
        <w:t xml:space="preserve">Quarterly Review of Biology</w:t>
      </w:r>
      <w:r>
        <w:t xml:space="preserve">,</w:t>
      </w:r>
      <w:r>
        <w:t xml:space="preserve"> </w:t>
      </w:r>
      <w:r>
        <w:rPr>
          <w:iCs/>
          <w:i/>
        </w:rPr>
        <w:t xml:space="preserve">78</w:t>
      </w:r>
      <w:r>
        <w:t xml:space="preserve">(1), 23–55.</w:t>
      </w:r>
      <w:r>
        <w:t xml:space="preserve"> </w:t>
      </w:r>
      <w:hyperlink r:id="rId184">
        <w:r>
          <w:rPr>
            <w:rStyle w:val="Hyperlink"/>
          </w:rPr>
          <w:t xml:space="preserve">https://doi.org/10.1086/367580</w:t>
        </w:r>
      </w:hyperlink>
    </w:p>
    <w:bookmarkEnd w:id="185"/>
    <w:bookmarkStart w:id="187"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86">
        <w:r>
          <w:rPr>
            <w:rStyle w:val="Hyperlink"/>
          </w:rPr>
          <w:t xml:space="preserve">https://doi.org/lutzoni</w:t>
        </w:r>
      </w:hyperlink>
    </w:p>
    <w:bookmarkEnd w:id="187"/>
    <w:bookmarkStart w:id="189" w:name="ref-tellezRedCol2016"/>
    <w:p>
      <w:pPr>
        <w:pStyle w:val="Bibliography"/>
      </w:pPr>
      <w:r>
        <w:t xml:space="preserve">Tellez, P. H., Rojas, E., &amp; Van Bael, S. (2016). Red coloration in young tropical leaves associated with reduced fungal pathogen damage.</w:t>
      </w:r>
      <w:r>
        <w:t xml:space="preserve"> </w:t>
      </w:r>
      <w:r>
        <w:rPr>
          <w:iCs/>
          <w:i/>
        </w:rPr>
        <w:t xml:space="preserve">Biotropica</w:t>
      </w:r>
      <w:r>
        <w:t xml:space="preserve">,</w:t>
      </w:r>
      <w:r>
        <w:t xml:space="preserve"> </w:t>
      </w:r>
      <w:r>
        <w:rPr>
          <w:iCs/>
          <w:i/>
        </w:rPr>
        <w:t xml:space="preserve">48</w:t>
      </w:r>
      <w:r>
        <w:t xml:space="preserve">(2), 150–153.</w:t>
      </w:r>
      <w:r>
        <w:t xml:space="preserve"> </w:t>
      </w:r>
      <w:hyperlink r:id="rId188">
        <w:r>
          <w:rPr>
            <w:rStyle w:val="Hyperlink"/>
          </w:rPr>
          <w:t xml:space="preserve">https://doi.org/10.1111/btp.12303</w:t>
        </w:r>
      </w:hyperlink>
    </w:p>
    <w:bookmarkEnd w:id="189"/>
    <w:bookmarkStart w:id="191" w:name="ref-teoh2016"/>
    <w:p>
      <w:pPr>
        <w:pStyle w:val="Bibliography"/>
      </w:pPr>
      <w:r>
        <w:t xml:space="preserve">Teoh, E. S. (2016). Secondary Metabolites of Plants. In E. S. Teoh,</w:t>
      </w:r>
      <w:r>
        <w:t xml:space="preserve"> </w:t>
      </w:r>
      <w:r>
        <w:rPr>
          <w:iCs/>
          <w:i/>
        </w:rPr>
        <w:t xml:space="preserve">Medicinal Orchids of Asia</w:t>
      </w:r>
      <w:r>
        <w:t xml:space="preserve"> </w:t>
      </w:r>
      <w:r>
        <w:t xml:space="preserve">(pp. 59–73). Springer International Publishing.</w:t>
      </w:r>
      <w:r>
        <w:t xml:space="preserve"> </w:t>
      </w:r>
      <w:hyperlink r:id="rId190">
        <w:r>
          <w:rPr>
            <w:rStyle w:val="Hyperlink"/>
          </w:rPr>
          <w:t xml:space="preserve">https://doi.org/10.1007/978-3-319-24274-3_5</w:t>
        </w:r>
      </w:hyperlink>
    </w:p>
    <w:bookmarkEnd w:id="191"/>
    <w:bookmarkStart w:id="193" w:name="ref-uren2017"/>
    <w:p>
      <w:pPr>
        <w:pStyle w:val="Bibliography"/>
      </w:pPr>
      <w:r>
        <w:t xml:space="preserve">U’Ren, J. M., &amp; Arnold, A. E. (2017). 96 well DNA Extraction Protocol for Plant and Lichen Tissue Stored in CTAB.</w:t>
      </w:r>
      <w:r>
        <w:t xml:space="preserve"> </w:t>
      </w:r>
      <w:r>
        <w:rPr>
          <w:iCs/>
          <w:i/>
        </w:rPr>
        <w:t xml:space="preserve">Protocols.io</w:t>
      </w:r>
      <w:r>
        <w:t xml:space="preserve">, 1–5.</w:t>
      </w:r>
      <w:r>
        <w:t xml:space="preserve"> </w:t>
      </w:r>
      <w:hyperlink r:id="rId192">
        <w:r>
          <w:rPr>
            <w:rStyle w:val="Hyperlink"/>
          </w:rPr>
          <w:t xml:space="preserve">https://doi.org/dx.doi.org/10.17504/protocols.io.fscbnaw</w:t>
        </w:r>
      </w:hyperlink>
    </w:p>
    <w:bookmarkEnd w:id="193"/>
    <w:bookmarkStart w:id="195" w:name="ref-uren2019"/>
    <w:p>
      <w:pPr>
        <w:pStyle w:val="Bibliography"/>
      </w:pPr>
      <w:r>
        <w:t xml:space="preserve">U’Ren, J. M., Lutzoni, F., Miadlikowska, J., Zimmerman, N. B., Carbone, I., May, G., &amp; Arnold, A. E. (2019). Host availability drives distributions of fungal endophytes in the imperilled boreal realm.</w:t>
      </w:r>
      <w:r>
        <w:t xml:space="preserve"> </w:t>
      </w:r>
      <w:r>
        <w:rPr>
          <w:iCs/>
          <w:i/>
        </w:rPr>
        <w:t xml:space="preserve">Nature Ecology &amp; Evolution</w:t>
      </w:r>
      <w:r>
        <w:t xml:space="preserve">,</w:t>
      </w:r>
      <w:r>
        <w:t xml:space="preserve"> </w:t>
      </w:r>
      <w:r>
        <w:rPr>
          <w:iCs/>
          <w:i/>
        </w:rPr>
        <w:t xml:space="preserve">3</w:t>
      </w:r>
      <w:r>
        <w:t xml:space="preserve">(10), 1430–1437.</w:t>
      </w:r>
      <w:r>
        <w:t xml:space="preserve"> </w:t>
      </w:r>
      <w:hyperlink r:id="rId194">
        <w:r>
          <w:rPr>
            <w:rStyle w:val="Hyperlink"/>
          </w:rPr>
          <w:t xml:space="preserve">https://doi.org/10.1038/s41559-019-0975-2</w:t>
        </w:r>
      </w:hyperlink>
    </w:p>
    <w:bookmarkEnd w:id="195"/>
    <w:bookmarkStart w:id="197" w:name="ref-vanbael2017a"/>
    <w:p>
      <w:pPr>
        <w:pStyle w:val="Bibliography"/>
      </w:pPr>
      <w:r>
        <w:t xml:space="preserve">Van Bael, S. A., Estrada, C., &amp; Arnold, A. E. (2017). Chapter 6 Foliar Endophyte Communities and Leaf Traits in Tropical Trees. In J. Dighton &amp; J. F. White (Eds.),</w:t>
      </w:r>
      <w:r>
        <w:t xml:space="preserve"> </w:t>
      </w:r>
      <w:r>
        <w:rPr>
          <w:iCs/>
          <w:i/>
        </w:rPr>
        <w:t xml:space="preserve">Mycology</w:t>
      </w:r>
      <w:r>
        <w:t xml:space="preserve"> </w:t>
      </w:r>
      <w:r>
        <w:t xml:space="preserve">(pp. 79–94). CRC Press.</w:t>
      </w:r>
      <w:r>
        <w:t xml:space="preserve"> </w:t>
      </w:r>
      <w:hyperlink r:id="rId196">
        <w:r>
          <w:rPr>
            <w:rStyle w:val="Hyperlink"/>
          </w:rPr>
          <w:t xml:space="preserve">https://doi.org/10.1201/9781315119496-7</w:t>
        </w:r>
      </w:hyperlink>
    </w:p>
    <w:bookmarkEnd w:id="197"/>
    <w:bookmarkStart w:id="199" w:name="ref-weiss2017"/>
    <w:p>
      <w:pPr>
        <w:pStyle w:val="Bibliography"/>
      </w:pPr>
      <w:r>
        <w:t xml:space="preserve">Weiss, S., Xu, Z. Z., Peddada, S., Amir, A., Bittinger, K., Gonzalez, A., Lozupone, C., Zaneveld, J. R., Vázquez-Baeza, Y., Birmingham, A., Hyde, E. R., &amp; Knight, R. (2017). Normalization and microbial differential abundance strategies depend upon data characteristics.</w:t>
      </w:r>
      <w:r>
        <w:t xml:space="preserve"> </w:t>
      </w:r>
      <w:r>
        <w:rPr>
          <w:iCs/>
          <w:i/>
        </w:rPr>
        <w:t xml:space="preserve">Microbiome</w:t>
      </w:r>
      <w:r>
        <w:t xml:space="preserve">,</w:t>
      </w:r>
      <w:r>
        <w:t xml:space="preserve"> </w:t>
      </w:r>
      <w:r>
        <w:rPr>
          <w:iCs/>
          <w:i/>
        </w:rPr>
        <w:t xml:space="preserve">5</w:t>
      </w:r>
      <w:r>
        <w:t xml:space="preserve">(1), 27.</w:t>
      </w:r>
      <w:r>
        <w:t xml:space="preserve"> </w:t>
      </w:r>
      <w:hyperlink r:id="rId198">
        <w:r>
          <w:rPr>
            <w:rStyle w:val="Hyperlink"/>
          </w:rPr>
          <w:t xml:space="preserve">https://doi.org/10.1186/s40168-017-0237-y</w:t>
        </w:r>
      </w:hyperlink>
    </w:p>
    <w:bookmarkEnd w:id="199"/>
    <w:bookmarkStart w:id="201" w:name="ref-wickham2022"/>
    <w:p>
      <w:pPr>
        <w:pStyle w:val="Bibliography"/>
      </w:pPr>
      <w:r>
        <w:t xml:space="preserve">Wickham, H., Chang, W., Henry, L., Pedersen, T. L., Takahashi, K., Wilke, C., Woo, K., Yutani, H., &amp; Dunnington, D. (2022).</w:t>
      </w:r>
      <w:r>
        <w:t xml:space="preserve"> </w:t>
      </w:r>
      <w:r>
        <w:rPr>
          <w:iCs/>
          <w:i/>
        </w:rPr>
        <w:t xml:space="preserve">ggplot2: Create Elegant Data Visualisations Using the Grammar of Graphics</w:t>
      </w:r>
      <w:r>
        <w:t xml:space="preserve">.</w:t>
      </w:r>
      <w:r>
        <w:t xml:space="preserve"> </w:t>
      </w:r>
      <w:hyperlink r:id="rId200">
        <w:r>
          <w:rPr>
            <w:rStyle w:val="Hyperlink"/>
          </w:rPr>
          <w:t xml:space="preserve">https://CRAN.R-project.org/package=ggplot2</w:t>
        </w:r>
      </w:hyperlink>
    </w:p>
    <w:bookmarkEnd w:id="201"/>
    <w:bookmarkStart w:id="203" w:name="ref-wright2005"/>
    <w:p>
      <w:pPr>
        <w:pStyle w:val="Bibliography"/>
      </w:pPr>
      <w:r>
        <w:t xml:space="preserve">Wright, I. J., Reich, P. B., Cornelissen, J. H. C., Falster, D. S., Garnier, E., Hikosaka, K., Lamont, B. B., Lee, W., Oleksyn, J., Osada, N., Poorter, H., Villar, R., Warton, D. I., &amp; Westoby, M. (2005). Assessing the generality of global leaf trait relationships.</w:t>
      </w:r>
      <w:r>
        <w:t xml:space="preserve"> </w:t>
      </w:r>
      <w:r>
        <w:rPr>
          <w:iCs/>
          <w:i/>
        </w:rPr>
        <w:t xml:space="preserve">New Phytologist</w:t>
      </w:r>
      <w:r>
        <w:t xml:space="preserve">,</w:t>
      </w:r>
      <w:r>
        <w:t xml:space="preserve"> </w:t>
      </w:r>
      <w:r>
        <w:rPr>
          <w:iCs/>
          <w:i/>
        </w:rPr>
        <w:t xml:space="preserve">166</w:t>
      </w:r>
      <w:r>
        <w:t xml:space="preserve">(2), 485–496.</w:t>
      </w:r>
      <w:r>
        <w:t xml:space="preserve"> </w:t>
      </w:r>
      <w:hyperlink r:id="rId202">
        <w:r>
          <w:rPr>
            <w:rStyle w:val="Hyperlink"/>
          </w:rPr>
          <w:t xml:space="preserve">https://doi.org/10.1111/j.1469-8137.2005.01349.x</w:t>
        </w:r>
      </w:hyperlink>
    </w:p>
    <w:bookmarkEnd w:id="203"/>
    <w:bookmarkStart w:id="205"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204">
        <w:r>
          <w:rPr>
            <w:rStyle w:val="Hyperlink"/>
          </w:rPr>
          <w:t xml:space="preserve">https://doi.org/10.1038/nature02403</w:t>
        </w:r>
      </w:hyperlink>
    </w:p>
    <w:bookmarkEnd w:id="205"/>
    <w:bookmarkEnd w:id="206"/>
    <w:bookmarkEnd w:id="207"/>
    <w:bookmarkStart w:id="228" w:name="figures"/>
    <w:p>
      <w:pPr>
        <w:pStyle w:val="Heading1"/>
      </w:pPr>
      <w:r>
        <w:t xml:space="preserve">13. Figures</w:t>
      </w:r>
    </w:p>
    <w:bookmarkStart w:id="211" w:name="figure-1"/>
    <w:p>
      <w:pPr>
        <w:pStyle w:val="Heading2"/>
      </w:pPr>
      <w:r>
        <w:t xml:space="preserve">13.1 Figure 1</w:t>
      </w:r>
    </w:p>
    <w:p>
      <w:pPr>
        <w:pStyle w:val="CaptionedFigure"/>
      </w:pPr>
      <w:r>
        <w:drawing>
          <wp:inline>
            <wp:extent cx="5544151" cy="5544151"/>
            <wp:effectExtent b="0" l="0" r="0" t="0"/>
            <wp:docPr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title="" id="209" name="Picture"/>
            <a:graphic>
              <a:graphicData uri="http://schemas.openxmlformats.org/drawingml/2006/picture">
                <pic:pic>
                  <pic:nvPicPr>
                    <pic:cNvPr descr="Aponte_Bolivar_aim3_manuscript_files/figure-docx/fig1-1.png" id="210" name="Picture"/>
                    <pic:cNvPicPr>
                      <a:picLocks noChangeArrowheads="1" noChangeAspect="1"/>
                    </pic:cNvPicPr>
                  </pic:nvPicPr>
                  <pic:blipFill>
                    <a:blip r:embed="rId20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(RA) of Ascomycota OTUs of seven tree species used in the study. (a) Box plots show individuals’ RA and its distribution by species. (b) The RA of OTU’s by treatment withing each tree species. Pink boxes represent low endophyte (</w:t>
      </w:r>
      <w:r>
        <w:rPr>
          <w:iCs/>
          <w:i/>
        </w:rPr>
        <w:t xml:space="preserve">E-low</w:t>
      </w:r>
      <w:r>
        <w:t xml:space="preserve">) treatment and yellow outlined represent high endophyte (</w:t>
      </w:r>
      <w:r>
        <w:rPr>
          <w:iCs/>
          <w:i/>
        </w:rPr>
        <w:t xml:space="preserve">E-high</w:t>
      </w:r>
      <w:r>
        <w:t xml:space="preserve">) treatment. Relative abundance is the percentage of endophyte colonization within individuals of the same species.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11"/>
    <w:bookmarkStart w:id="215" w:name="figure-2"/>
    <w:p>
      <w:pPr>
        <w:pStyle w:val="Heading2"/>
      </w:pPr>
      <w:r>
        <w:t xml:space="preserve">13.2 Figure 2</w:t>
      </w:r>
    </w:p>
    <w:p>
      <w:pPr>
        <w:pStyle w:val="CaptionedFigure"/>
      </w:pPr>
      <w:r>
        <w:drawing>
          <wp:inline>
            <wp:extent cx="5544151" cy="5544151"/>
            <wp:effectExtent b="0" l="0" r="0" t="0"/>
            <wp:docPr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title="" id="213" name="Picture"/>
            <a:graphic>
              <a:graphicData uri="http://schemas.openxmlformats.org/drawingml/2006/picture">
                <pic:pic>
                  <pic:nvPicPr>
                    <pic:cNvPr descr="Aponte_Bolivar_aim3_manuscript_files/figure-docx/unnamed-chunk-2-1.png" id="214" name="Picture"/>
                    <pic:cNvPicPr>
                      <a:picLocks noChangeArrowheads="1" noChangeAspect="1"/>
                    </pic:cNvPicPr>
                  </pic:nvPicPr>
                  <pic:blipFill>
                    <a:blip r:embed="rId21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 of values of herbivory (%) damage caused by</w:t>
      </w:r>
      <w:r>
        <w:t xml:space="preserve"> </w:t>
      </w:r>
      <w:r>
        <w:rPr>
          <w:iCs/>
          <w:i/>
        </w:rPr>
        <w:t xml:space="preserve">Atta colombica</w:t>
      </w:r>
      <w:r>
        <w:t xml:space="preserve"> </w:t>
      </w:r>
      <w:r>
        <w:t xml:space="preserve">in treatment groups (</w:t>
      </w:r>
      <w:r>
        <w:rPr>
          <w:iCs/>
          <w:i/>
        </w:rPr>
        <w:t xml:space="preserve">E-low</w:t>
      </w:r>
      <w:r>
        <w:t xml:space="preserve"> </w:t>
      </w:r>
      <w:r>
        <w:t xml:space="preserve">and</w:t>
      </w:r>
      <w:r>
        <w:t xml:space="preserve"> </w:t>
      </w:r>
      <w:r>
        <w:rPr>
          <w:iCs/>
          <w:i/>
        </w:rPr>
        <w:t xml:space="preserve">E-high</w:t>
      </w:r>
      <w:r>
        <w:t xml:space="preserve">) and pathogen damage cause by</w:t>
      </w:r>
      <w:r>
        <w:t xml:space="preserve"> </w:t>
      </w:r>
      <w:r>
        <w:rPr>
          <w:iCs/>
          <w:i/>
        </w:rPr>
        <w:t xml:space="preserve">Calonectria</w:t>
      </w:r>
      <w:r>
        <w:t xml:space="preserve"> </w:t>
      </w:r>
      <w:r>
        <w:t xml:space="preserve">sp. to tree species. a) Comparison of herbivory (%) means between treatment groups across individuals of all species. b) Comparison of the absolute pathogen damage (%) means between treatment groups across individuals of all species (values from</w:t>
      </w:r>
      <w:r>
        <w:t xml:space="preserve"> </w:t>
      </w:r>
      <w:r>
        <w:t xml:space="preserve">‘</w:t>
      </w:r>
      <w:r>
        <w:t xml:space="preserve">control</w:t>
      </w:r>
      <w:r>
        <w:t xml:space="preserve">’</w:t>
      </w:r>
      <w:r>
        <w:t xml:space="preserve"> </w:t>
      </w:r>
      <w:r>
        <w:t xml:space="preserve">treated leaves were subtracted from pathogen treated leaves). Pink represents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15"/>
    <w:bookmarkStart w:id="219" w:name="figure-3"/>
    <w:p>
      <w:pPr>
        <w:pStyle w:val="Heading2"/>
      </w:pPr>
      <w:r>
        <w:t xml:space="preserve">13.3 Figure 3</w:t>
      </w:r>
    </w:p>
    <w:p>
      <w:pPr>
        <w:pStyle w:val="CaptionedFigure"/>
      </w:pPr>
      <w:r>
        <w:drawing>
          <wp:inline>
            <wp:extent cx="5943600" cy="5486400"/>
            <wp:effectExtent b="0" l="0" r="0" t="0"/>
            <wp:docPr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title="" id="217" name="Picture"/>
            <a:graphic>
              <a:graphicData uri="http://schemas.openxmlformats.org/drawingml/2006/picture">
                <pic:pic>
                  <pic:nvPicPr>
                    <pic:cNvPr descr="Aponte_Bolivar_aim3_manuscript_files/figure-docx/m3dbRDA-1.png" id="218" name="Picture"/>
                    <pic:cNvPicPr>
                      <a:picLocks noChangeArrowheads="1" noChangeAspect="1"/>
                    </pic:cNvPicPr>
                  </pic:nvPicPr>
                  <pic:blipFill>
                    <a:blip r:embed="rId216"/>
                    <a:stretch>
                      <a:fillRect/>
                    </a:stretch>
                  </pic:blipFill>
                  <pic:spPr bwMode="auto">
                    <a:xfrm>
                      <a:off x="0" y="0"/>
                      <a:ext cx="5943600" cy="5486400"/>
                    </a:xfrm>
                    <a:prstGeom prst="rect">
                      <a:avLst/>
                    </a:prstGeom>
                    <a:noFill/>
                    <a:ln w="9525">
                      <a:noFill/>
                      <a:headEnd/>
                      <a:tailEnd/>
                    </a:ln>
                  </pic:spPr>
                </pic:pic>
              </a:graphicData>
            </a:graphic>
          </wp:inline>
        </w:drawing>
      </w:r>
    </w:p>
    <w:p>
      <w:pPr>
        <w:pStyle w:val="ImageCaption"/>
      </w:pPr>
      <w:r>
        <w:t xml:space="preserve">FEF community composition was associated with leaf functional traits (LFTs) from the leaf economic spectrum (LES) (genomic data set). Variation in FEF community composition within and between host species (</w:t>
      </w:r>
      <w:r>
        <w:rPr>
          <w:iCs/>
          <w:i/>
        </w:rPr>
        <w:t xml:space="preserve">n</w:t>
      </w:r>
      <w:r>
        <w:t xml:space="preserve"> </w:t>
      </w:r>
      <w:r>
        <w:t xml:space="preserve">= 7) and treatment groups (</w:t>
      </w:r>
      <w:r>
        <w:rPr>
          <w:iCs/>
          <w:i/>
        </w:rPr>
        <w:t xml:space="preserve">E-low</w:t>
      </w:r>
      <w:r>
        <w:t xml:space="preserve">,</w:t>
      </w:r>
      <w:r>
        <w:t xml:space="preserve"> </w:t>
      </w:r>
      <w:r>
        <w:rPr>
          <w:iCs/>
          <w:i/>
        </w:rPr>
        <w:t xml:space="preserve">E-high</w:t>
      </w:r>
      <w:r>
        <w:t xml:space="preserve">) from distance-based redundancy analyses (dbRDA). Solid black arrows represent statistically significant associations (</w:t>
      </w:r>
      <w:r>
        <w:rPr>
          <w:iCs/>
          <w:i/>
        </w:rPr>
        <w:t xml:space="preserve">p</w:t>
      </w:r>
      <w:r>
        <w:t xml:space="preserve"> </w:t>
      </w:r>
      <w:r>
        <w:t xml:space="preserve">&lt;.01). The arrows are displayed at double their actual size to enhance visual clarity. Each point represents a FEF community sample from one host tree species per treatment group; colors represent host tree species. Circles and filled triangles represent low (</w:t>
      </w:r>
      <w:r>
        <w:rPr>
          <w:iCs/>
          <w:i/>
        </w:rPr>
        <w:t xml:space="preserve">E-low</w:t>
      </w:r>
      <w:r>
        <w:t xml:space="preserve">) and high (</w:t>
      </w:r>
      <w:r>
        <w:rPr>
          <w:iCs/>
          <w:i/>
        </w:rPr>
        <w:t xml:space="preserve">E-high</w:t>
      </w:r>
      <w:r>
        <w:t xml:space="preserve">) FEF treatment groups, respectively.</w:t>
      </w:r>
    </w:p>
    <w:bookmarkEnd w:id="219"/>
    <w:bookmarkStart w:id="223" w:name="figure-4"/>
    <w:p>
      <w:pPr>
        <w:pStyle w:val="Heading2"/>
      </w:pPr>
      <w:r>
        <w:t xml:space="preserve">13.4 Figure 4</w:t>
      </w:r>
    </w:p>
    <w:p>
      <w:pPr>
        <w:pStyle w:val="CaptionedFigure"/>
      </w:pPr>
      <w:r>
        <w:drawing>
          <wp:inline>
            <wp:extent cx="5544151" cy="5544151"/>
            <wp:effectExtent b="0" l="0" r="0" t="0"/>
            <wp:docPr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title="" id="221" name="Picture"/>
            <a:graphic>
              <a:graphicData uri="http://schemas.openxmlformats.org/drawingml/2006/picture">
                <pic:pic>
                  <pic:nvPicPr>
                    <pic:cNvPr descr="Aponte_Bolivar_aim3_manuscript_files/figure-docx/Fig4%20Grid%20PCA-1.png" id="222" name="Picture"/>
                    <pic:cNvPicPr>
                      <a:picLocks noChangeArrowheads="1" noChangeAspect="1"/>
                    </pic:cNvPicPr>
                  </pic:nvPicPr>
                  <pic:blipFill>
                    <a:blip r:embed="rId22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LFTs are conserved within tree species regardless of endophyte load treatment. (a) Principal Component Analysis (PCA) of LFTs from all tree species separated by</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(b) PCA of LFTs of plants solely used in ant herbivory assays. (c) PCA LFTs of plants used solely in pathogen damage assays. Colors represent tree species. Circle and triangles represent low (</w:t>
      </w:r>
      <w:r>
        <w:rPr>
          <w:iCs/>
          <w:i/>
        </w:rPr>
        <w:t xml:space="preserve">E-low</w:t>
      </w:r>
      <w:r>
        <w:t xml:space="preserve">) and high (</w:t>
      </w:r>
      <w:r>
        <w:rPr>
          <w:iCs/>
          <w:i/>
        </w:rPr>
        <w:t xml:space="preserve">E-high</w:t>
      </w:r>
      <w:r>
        <w:t xml:space="preserve">) FEF treatment groups, respectively. Colored ellipses correspond to tree species and represent 95% confidence intervals.</w:t>
      </w:r>
    </w:p>
    <w:bookmarkEnd w:id="223"/>
    <w:bookmarkStart w:id="227" w:name="figure-5"/>
    <w:p>
      <w:pPr>
        <w:pStyle w:val="Heading2"/>
      </w:pPr>
      <w:r>
        <w:t xml:space="preserve">13.5 Figure 5</w:t>
      </w:r>
    </w:p>
    <w:p>
      <w:pPr>
        <w:pStyle w:val="CaptionedFigure"/>
      </w:pPr>
      <w:r>
        <w:drawing>
          <wp:inline>
            <wp:extent cx="5943600" cy="5943600"/>
            <wp:effectExtent b="0" l="0" r="0" t="0"/>
            <wp:docPr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title="" id="225" name="Picture"/>
            <a:graphic>
              <a:graphicData uri="http://schemas.openxmlformats.org/drawingml/2006/picture">
                <pic:pic>
                  <pic:nvPicPr>
                    <pic:cNvPr descr="Aponte_Bolivar_aim3_manuscript_files/figure-docx/Figure%205-1.png" id="226" name="Picture"/>
                    <pic:cNvPicPr>
                      <a:picLocks noChangeArrowheads="1" noChangeAspect="1"/>
                    </pic:cNvPicPr>
                  </pic:nvPicPr>
                  <pic:blipFill>
                    <a:blip r:embed="rId2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Simple linear regressions of herbivory and pathogen damage on PC1 and PC2 axes from PCAs of leaf traits for ant herbivory and pathogen damage assays. Linear regression of a) percent herbivory damage and PC1 axis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p</w:t>
      </w:r>
      <w:r>
        <w:t xml:space="preserve"> </w:t>
      </w:r>
      <w:r>
        <w:t xml:space="preserve">= 0.447); b) percent herbivory damage and PC2 axis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p</w:t>
      </w:r>
      <w:r>
        <w:t xml:space="preserve"> </w:t>
      </w:r>
      <w:r>
        <w:t xml:space="preserve">= &lt; .001); c) percent pathogen damage and PC1 axis (R</w:t>
      </w:r>
      <w:r>
        <w:rPr>
          <w:vertAlign w:val="superscript"/>
        </w:rPr>
        <w:t xml:space="preserve">2</w:t>
      </w:r>
      <w:r>
        <w:t xml:space="preserve">-adjusted = 0.064,</w:t>
      </w:r>
      <w:r>
        <w:t xml:space="preserve"> </w:t>
      </w:r>
      <w:r>
        <w:rPr>
          <w:iCs/>
          <w:i/>
        </w:rPr>
        <w:t xml:space="preserve">p</w:t>
      </w:r>
      <w:r>
        <w:t xml:space="preserve"> </w:t>
      </w:r>
      <w:r>
        <w:t xml:space="preserve">= &lt; .001); and d) percent pathogen damage and PC2 axis (</w:t>
      </w:r>
      <w:r>
        <w:rPr>
          <w:iCs/>
          <w:i/>
        </w:rPr>
        <w:t xml:space="preserve">R</w:t>
      </w:r>
      <w:r>
        <w:rPr>
          <w:vertAlign w:val="superscript"/>
          <w:iCs/>
          <w:i/>
        </w:rPr>
        <w:t xml:space="preserve">2</w:t>
      </w:r>
      <w:r>
        <w:rPr>
          <w:vertAlign w:val="subscript"/>
          <w:iCs/>
          <w:i/>
        </w:rPr>
        <w:t xml:space="preserve">adj</w:t>
      </w:r>
      <w:r>
        <w:t xml:space="preserve"> </w:t>
      </w:r>
      <w:r>
        <w:t xml:space="preserve">= 0.0016,</w:t>
      </w:r>
      <w:r>
        <w:t xml:space="preserve"> </w:t>
      </w:r>
      <w:r>
        <w:rPr>
          <w:iCs/>
          <w:i/>
        </w:rPr>
        <w:t xml:space="preserve">p</w:t>
      </w:r>
      <w:r>
        <w:t xml:space="preserve"> </w:t>
      </w:r>
      <w:r>
        <w:t xml:space="preserve">= .207). Colors represent individual species. Circle and triangles represent</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respectively.</w:t>
      </w:r>
    </w:p>
    <w:bookmarkEnd w:id="227"/>
    <w:bookmarkEnd w:id="228"/>
    <w:bookmarkStart w:id="239" w:name="tables"/>
    <w:p>
      <w:pPr>
        <w:pStyle w:val="Heading1"/>
      </w:pPr>
      <w:r>
        <w:t xml:space="preserve">14. Tables</w:t>
      </w:r>
    </w:p>
    <w:bookmarkStart w:id="230" w:name="table-1"/>
    <w:p>
      <w:pPr>
        <w:pStyle w:val="Heading2"/>
      </w:pPr>
      <w:r>
        <w:t xml:space="preserve">14.1 Table 1</w:t>
      </w:r>
    </w:p>
    <w:tbl>
      <w:tblPr>
        <w:tblStyle w:val="Table"/>
        <w:tblW w:type="pct" w:w="5000"/>
        <w:tblLook w:firstRow="0" w:lastRow="0" w:firstColumn="0" w:lastColumn="0" w:noHBand="0" w:noVBand="0" w:val="0000"/>
        <w:jc w:val="start"/>
        <w:tblLayout w:type="fixed"/>
      </w:tblPr>
      <w:tblGrid>
        <w:gridCol w:w="7920"/>
      </w:tblGrid>
      <w:tr>
        <w:tc>
          <w:tcPr/>
          <w:bookmarkStart w:id="229" w:name="tbl-table1"/>
          <w:p>
            <w:pPr>
              <w:jc w:val="center"/>
            </w:pPr>
            <w:pPr>
              <w:jc w:val="start"/>
              <w:spacing w:before="200"/>
              <w:pStyle w:val="ImageCaption"/>
            </w:pPr>
            <w:r>
              <w:t xml:space="preserve">Table 1: Summary statistics for the relative abundance of endophytes across host tree species and inoculation treatment**</w:t>
            </w:r>
          </w:p>
          <w:bookmarkEnd w:id="229"/>
        </w:tc>
      </w:tr>
    </w:tbl>
    <w:bookmarkEnd w:id="230"/>
    <w:bookmarkStart w:id="232" w:name="table-2"/>
    <w:p>
      <w:pPr>
        <w:pStyle w:val="Heading2"/>
      </w:pPr>
      <w:r>
        <w:t xml:space="preserve">14.2 Table 2</w:t>
      </w:r>
    </w:p>
    <w:tbl>
      <w:tblPr>
        <w:tblStyle w:val="Table"/>
        <w:tblW w:type="pct" w:w="5000"/>
        <w:tblLook w:firstRow="0" w:lastRow="0" w:firstColumn="0" w:lastColumn="0" w:noHBand="0" w:noVBand="0" w:val="0000"/>
        <w:jc w:val="start"/>
        <w:tblLayout w:type="fixed"/>
      </w:tblPr>
      <w:tblGrid>
        <w:gridCol w:w="7920"/>
      </w:tblGrid>
      <w:tr>
        <w:tc>
          <w:tcPr/>
          <w:bookmarkStart w:id="231" w:name="tbl-table2"/>
          <w:p>
            <w:pPr>
              <w:jc w:val="center"/>
            </w:pPr>
            <w:pPr>
              <w:jc w:val="start"/>
              <w:spacing w:before="200"/>
              <w:pStyle w:val="ImageCaption"/>
            </w:pPr>
            <w:r>
              <w:t xml:space="preserve">Table 2: Summary statistics for the leaf functional traits (LFTs)</w:t>
            </w:r>
          </w:p>
          <w:bookmarkEnd w:id="231"/>
        </w:tc>
      </w:tr>
    </w:tbl>
    <w:bookmarkEnd w:id="232"/>
    <w:bookmarkStart w:id="234" w:name="table-3"/>
    <w:p>
      <w:pPr>
        <w:pStyle w:val="Heading2"/>
      </w:pPr>
      <w:r>
        <w:t xml:space="preserve">14.3 Table 3</w:t>
      </w:r>
    </w:p>
    <w:tbl>
      <w:tblPr>
        <w:tblStyle w:val="Table"/>
        <w:tblW w:type="pct" w:w="5000"/>
        <w:tblLook w:firstRow="0" w:lastRow="0" w:firstColumn="0" w:lastColumn="0" w:noHBand="0" w:noVBand="0" w:val="0000"/>
        <w:jc w:val="start"/>
        <w:tblLayout w:type="fixed"/>
      </w:tblPr>
      <w:tblGrid>
        <w:gridCol w:w="7920"/>
      </w:tblGrid>
      <w:tr>
        <w:tc>
          <w:tcPr/>
          <w:bookmarkStart w:id="233" w:name="tbl-dbRDA"/>
          <w:p>
            <w:pPr>
              <w:jc w:val="center"/>
            </w:pPr>
            <w:pPr>
              <w:jc w:val="start"/>
              <w:spacing w:before="200"/>
              <w:pStyle w:val="ImageCaption"/>
            </w:pPr>
            <w:r>
              <w:t xml:space="preserve">Table 3: Permutational ANOVA for the best-fit dbRDA model with all host species.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Permutational ANOVA for the best-fit dbRDA model with all host species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of Sqs.</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F</w:t>
                  </w:r>
                  <w:r>
                    <w:rPr>
                      <w:rFonts w:ascii="Calibri" w:hAnsi="Calibri"/>
                      <w:sz w:val="20"/>
                    </w:rPr>
                    <w:t xml:space="preserve">-statistic</w:t>
                  </w:r>
                </w:p>
              </w:tc>
              <w:tc>
                <w:tcPr>
                  <w:tcBorders>
                    <w:top w:val="single" w:sz="16" w:space="0" w:color="D3D3D3"/>
                    <w:bottom w:val="single" w:sz="16" w:space="0" w:color="D3D3D3"/>
                    <w:end w:val="single" w:space="0" w:color="D3D3D3"/>
                  </w:tcBorders>
                </w:tcPr>
                <w:p>
                  <w:pPr>
                    <w:spacing w:before="0" w:after="60"/>
                    <w:keepNext/>
                    <w:jc w:val="end"/>
                  </w:pPr>
                  <w:r>
                    <w:rPr>
                      <w:i/>
                      <w:rFonts w:ascii="Calibri" w:hAnsi="Calibri"/>
                      <w:sz w:val="20"/>
                    </w:rPr>
                    <w:t xml:space="preserve">p</w:t>
                  </w:r>
                  <w:r>
                    <w:rPr>
                      <w:rFonts w:ascii="Calibri" w:hAnsi="Calibri"/>
                      <w:sz w:val="20"/>
                    </w:rPr>
                    <w:t xml:space="preserve">-value</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Endophyte load (High/Low)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Significance levels are represented by *ns* (not significant) and asterisks [*p* &lt; .05 (\*), *p* &lt; .01 (\*\*), *p* &lt; .001 (\*\*\*), and *p* &lt; .0001 (\*\*\*\*)].</w:t>
                  </w:r>
                </w:p>
              </w:tc>
            </w:tr>
          </w:tbl>
          <w:bookmarkEnd w:id="233"/>
        </w:tc>
      </w:tr>
    </w:tbl>
    <w:bookmarkEnd w:id="234"/>
    <w:bookmarkStart w:id="236" w:name="table-4"/>
    <w:p>
      <w:pPr>
        <w:pStyle w:val="Heading2"/>
      </w:pPr>
      <w:r>
        <w:t xml:space="preserve">14.4 Table 4</w:t>
      </w:r>
    </w:p>
    <w:tbl>
      <w:tblPr>
        <w:tblStyle w:val="Table"/>
        <w:tblW w:type="pct" w:w="5000"/>
        <w:tblLook w:firstRow="0" w:lastRow="0" w:firstColumn="0" w:lastColumn="0" w:noHBand="0" w:noVBand="0" w:val="0000"/>
        <w:jc w:val="start"/>
        <w:tblLayout w:type="fixed"/>
      </w:tblPr>
      <w:tblGrid>
        <w:gridCol w:w="7920"/>
      </w:tblGrid>
      <w:tr>
        <w:tc>
          <w:tcPr/>
          <w:bookmarkStart w:id="235" w:name="tbl-linearreg"/>
          <w:p>
            <w:pPr>
              <w:jc w:val="center"/>
            </w:pPr>
            <w:pPr>
              <w:jc w:val="start"/>
              <w:spacing w:before="200"/>
              <w:pStyle w:val="ImageCaption"/>
            </w:pPr>
            <w:r>
              <w:t xml:space="preserve">Table 4: Summary of simple linear regression models for predicting leaf herbivory and pathogen damage. Positive correlation denoted by upward light green arrow, negative correlation by downward light orange arrow. Models are separated by treatment and data set evaluated.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rPr>
                <w:iCs/>
                <w:i/>
              </w:rPr>
              <w:t xml:space="preserve">),</w:t>
            </w:r>
            <w:r>
              <w:rPr>
                <w:iCs/>
                <w:i/>
              </w:rPr>
              <w:t xml:space="preserve"> </w:t>
            </w:r>
            <w:r>
              <w:t xml:space="preserve">p* &lt; .01 (</w:t>
            </w:r>
            <w:r>
              <w:rPr>
                <w:bCs/>
                <w:b/>
              </w:rPr>
              <w:t xml:space="preserve">),</w:t>
            </w:r>
            <w:r>
              <w:rPr>
                <w:bCs/>
                <w:b/>
              </w:rPr>
              <w:t xml:space="preserve"> </w:t>
            </w:r>
            <w:r>
              <w:rPr>
                <w:iCs/>
                <w:i/>
                <w:bCs/>
                <w:b/>
              </w:rPr>
              <w:t xml:space="preserve">p</w:t>
            </w:r>
            <w:r>
              <w:rPr>
                <w:bCs/>
                <w:b/>
              </w:rPr>
              <w:t xml:space="preserve"> </w:t>
            </w:r>
            <w:r>
              <w:rPr>
                <w:bCs/>
                <w:b/>
              </w:rPr>
              <w:t xml:space="preserve">&lt; .001 (</w:t>
            </w:r>
            <w:r>
              <w:rPr>
                <w:iCs/>
                <w:i/>
              </w:rPr>
              <w:t xml:space="preserve">), and</w:t>
            </w:r>
            <w:r>
              <w:rPr>
                <w:iCs/>
                <w:i/>
              </w:rPr>
              <w:t xml:space="preserve"> </w:t>
            </w:r>
            <w:r>
              <w:t xml:space="preserve">p* &lt; .0001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Summary of simple linear regression models for predicting leaf herbivory and pathogen damage</w:t>
            </w:r>
            <w:r>
              <w:rPr>
                <w:vertAlign w:val="superscript"/>
                <w:i/>
                <w:rFonts w:ascii="Calibri" w:hAnsi="Calibri"/>
                <w:sz w:val="24"/>
                <w:color w:val="333333"/>
              </w:rPr>
              <w:t xml:space="default">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Leaf Functional Traits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preserve">R^2^~adj~</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F</w:t>
                  </w:r>
                  <w:r>
                    <w:rPr>
                      <w:rFonts w:ascii="Calibri" w:hAnsi="Calibri"/>
                      <w:sz w:val="20"/>
                    </w:rPr>
                    <w:t xml:space="preserve">-statistic</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p</w:t>
                  </w:r>
                  <w:r>
                    <w:rPr>
                      <w:rFonts w:ascii="Calibri" w:hAnsi="Calibri"/>
                      <w:sz w:val="20"/>
                    </w:rPr>
                    <w:t xml:space="preserve">-value</w:t>
                  </w:r>
                  <w:r>
                    <w:rPr>
                      <w:vertAlign w:val="superscript"/>
                      <w:i/>
                      <w:rFonts w:ascii="Calibri" w:hAnsi="Calibri"/>
                      <w:sz w:val="20"/>
                    </w:rPr>
                    <w:t xml:space="default">2</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33.319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-645.450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E-high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E-low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E-high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-845.088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E-low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-526.136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gridSpan w:val="6"/>
                </w:tcPr>
                <w:p>
                  <w:pPr>
                    <w:spacing w:before="0" w:after="60"/>
                    <w:keepNext/>
                  </w:pPr>
                  <w:r>
                    <w:rPr>
                      <w:rFonts w:ascii="Calibri" w:hAnsi="Calibri"/>
                      <w:sz w:val="20"/>
                    </w:rPr>
                    <w:t xml:space="default">Positive correlation denoted by upward light green arrow, negative correlation by downward light orange arrow.</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Models are separated by treatment and data set evaluated.</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Significance levels are represented by *ns* (not significant) and asterisks [*p* &lt; .05 (\*), *p* &lt; .01 (\*\*), *p* &lt; .001 (\*\*\*), and *p* &lt; .0001 (\*\*\*\*)].</w:t>
                  </w:r>
                </w:p>
              </w:tc>
            </w:tr>
          </w:tbl>
          <w:bookmarkEnd w:id="235"/>
        </w:tc>
      </w:tr>
    </w:tbl>
    <w:bookmarkEnd w:id="236"/>
    <w:bookmarkStart w:id="238" w:name="table-5"/>
    <w:p>
      <w:pPr>
        <w:pStyle w:val="Heading2"/>
      </w:pPr>
      <w:r>
        <w:t xml:space="preserve">14.5 Table 5</w:t>
      </w:r>
    </w:p>
    <w:tbl>
      <w:tblPr>
        <w:tblStyle w:val="Table"/>
        <w:tblW w:type="pct" w:w="5000"/>
        <w:tblLook w:firstRow="0" w:lastRow="0" w:firstColumn="0" w:lastColumn="0" w:noHBand="0" w:noVBand="0" w:val="0000"/>
        <w:jc w:val="start"/>
        <w:tblLayout w:type="fixed"/>
      </w:tblPr>
      <w:tblGrid>
        <w:gridCol w:w="7920"/>
      </w:tblGrid>
      <w:tr>
        <w:tc>
          <w:tcPr/>
          <w:bookmarkStart w:id="237" w:name="tbl-tableGLMM"/>
          <w:p>
            <w:pPr>
              <w:jc w:val="center"/>
            </w:pPr>
            <w:pPr>
              <w:jc w:val="start"/>
              <w:spacing w:before="200"/>
              <w:pStyle w:val="ImageCaption"/>
            </w:pPr>
            <w:r>
              <w:t xml:space="preserve">Table 5: Generalized linear mixed models (GLMMs) for predicting leaf herbivory and pathogenicity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01"/>
              <w:gridCol w:w="1901"/>
              <w:gridCol w:w="1901"/>
              <w:gridCol w:w="1901"/>
              <w:gridCol w:w="1901"/>
            </w:tblGrid>
            <w:tr>
              <w:trPr>
                <w:trHeight w:val="360" w:hRule="auto"/>
              </w:trPr>
              body 1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
                  </w:r>
                </w:p>
              </w:tc>
              <w:tc>
                <w:tcPr>
                  <w:gridSpan w:val="2"/>
                  <w:tcBorders>
                    <w:bottom w:val="single" w:sz="8"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Herbivory model</w:t>
                  </w:r>
                </w:p>
              </w:tc>
              <w:tc>
                <w:tcPr>
                  <w:gridSpan w:val="2"/>
                  <w:tcBorders>
                    <w:bottom w:val="single" w:sz="8"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Pathogen damage model</w:t>
                  </w:r>
                </w:p>
              </w:tc>
            </w:tr>
            <w:tr>
              <w:trPr>
                <w:trHeight w:val="360" w:hRule="auto"/>
              </w:trPr>
              body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Predictors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r>
            <w:tr>
              <w:trPr>
                <w:trHeight w:val="360" w:hRule="auto"/>
              </w:trPr>
              body 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Fixed effects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-0.328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(-2.204 - 1.548 ) [-0.345]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-2.828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(-3.726 - -1.930 ) [-6.194]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Thickness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-0.009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-0.003 ) [-3.162]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(-0.003 - 0.003 ) [-0.007]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823.601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(210.417 - 1436.785 ) [2.649]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225.616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(-156.557 - 607.790 ) [1.161]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Endophyte load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(-0.986 - -0.509 ) [-6.175]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8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Random effects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9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N</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210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382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-298.573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-443.514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AIC</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623.147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903.028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body12
              <w:tc>
                <w:tcPr>
                  <w:gridSpan w:val="5"/>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Significance levels are represented by asterisks [p &lt; .05 (*), p &lt; .01 (**), p &lt; .001 (***), and p &lt; .0001 (****)]. T-statistics in brackets.</w:t>
                  </w:r>
                </w:p>
              </w:tc>
            </w:tr>
          </w:tbl>
          <w:bookmarkEnd w:id="237"/>
        </w:tc>
      </w:tr>
    </w:tbl>
    <w:bookmarkEnd w:id="238"/>
    <w:bookmarkEnd w:id="239"/>
    <w:bookmarkStart w:id="279" w:name="appendix-s1"/>
    <w:p>
      <w:pPr>
        <w:pStyle w:val="Heading1"/>
      </w:pPr>
      <w:r>
        <w:t xml:space="preserve">15. Appendix S1</w:t>
      </w:r>
    </w:p>
    <w:bookmarkStart w:id="243" w:name="figure-s1"/>
    <w:p>
      <w:pPr>
        <w:pStyle w:val="Heading2"/>
      </w:pPr>
      <w:r>
        <w:t xml:space="preserve">15.1 Figure S1</w:t>
      </w:r>
    </w:p>
    <w:p>
      <w:pPr>
        <w:pStyle w:val="CaptionedFigure"/>
      </w:pPr>
      <w:r>
        <w:drawing>
          <wp:inline>
            <wp:extent cx="5544151" cy="5544151"/>
            <wp:effectExtent b="0" l="0" r="0" t="0"/>
            <wp:docPr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title="" id="241" name="Picture"/>
            <a:graphic>
              <a:graphicData uri="http://schemas.openxmlformats.org/drawingml/2006/picture">
                <pic:pic>
                  <pic:nvPicPr>
                    <pic:cNvPr descr="Aponte_Bolivar_aim3_manuscript_files/figure-docx/suppfig_1-1.png" id="242" name="Picture"/>
                    <pic:cNvPicPr>
                      <a:picLocks noChangeArrowheads="1" noChangeAspect="1"/>
                    </pic:cNvPicPr>
                  </pic:nvPicPr>
                  <pic:blipFill>
                    <a:blip r:embed="rId24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Cs/>
          <w:i/>
        </w:rPr>
        <w:t xml:space="preserve">E-low</w:t>
      </w:r>
      <w:r>
        <w:t xml:space="preserve"> </w:t>
      </w:r>
      <w:r>
        <w:t xml:space="preserve">and</w:t>
      </w:r>
      <w:r>
        <w:t xml:space="preserve"> </w:t>
      </w:r>
      <w:r>
        <w:rPr>
          <w:iCs/>
          <w:i/>
        </w:rPr>
        <w:t xml:space="preserve">E-high</w:t>
      </w:r>
      <w:r>
        <w:t xml:space="preserve">). b) Comparison of mean percent colonization of leaves by FEF measured 7 days after culture. Violin plots show the distribution of percent colonization values for each species per treatment group.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3"/>
    <w:bookmarkStart w:id="247" w:name="figure-s2"/>
    <w:p>
      <w:pPr>
        <w:pStyle w:val="Heading2"/>
      </w:pPr>
      <w:r>
        <w:t xml:space="preserve">15.2 Figure S2</w:t>
      </w:r>
    </w:p>
    <w:p>
      <w:pPr>
        <w:pStyle w:val="CaptionedFigure"/>
      </w:pPr>
      <w:r>
        <w:drawing>
          <wp:inline>
            <wp:extent cx="5544151" cy="5544151"/>
            <wp:effectExtent b="0" l="0" r="0" t="0"/>
            <wp:docPr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45" name="Picture"/>
            <a:graphic>
              <a:graphicData uri="http://schemas.openxmlformats.org/drawingml/2006/picture">
                <pic:pic>
                  <pic:nvPicPr>
                    <pic:cNvPr descr="Aponte_Bolivar_aim3_manuscript_files/figure-docx/suppfig_2-1.png" id="246" name="Picture"/>
                    <pic:cNvPicPr>
                      <a:picLocks noChangeArrowheads="1" noChangeAspect="1"/>
                    </pic:cNvPicPr>
                  </pic:nvPicPr>
                  <pic:blipFill>
                    <a:blip r:embed="rId24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anthocyanin content (ACI) in treatment groups (</w:t>
      </w:r>
      <w:r>
        <w:rPr>
          <w:iCs/>
          <w:i/>
        </w:rPr>
        <w:t xml:space="preserve">E-low</w:t>
      </w:r>
      <w:r>
        <w:t xml:space="preserve"> </w:t>
      </w:r>
      <w:r>
        <w:t xml:space="preserve">and</w:t>
      </w:r>
      <w:r>
        <w:t xml:space="preserve"> </w:t>
      </w:r>
      <w:r>
        <w:rPr>
          <w:iCs/>
          <w:i/>
        </w:rPr>
        <w:t xml:space="preserve">E-high</w:t>
      </w:r>
      <w:r>
        <w:t xml:space="preserv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7"/>
    <w:bookmarkStart w:id="251" w:name="figure-s3"/>
    <w:p>
      <w:pPr>
        <w:pStyle w:val="Heading2"/>
      </w:pPr>
      <w:r>
        <w:t xml:space="preserve">15.3 Figure S3</w:t>
      </w:r>
    </w:p>
    <w:p>
      <w:pPr>
        <w:pStyle w:val="CaptionedFigure"/>
      </w:pPr>
      <w:r>
        <w:drawing>
          <wp:inline>
            <wp:extent cx="5544151" cy="5544151"/>
            <wp:effectExtent b="0" l="0" r="0" t="0"/>
            <wp:docPr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title="" id="249" name="Picture"/>
            <a:graphic>
              <a:graphicData uri="http://schemas.openxmlformats.org/drawingml/2006/picture">
                <pic:pic>
                  <pic:nvPicPr>
                    <pic:cNvPr descr="Aponte_Bolivar_aim3_manuscript_files/figure-docx/suppfig_3-1.png" id="250" name="Picture"/>
                    <pic:cNvPicPr>
                      <a:picLocks noChangeArrowheads="1" noChangeAspect="1"/>
                    </pic:cNvPicPr>
                  </pic:nvPicPr>
                  <pic:blipFill>
                    <a:blip r:embed="rId24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thickness (LT) (μg) in treatment groups (</w:t>
      </w:r>
      <w:r>
        <w:rPr>
          <w:iCs/>
          <w:i/>
        </w:rPr>
        <w:t xml:space="preserve">E-low</w:t>
      </w:r>
      <w:r>
        <w:t xml:space="preserve"> </w:t>
      </w:r>
      <w:r>
        <w:t xml:space="preserve">and</w:t>
      </w:r>
      <w:r>
        <w:t xml:space="preserve"> </w:t>
      </w:r>
      <w:r>
        <w:rPr>
          <w:iCs/>
          <w:i/>
        </w:rPr>
        <w:t xml:space="preserve">E-high</w:t>
      </w:r>
      <w:r>
        <w:t xml:space="preserv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1"/>
    <w:bookmarkStart w:id="255" w:name="figure-s4"/>
    <w:p>
      <w:pPr>
        <w:pStyle w:val="Heading2"/>
      </w:pPr>
      <w:r>
        <w:t xml:space="preserve">15.4 Figure S4</w:t>
      </w:r>
    </w:p>
    <w:p>
      <w:pPr>
        <w:pStyle w:val="CaptionedFigure"/>
      </w:pPr>
      <w:r>
        <w:drawing>
          <wp:inline>
            <wp:extent cx="5544151" cy="5544151"/>
            <wp:effectExtent b="0" l="0" r="0" t="0"/>
            <wp:docPr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53" name="Picture"/>
            <a:graphic>
              <a:graphicData uri="http://schemas.openxmlformats.org/drawingml/2006/picture">
                <pic:pic>
                  <pic:nvPicPr>
                    <pic:cNvPr descr="Aponte_Bolivar_aim3_manuscript_files/figure-docx/suppfig_4-1.png" id="254" name="Picture"/>
                    <pic:cNvPicPr>
                      <a:picLocks noChangeArrowheads="1" noChangeAspect="1"/>
                    </pic:cNvPicPr>
                  </pic:nvPicPr>
                  <pic:blipFill>
                    <a:blip r:embed="rId25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punch strength (LPS) (N mm^-1) in treatment groups (</w:t>
      </w:r>
      <w:r>
        <w:rPr>
          <w:iCs/>
          <w:i/>
        </w:rPr>
        <w:t xml:space="preserve">E-low</w:t>
      </w:r>
      <w:r>
        <w:t xml:space="preserve"> </w:t>
      </w:r>
      <w:r>
        <w:t xml:space="preserve">and</w:t>
      </w:r>
      <w:r>
        <w:t xml:space="preserve"> </w:t>
      </w:r>
      <w:r>
        <w:rPr>
          <w:iCs/>
          <w:i/>
        </w:rPr>
        <w:t xml:space="preserve">E-high</w:t>
      </w:r>
      <w:r>
        <w:t xml:space="preserv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5"/>
    <w:bookmarkStart w:id="259" w:name="figure-s5"/>
    <w:p>
      <w:pPr>
        <w:pStyle w:val="Heading2"/>
      </w:pPr>
      <w:r>
        <w:t xml:space="preserve">15.5 Figure S5</w:t>
      </w:r>
    </w:p>
    <w:p>
      <w:pPr>
        <w:pStyle w:val="CaptionedFigure"/>
      </w:pPr>
      <w:r>
        <w:drawing>
          <wp:inline>
            <wp:extent cx="5544151" cy="5544151"/>
            <wp:effectExtent b="0" l="0" r="0" t="0"/>
            <wp:docPr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57" name="Picture"/>
            <a:graphic>
              <a:graphicData uri="http://schemas.openxmlformats.org/drawingml/2006/picture">
                <pic:pic>
                  <pic:nvPicPr>
                    <pic:cNvPr descr="Aponte_Bolivar_aim3_manuscript_files/figure-docx/suppfig_5-1.png" id="258" name="Picture"/>
                    <pic:cNvPicPr>
                      <a:picLocks noChangeArrowheads="1" noChangeAspect="1"/>
                    </pic:cNvPicPr>
                  </pic:nvPicPr>
                  <pic:blipFill>
                    <a:blip r:embed="rId25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mass per area (LMA) (mg mm^2) in treatment groups (</w:t>
      </w:r>
      <w:r>
        <w:rPr>
          <w:iCs/>
          <w:i/>
        </w:rPr>
        <w:t xml:space="preserve">E-low</w:t>
      </w:r>
      <w:r>
        <w:t xml:space="preserve"> </w:t>
      </w:r>
      <w:r>
        <w:t xml:space="preserve">and</w:t>
      </w:r>
      <w:r>
        <w:t xml:space="preserve"> </w:t>
      </w:r>
      <w:r>
        <w:rPr>
          <w:iCs/>
          <w:i/>
        </w:rPr>
        <w:t xml:space="preserve">E-high</w:t>
      </w:r>
      <w:r>
        <w:t xml:space="preserv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9"/>
    <w:bookmarkStart w:id="263" w:name="figure-s6"/>
    <w:p>
      <w:pPr>
        <w:pStyle w:val="Heading2"/>
      </w:pPr>
      <w:r>
        <w:t xml:space="preserve">15.6 Figure S6</w:t>
      </w:r>
    </w:p>
    <w:p>
      <w:pPr>
        <w:pStyle w:val="CaptionedFigure"/>
      </w:pPr>
      <w:r>
        <w:drawing>
          <wp:inline>
            <wp:extent cx="5544151" cy="5544151"/>
            <wp:effectExtent b="0" l="0" r="0" t="0"/>
            <wp:docPr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title="" id="261" name="Picture"/>
            <a:graphic>
              <a:graphicData uri="http://schemas.openxmlformats.org/drawingml/2006/picture">
                <pic:pic>
                  <pic:nvPicPr>
                    <pic:cNvPr descr="Aponte_Bolivar_aim3_manuscript_files/figure-docx/suppfig_6-1.png" id="262" name="Picture"/>
                    <pic:cNvPicPr>
                      <a:picLocks noChangeArrowheads="1" noChangeAspect="1"/>
                    </pic:cNvPicPr>
                  </pic:nvPicPr>
                  <pic:blipFill>
                    <a:blip r:embed="rId26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herbivory (%) and pathogen damage caused by</w:t>
      </w:r>
      <w:r>
        <w:t xml:space="preserve"> </w:t>
      </w:r>
      <w:r>
        <w:rPr>
          <w:iCs/>
          <w:i/>
        </w:rPr>
        <w:t xml:space="preserve">Atta colombica</w:t>
      </w:r>
      <w:r>
        <w:t xml:space="preserve"> </w:t>
      </w:r>
      <w:r>
        <w:t xml:space="preserve">and</w:t>
      </w:r>
      <w:r>
        <w:t xml:space="preserve"> </w:t>
      </w:r>
      <w:r>
        <w:rPr>
          <w:iCs/>
          <w:i/>
        </w:rPr>
        <w:t xml:space="preserve">Calonectria</w:t>
      </w:r>
      <w:r>
        <w:t xml:space="preserve"> </w:t>
      </w:r>
      <w:r>
        <w:t xml:space="preserve">sp. , respectively, in treatment groups (</w:t>
      </w:r>
      <w:r>
        <w:rPr>
          <w:iCs/>
          <w:i/>
        </w:rPr>
        <w:t xml:space="preserve">E-low</w:t>
      </w:r>
      <w:r>
        <w:t xml:space="preserve"> </w:t>
      </w:r>
      <w:r>
        <w:t xml:space="preserve">and</w:t>
      </w:r>
      <w:r>
        <w:t xml:space="preserve"> </w:t>
      </w:r>
      <w:r>
        <w:rPr>
          <w:iCs/>
          <w:i/>
        </w:rPr>
        <w:t xml:space="preserve">E-high</w:t>
      </w:r>
      <w:r>
        <w:t xml:space="preserve">) per tree species. a) Comparison of herbivory (%) means between treatment groups across individuals of all species. b) Comparison of pathogen (%) means between treatment groups across individuals of all species.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63"/>
    <w:bookmarkStart w:id="267" w:name="figure-s7"/>
    <w:p>
      <w:pPr>
        <w:pStyle w:val="Heading2"/>
      </w:pPr>
      <w:r>
        <w:t xml:space="preserve">15.7 Figure S7</w:t>
      </w:r>
    </w:p>
    <w:p>
      <w:pPr>
        <w:pStyle w:val="CaptionedFigure"/>
      </w:pPr>
      <w:r>
        <w:drawing>
          <wp:inline>
            <wp:extent cx="5544151" cy="5544151"/>
            <wp:effectExtent b="0" l="0" r="0" t="0"/>
            <wp:docPr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65" name="Picture"/>
            <a:graphic>
              <a:graphicData uri="http://schemas.openxmlformats.org/drawingml/2006/picture">
                <pic:pic>
                  <pic:nvPicPr>
                    <pic:cNvPr descr="Aponte_Bolivar_aim3_manuscript_files/figure-docx/suppfig_7-1.png" id="266" name="Picture"/>
                    <pic:cNvPicPr>
                      <a:picLocks noChangeArrowheads="1" noChangeAspect="1"/>
                    </pic:cNvPicPr>
                  </pic:nvPicPr>
                  <pic:blipFill>
                    <a:blip r:embed="rId26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transfomed herbivory (%) and LFTs. a) Herbivory</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0.0811,</w:t>
      </w:r>
      <w:r>
        <w:t xml:space="preserve"> </w:t>
      </w:r>
      <w:r>
        <w:rPr>
          <w:iCs/>
          <w:i/>
        </w:rPr>
        <w:t xml:space="preserve">p</w:t>
      </w:r>
      <w:r>
        <w:t xml:space="preserve"> </w:t>
      </w:r>
      <w:r>
        <w:t xml:space="preserve">&lt; .0001). b) Herbivory</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-0.0018,</w:t>
      </w:r>
      <w:r>
        <w:t xml:space="preserve"> </w:t>
      </w:r>
      <w:r>
        <w:rPr>
          <w:iCs/>
          <w:i/>
        </w:rPr>
        <w:t xml:space="preserve">p</w:t>
      </w:r>
      <w:r>
        <w:t xml:space="preserve"> </w:t>
      </w:r>
      <w:r>
        <w:t xml:space="preserve">= .429)). c) Herbivory</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0.0071,</w:t>
      </w:r>
      <w:r>
        <w:t xml:space="preserve"> </w:t>
      </w:r>
      <w:r>
        <w:rPr>
          <w:iCs/>
          <w:i/>
        </w:rPr>
        <w:t xml:space="preserve">p</w:t>
      </w:r>
      <w:r>
        <w:t xml:space="preserve"> </w:t>
      </w:r>
      <w:r>
        <w:t xml:space="preserve">= .116).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-0.0008,</w:t>
      </w:r>
      <w:r>
        <w:t xml:space="preserve"> </w:t>
      </w:r>
      <w:r>
        <w:rPr>
          <w:iCs/>
          <w:i/>
        </w:rPr>
        <w:t xml:space="preserve">p</w:t>
      </w:r>
      <w:r>
        <w:t xml:space="preserve"> </w:t>
      </w:r>
      <w:r>
        <w:t xml:space="preserve">= .36). e) Herbivory</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0.007 ,</w:t>
      </w:r>
      <w:r>
        <w:t xml:space="preserve"> </w:t>
      </w:r>
      <w:r>
        <w:rPr>
          <w:iCs/>
          <w:i/>
        </w:rPr>
        <w:t xml:space="preserve">p</w:t>
      </w:r>
      <w:r>
        <w:t xml:space="preserve"> </w:t>
      </w:r>
      <w:r>
        <w:t xml:space="preserve">= .12).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67"/>
    <w:bookmarkStart w:id="271" w:name="figure-s8"/>
    <w:p>
      <w:pPr>
        <w:pStyle w:val="Heading2"/>
      </w:pPr>
      <w:r>
        <w:t xml:space="preserve">15.8 Figure S8</w:t>
      </w:r>
    </w:p>
    <w:p>
      <w:pPr>
        <w:pStyle w:val="CaptionedFigure"/>
      </w:pPr>
      <w:r>
        <w:drawing>
          <wp:inline>
            <wp:extent cx="5544151" cy="5544151"/>
            <wp:effectExtent b="0" l="0" r="0" t="0"/>
            <wp:docPr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69" name="Picture"/>
            <a:graphic>
              <a:graphicData uri="http://schemas.openxmlformats.org/drawingml/2006/picture">
                <pic:pic>
                  <pic:nvPicPr>
                    <pic:cNvPr descr="Aponte_Bolivar_aim3_manuscript_files/figure-docx/unnamed-chunk-8-1.png" id="270" name="Picture"/>
                    <pic:cNvPicPr>
                      <a:picLocks noChangeArrowheads="1" noChangeAspect="1"/>
                    </pic:cNvPicPr>
                  </pic:nvPicPr>
                  <pic:blipFill>
                    <a:blip r:embed="rId26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transformed pathogen damage (%) and and LFTs. a) Pathogen damage</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-0.0013,</w:t>
      </w:r>
      <w:r>
        <w:t xml:space="preserve"> </w:t>
      </w:r>
      <w:r>
        <w:rPr>
          <w:iCs/>
          <w:i/>
        </w:rPr>
        <w:t xml:space="preserve">p</w:t>
      </w:r>
      <w:r>
        <w:t xml:space="preserve"> </w:t>
      </w:r>
      <w:r>
        <w:t xml:space="preserve">= .482). b) Pathogen damage</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0.0782,</w:t>
      </w:r>
      <w:r>
        <w:t xml:space="preserve"> </w:t>
      </w:r>
      <w:r>
        <w:rPr>
          <w:iCs/>
          <w:i/>
        </w:rPr>
        <w:t xml:space="preserve">p</w:t>
      </w:r>
      <w:r>
        <w:t xml:space="preserve"> </w:t>
      </w:r>
      <w:r>
        <w:t xml:space="preserve">&lt; .0001). c) Pathogen damage</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0.0338,</w:t>
      </w:r>
      <w:r>
        <w:t xml:space="preserve"> </w:t>
      </w:r>
      <w:r>
        <w:rPr>
          <w:iCs/>
          <w:i/>
        </w:rPr>
        <w:t xml:space="preserve">p</w:t>
      </w:r>
      <w:r>
        <w:t xml:space="preserve"> </w:t>
      </w:r>
      <w:r>
        <w:t xml:space="preserve">&lt; .001).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0.0295,</w:t>
      </w:r>
      <w:r>
        <w:t xml:space="preserve"> </w:t>
      </w:r>
      <w:r>
        <w:rPr>
          <w:iCs/>
          <w:i/>
        </w:rPr>
        <w:t xml:space="preserve">p</w:t>
      </w:r>
      <w:r>
        <w:t xml:space="preserve"> </w:t>
      </w:r>
      <w:r>
        <w:t xml:space="preserve">&lt; .001). e) Pathogen damage</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0.0152 ,</w:t>
      </w:r>
      <w:r>
        <w:t xml:space="preserve"> </w:t>
      </w:r>
      <w:r>
        <w:rPr>
          <w:iCs/>
          <w:i/>
        </w:rPr>
        <w:t xml:space="preserve">p</w:t>
      </w:r>
      <w:r>
        <w:t xml:space="preserve"> </w:t>
      </w:r>
      <w:r>
        <w:t xml:space="preserve">&lt; .001).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71"/>
    <w:bookmarkStart w:id="273" w:name="figure-s9"/>
    <w:p>
      <w:pPr>
        <w:pStyle w:val="Heading2"/>
      </w:pPr>
      <w:r>
        <w:t xml:space="preserve">15.9 Figure S9</w:t>
      </w:r>
    </w:p>
    <w:tbl>
      <w:tblPr>
        <w:tblStyle w:val="Table"/>
        <w:tblW w:type="pct" w:w="5000"/>
        <w:tblLook w:firstRow="0" w:lastRow="0" w:firstColumn="0" w:lastColumn="0" w:noHBand="0" w:noVBand="0" w:val="0000"/>
        <w:jc w:val="start"/>
        <w:tblLayout w:type="fixed"/>
      </w:tblPr>
      <w:tblGrid>
        <w:gridCol w:w="7920"/>
      </w:tblGrid>
      <w:tr>
        <w:tc>
          <w:tcPr/>
          <w:bookmarkStart w:id="272" w:name="fig-S9"/>
          <w:p>
            <w:pPr>
              <w:pStyle w:val="Compact"/>
              <w:jc w:val="center"/>
            </w:pPr>
            <w:r>
              <w:t xml:space="preserve">Simple linear regression of tiered mock community.</w:t>
            </w:r>
          </w:p>
          <w:p>
            <w:pPr>
              <w:jc w:val="center"/>
            </w:pPr>
            <w:pPr>
              <w:jc w:val="start"/>
              <w:spacing w:before="200"/>
              <w:pStyle w:val="ImageCaption"/>
            </w:pPr>
            <w:r>
              <w:t xml:space="preserve">Figure 1</w:t>
            </w:r>
          </w:p>
          <w:bookmarkEnd w:id="272"/>
        </w:tc>
      </w:tr>
    </w:tbl>
    <w:bookmarkEnd w:id="273"/>
    <w:bookmarkStart w:id="278" w:name="supplementary-material---methods"/>
    <w:p>
      <w:pPr>
        <w:pStyle w:val="Heading2"/>
      </w:pPr>
      <w:r>
        <w:t xml:space="preserve">15.10 Supplementary Material - Methods</w:t>
      </w:r>
    </w:p>
    <w:bookmarkStart w:id="274" w:name="seed-collection-and-sterilization"/>
    <w:p>
      <w:pPr>
        <w:pStyle w:val="Heading4"/>
      </w:pPr>
      <w:r>
        <w:t xml:space="preserve">15.10.0.1 Seed collection and sterilization</w:t>
      </w:r>
    </w:p>
    <w:p>
      <w:pPr>
        <w:pStyle w:val="FirstParagraph"/>
      </w:pPr>
      <w:r>
        <w:t xml:space="preserve">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p>
    <w:bookmarkEnd w:id="274"/>
    <w:bookmarkStart w:id="275" w:name="Xb854481746d760d4ef3f2dd905b21c761b30e69"/>
    <w:p>
      <w:pPr>
        <w:pStyle w:val="Heading4"/>
      </w:pPr>
      <w:r>
        <w:t xml:space="preserve">15.10.0.2 Germination Tray and 24-pot tray sterilization</w:t>
      </w:r>
    </w:p>
    <w:p>
      <w:pPr>
        <w:pStyle w:val="FirstParagraph"/>
      </w:pPr>
      <w:r>
        <w:t xml:space="preserve">Plastic germination trays and 24-cell trays were sterilized in a 10% bleach bath for 20 minutes, sprayed with 70% ethanol, and paper towel dried right before adding soil/planting.</w:t>
      </w:r>
    </w:p>
    <w:bookmarkEnd w:id="275"/>
    <w:bookmarkStart w:id="276" w:name="planting-in-germination-trays"/>
    <w:p>
      <w:pPr>
        <w:pStyle w:val="Heading4"/>
      </w:pPr>
      <w:r>
        <w:t xml:space="preserve">15.10.0.3 Planting in germination trays</w:t>
      </w:r>
    </w:p>
    <w:p>
      <w:pPr>
        <w:pStyle w:val="FirstParagraph"/>
      </w:pPr>
      <w:r>
        <w:t xml:space="preserve">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p>
    <w:bookmarkEnd w:id="276"/>
    <w:bookmarkStart w:id="277" w:name="seedling-transfer-into-pots"/>
    <w:p>
      <w:pPr>
        <w:pStyle w:val="Heading4"/>
      </w:pPr>
      <w:r>
        <w:t xml:space="preserve">15.10.0.4 Seedling transfer into pots</w:t>
      </w:r>
    </w:p>
    <w:p>
      <w:pPr>
        <w:pStyle w:val="FirstParagraph"/>
      </w:pPr>
      <w:r>
        <w:t xml:space="preserve">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p>
    <w:bookmarkEnd w:id="277"/>
    <w:bookmarkEnd w:id="278"/>
    <w:bookmarkEnd w:id="279"/>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08" Target="media/rId208.png" /><Relationship Type="http://schemas.openxmlformats.org/officeDocument/2006/relationships/image" Id="rId216" Target="media/rId21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image" Id="rId260" Target="media/rId260.png" /><Relationship Type="http://schemas.openxmlformats.org/officeDocument/2006/relationships/image" Id="rId264" Target="media/rId264.png" /><Relationship Type="http://schemas.openxmlformats.org/officeDocument/2006/relationships/image" Id="rId212" Target="media/rId212.png" /><Relationship Type="http://schemas.openxmlformats.org/officeDocument/2006/relationships/image" Id="rId268" Target="media/rId268.png" /><Relationship Type="http://schemas.openxmlformats.org/officeDocument/2006/relationships/hyperlink" Id="rId61" Target="https://CRAN.R-project.org/package=MuMIn" TargetMode="External" /><Relationship Type="http://schemas.openxmlformats.org/officeDocument/2006/relationships/hyperlink" Id="rId200" Target="https://CRAN.R-project.org/package=ggplot2" TargetMode="External" /><Relationship Type="http://schemas.openxmlformats.org/officeDocument/2006/relationships/hyperlink" Id="rId112" Target="https://CRAN.R-project.org/package=gt" TargetMode="External" /><Relationship Type="http://schemas.openxmlformats.org/officeDocument/2006/relationships/hyperlink" Id="rId150" Target="https://CRAN.R-project.org/package=gtExtras" TargetMode="External" /><Relationship Type="http://schemas.openxmlformats.org/officeDocument/2006/relationships/hyperlink" Id="rId110" Target="https://CRAN.R-project.org/package=huxtable" TargetMode="External" /><Relationship Type="http://schemas.openxmlformats.org/officeDocument/2006/relationships/hyperlink" Id="rId162" Target="https://CRAN.R-project.org/package=nlme" TargetMode="External" /><Relationship Type="http://schemas.openxmlformats.org/officeDocument/2006/relationships/hyperlink" Id="rId98" Target="https://ardata-fr.github.io/flextable-book/" TargetMode="External" /><Relationship Type="http://schemas.openxmlformats.org/officeDocument/2006/relationships/hyperlink" Id="rId53" Target="https://doi.org/10.1002/9781118445112.stat07841" TargetMode="External" /><Relationship Type="http://schemas.openxmlformats.org/officeDocument/2006/relationships/hyperlink" Id="rId190" Target="https://doi.org/10.1007/978-3-319-24274-3_5" TargetMode="External" /><Relationship Type="http://schemas.openxmlformats.org/officeDocument/2006/relationships/hyperlink" Id="rId81" Target="https://doi.org/10.1007/978-81-322-1575-2" TargetMode="External" /><Relationship Type="http://schemas.openxmlformats.org/officeDocument/2006/relationships/hyperlink" Id="rId160" Target="https://doi.org/10.1007/b98882" TargetMode="External" /><Relationship Type="http://schemas.openxmlformats.org/officeDocument/2006/relationships/hyperlink" Id="rId136" Target="https://doi.org/10.1007/s00442-014-3177-2" TargetMode="External" /><Relationship Type="http://schemas.openxmlformats.org/officeDocument/2006/relationships/hyperlink" Id="rId146" Target="https://doi.org/10.1016/j.biocontrol.2008.01.012" TargetMode="External" /><Relationship Type="http://schemas.openxmlformats.org/officeDocument/2006/relationships/hyperlink" Id="rId106" Target="https://doi.org/10.1016/j.funeco.2013.12.005" TargetMode="External" /><Relationship Type="http://schemas.openxmlformats.org/officeDocument/2006/relationships/hyperlink" Id="rId104" Target="https://doi.org/10.1016/j.ppees.2007.01.001" TargetMode="External" /><Relationship Type="http://schemas.openxmlformats.org/officeDocument/2006/relationships/hyperlink" Id="rId140" Target="https://doi.org/10.1016/j.tree.2006.02.002" TargetMode="External" /><Relationship Type="http://schemas.openxmlformats.org/officeDocument/2006/relationships/hyperlink" Id="rId55" Target="https://doi.org/10.1017/S0266467407004038" TargetMode="External" /><Relationship Type="http://schemas.openxmlformats.org/officeDocument/2006/relationships/hyperlink" Id="rId204" Target="https://doi.org/10.1038/nature02403" TargetMode="External" /><Relationship Type="http://schemas.openxmlformats.org/officeDocument/2006/relationships/hyperlink" Id="rId182" Target="https://doi.org/10.1038/nmeth.2089" TargetMode="External" /><Relationship Type="http://schemas.openxmlformats.org/officeDocument/2006/relationships/hyperlink" Id="rId194" Target="https://doi.org/10.1038/s41559-019-0975-2" TargetMode="External" /><Relationship Type="http://schemas.openxmlformats.org/officeDocument/2006/relationships/hyperlink" Id="rId154" Target="https://doi.org/10.1038/s42003-021-01826-7" TargetMode="External" /><Relationship Type="http://schemas.openxmlformats.org/officeDocument/2006/relationships/hyperlink" Id="rId73" Target="https://doi.org/10.1039/C7CS00343A" TargetMode="External" /><Relationship Type="http://schemas.openxmlformats.org/officeDocument/2006/relationships/hyperlink" Id="rId57" Target="https://doi.org/10.1046/j.1461-0248.2000.00159.x" TargetMode="External" /><Relationship Type="http://schemas.openxmlformats.org/officeDocument/2006/relationships/hyperlink" Id="rId51" Target="https://doi.org/10.1071/FP09304" TargetMode="External" /><Relationship Type="http://schemas.openxmlformats.org/officeDocument/2006/relationships/hyperlink" Id="rId96" Target="https://doi.org/10.1073/pnas.0607968104" TargetMode="External" /><Relationship Type="http://schemas.openxmlformats.org/officeDocument/2006/relationships/hyperlink" Id="rId122" Target="https://doi.org/10.1073/pnas.0909820106" TargetMode="External" /><Relationship Type="http://schemas.openxmlformats.org/officeDocument/2006/relationships/hyperlink" Id="rId178" Target="https://doi.org/10.1073/pnas.1706324114" TargetMode="External" /><Relationship Type="http://schemas.openxmlformats.org/officeDocument/2006/relationships/hyperlink" Id="rId59" Target="https://doi.org/10.1073/pnas.2533483100" TargetMode="External" /><Relationship Type="http://schemas.openxmlformats.org/officeDocument/2006/relationships/hyperlink" Id="rId184" Target="https://doi.org/10.1086/367580" TargetMode="External" /><Relationship Type="http://schemas.openxmlformats.org/officeDocument/2006/relationships/hyperlink" Id="rId108" Target="https://doi.org/10.1086/651300" TargetMode="External" /><Relationship Type="http://schemas.openxmlformats.org/officeDocument/2006/relationships/hyperlink" Id="rId118" Target="https://doi.org/10.1093/aob/mct036" TargetMode="External" /><Relationship Type="http://schemas.openxmlformats.org/officeDocument/2006/relationships/hyperlink" Id="rId100" Target="https://doi.org/10.1093/aobpla/plw050" TargetMode="External" /><Relationship Type="http://schemas.openxmlformats.org/officeDocument/2006/relationships/hyperlink" Id="rId69" Target="https://doi.org/10.1093/bioinformatics/btw808" TargetMode="External" /><Relationship Type="http://schemas.openxmlformats.org/officeDocument/2006/relationships/hyperlink" Id="rId158" Target="https://doi.org/10.1093/bioinformatics/bty633" TargetMode="External" /><Relationship Type="http://schemas.openxmlformats.org/officeDocument/2006/relationships/hyperlink" Id="rId148" Target="https://doi.org/10.1093/molbev/msaa015" TargetMode="External" /><Relationship Type="http://schemas.openxmlformats.org/officeDocument/2006/relationships/hyperlink" Id="rId87" Target="https://doi.org/10.1093/nar/gkh340" TargetMode="External" /><Relationship Type="http://schemas.openxmlformats.org/officeDocument/2006/relationships/hyperlink" Id="rId65" Target="https://doi.org/10.1098/rsbl.2010.0456" TargetMode="External" /><Relationship Type="http://schemas.openxmlformats.org/officeDocument/2006/relationships/hyperlink" Id="rId170" Target="https://doi.org/10.1098/rsos.160628" TargetMode="External" /><Relationship Type="http://schemas.openxmlformats.org/officeDocument/2006/relationships/hyperlink" Id="rId124" Target="https://doi.org/10.1098/rstb.2011.0248" TargetMode="External" /><Relationship Type="http://schemas.openxmlformats.org/officeDocument/2006/relationships/hyperlink" Id="rId83" Target="https://doi.org/10.1098/rstb.2017.0395" TargetMode="External" /><Relationship Type="http://schemas.openxmlformats.org/officeDocument/2006/relationships/hyperlink" Id="rId188" Target="https://doi.org/10.1111/btp.12303" TargetMode="External" /><Relationship Type="http://schemas.openxmlformats.org/officeDocument/2006/relationships/hyperlink" Id="rId91" Target="https://doi.org/10.1111/j.1469-8137.2005.01333.x" TargetMode="External" /><Relationship Type="http://schemas.openxmlformats.org/officeDocument/2006/relationships/hyperlink" Id="rId202" Target="https://doi.org/10.1111/j.1469-8137.2005.01349.x" TargetMode="External" /><Relationship Type="http://schemas.openxmlformats.org/officeDocument/2006/relationships/hyperlink" Id="rId172" Target="https://doi.org/10.1111/j.1469-8137.2009.02773.x" TargetMode="External" /><Relationship Type="http://schemas.openxmlformats.org/officeDocument/2006/relationships/hyperlink" Id="rId120" Target="https://doi.org/10.1111/j.1469-8137.2012.04203.x" TargetMode="External" /><Relationship Type="http://schemas.openxmlformats.org/officeDocument/2006/relationships/hyperlink" Id="rId180" Target="https://doi.org/10.1111/j.1752-4571.2010.00141.x" TargetMode="External" /><Relationship Type="http://schemas.openxmlformats.org/officeDocument/2006/relationships/hyperlink" Id="rId129" Target="https://doi.org/10.1111/j.2041-210X.2010.00078.x" TargetMode="External" /><Relationship Type="http://schemas.openxmlformats.org/officeDocument/2006/relationships/hyperlink" Id="rId63" Target="https://doi.org/10.1111/j.2517-6161.1995.tb02031.x" TargetMode="External" /><Relationship Type="http://schemas.openxmlformats.org/officeDocument/2006/relationships/hyperlink" Id="rId132" Target="https://doi.org/10.1111/mpp.13209" TargetMode="External" /><Relationship Type="http://schemas.openxmlformats.org/officeDocument/2006/relationships/hyperlink" Id="rId89" Target="https://doi.org/10.1111/nph.12140" TargetMode="External" /><Relationship Type="http://schemas.openxmlformats.org/officeDocument/2006/relationships/hyperlink" Id="rId71" Target="https://doi.org/10.1128/MRA.00328-19" TargetMode="External" /><Relationship Type="http://schemas.openxmlformats.org/officeDocument/2006/relationships/hyperlink" Id="rId94" Target="https://doi.org/10.1146/annurev-ecolsys-102710-145039" TargetMode="External" /><Relationship Type="http://schemas.openxmlformats.org/officeDocument/2006/relationships/hyperlink" Id="rId166" Target="https://doi.org/10.1146/annurev-phyto-080508-081831" TargetMode="External" /><Relationship Type="http://schemas.openxmlformats.org/officeDocument/2006/relationships/hyperlink" Id="rId198" Target="https://doi.org/10.1186/s40168-017-0237-y" TargetMode="External" /><Relationship Type="http://schemas.openxmlformats.org/officeDocument/2006/relationships/hyperlink" Id="rId75" Target="https://doi.org/10.1201/9781315119496-6" TargetMode="External" /><Relationship Type="http://schemas.openxmlformats.org/officeDocument/2006/relationships/hyperlink" Id="rId196" Target="https://doi.org/10.1201/9781315119496-7" TargetMode="External" /><Relationship Type="http://schemas.openxmlformats.org/officeDocument/2006/relationships/hyperlink" Id="rId142" Target="https://doi.org/10.1371/journal.pone.0061217" TargetMode="External" /><Relationship Type="http://schemas.openxmlformats.org/officeDocument/2006/relationships/hyperlink" Id="rId126" Target="https://doi.org/10.1890/0012-9615(1999)069[0001:DBRATM]2.0.CO;2" TargetMode="External" /><Relationship Type="http://schemas.openxmlformats.org/officeDocument/2006/relationships/hyperlink" Id="rId138" Target="https://doi.org/10.1890/0012-9658(2001)082[0290:FMMTCD]2.0.CO;2" TargetMode="External" /><Relationship Type="http://schemas.openxmlformats.org/officeDocument/2006/relationships/hyperlink" Id="rId164" Target="https://doi.org/10.1890/0012-9658(2006)87[1733:LTAGPO]2.0.CO;2" TargetMode="External" /><Relationship Type="http://schemas.openxmlformats.org/officeDocument/2006/relationships/hyperlink" Id="rId67" Target="https://doi.org/10.1890/07-0986.1" TargetMode="External" /><Relationship Type="http://schemas.openxmlformats.org/officeDocument/2006/relationships/hyperlink" Id="rId85" Target="https://doi.org/10.1890/08-1823.1" TargetMode="External" /><Relationship Type="http://schemas.openxmlformats.org/officeDocument/2006/relationships/hyperlink" Id="rId77" Target="https://doi.org/10.1890/ES13-00012.1" TargetMode="External" /><Relationship Type="http://schemas.openxmlformats.org/officeDocument/2006/relationships/hyperlink" Id="rId134" Target="https://doi.org/10.3114/sim.2010.66.01" TargetMode="External" /><Relationship Type="http://schemas.openxmlformats.org/officeDocument/2006/relationships/hyperlink" Id="rId79" Target="https://doi.org/10.3114/sim.55.1.213" TargetMode="External" /><Relationship Type="http://schemas.openxmlformats.org/officeDocument/2006/relationships/hyperlink" Id="rId144" Target="https://doi.org/10.3389/fmicb.2014.00479" TargetMode="External" /><Relationship Type="http://schemas.openxmlformats.org/officeDocument/2006/relationships/hyperlink" Id="rId152" Target="https://doi.org/10.3389/fpls.2023.1169558" TargetMode="External" /><Relationship Type="http://schemas.openxmlformats.org/officeDocument/2006/relationships/hyperlink" Id="rId102" Target="https://doi.org/10.3390/genes9060309" TargetMode="External" /><Relationship Type="http://schemas.openxmlformats.org/officeDocument/2006/relationships/hyperlink" Id="rId176" Target="https://doi.org/10.3897/mycokeys.91.84896" TargetMode="External" /><Relationship Type="http://schemas.openxmlformats.org/officeDocument/2006/relationships/hyperlink" Id="rId174" Target="https://doi.org/10.7717/peerj.2584" TargetMode="External" /><Relationship Type="http://schemas.openxmlformats.org/officeDocument/2006/relationships/hyperlink" Id="rId192" Target="https://doi.org/dx.doi.org/10.17504/protocols.io.fscbnaw" TargetMode="External" /><Relationship Type="http://schemas.openxmlformats.org/officeDocument/2006/relationships/hyperlink" Id="rId186" Target="https://doi.org/lutzoni" TargetMode="External" /><Relationship Type="http://schemas.openxmlformats.org/officeDocument/2006/relationships/hyperlink" Id="rId156" Target="https://github.com/vegandevs/vegan" TargetMode="External" /><Relationship Type="http://schemas.openxmlformats.org/officeDocument/2006/relationships/hyperlink" Id="rId114" Target="https://rpkgs.datanovia.com/ggpubr/" TargetMode="External" /><Relationship Type="http://schemas.openxmlformats.org/officeDocument/2006/relationships/hyperlink" Id="rId116" Target="https://rpkgs.datanovia.com/rstatix/" TargetMode="External" /><Relationship Type="http://schemas.openxmlformats.org/officeDocument/2006/relationships/hyperlink" Id="rId168" Target="https://www.R-project.org/"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61" Target="https://CRAN.R-project.org/package=MuMIn" TargetMode="External" /><Relationship Type="http://schemas.openxmlformats.org/officeDocument/2006/relationships/hyperlink" Id="rId200" Target="https://CRAN.R-project.org/package=ggplot2" TargetMode="External" /><Relationship Type="http://schemas.openxmlformats.org/officeDocument/2006/relationships/hyperlink" Id="rId112" Target="https://CRAN.R-project.org/package=gt" TargetMode="External" /><Relationship Type="http://schemas.openxmlformats.org/officeDocument/2006/relationships/hyperlink" Id="rId150" Target="https://CRAN.R-project.org/package=gtExtras" TargetMode="External" /><Relationship Type="http://schemas.openxmlformats.org/officeDocument/2006/relationships/hyperlink" Id="rId110" Target="https://CRAN.R-project.org/package=huxtable" TargetMode="External" /><Relationship Type="http://schemas.openxmlformats.org/officeDocument/2006/relationships/hyperlink" Id="rId162" Target="https://CRAN.R-project.org/package=nlme" TargetMode="External" /><Relationship Type="http://schemas.openxmlformats.org/officeDocument/2006/relationships/hyperlink" Id="rId98" Target="https://ardata-fr.github.io/flextable-book/" TargetMode="External" /><Relationship Type="http://schemas.openxmlformats.org/officeDocument/2006/relationships/hyperlink" Id="rId53" Target="https://doi.org/10.1002/9781118445112.stat07841" TargetMode="External" /><Relationship Type="http://schemas.openxmlformats.org/officeDocument/2006/relationships/hyperlink" Id="rId190" Target="https://doi.org/10.1007/978-3-319-24274-3_5" TargetMode="External" /><Relationship Type="http://schemas.openxmlformats.org/officeDocument/2006/relationships/hyperlink" Id="rId81" Target="https://doi.org/10.1007/978-81-322-1575-2" TargetMode="External" /><Relationship Type="http://schemas.openxmlformats.org/officeDocument/2006/relationships/hyperlink" Id="rId160" Target="https://doi.org/10.1007/b98882" TargetMode="External" /><Relationship Type="http://schemas.openxmlformats.org/officeDocument/2006/relationships/hyperlink" Id="rId136" Target="https://doi.org/10.1007/s00442-014-3177-2" TargetMode="External" /><Relationship Type="http://schemas.openxmlformats.org/officeDocument/2006/relationships/hyperlink" Id="rId146" Target="https://doi.org/10.1016/j.biocontrol.2008.01.012" TargetMode="External" /><Relationship Type="http://schemas.openxmlformats.org/officeDocument/2006/relationships/hyperlink" Id="rId106" Target="https://doi.org/10.1016/j.funeco.2013.12.005" TargetMode="External" /><Relationship Type="http://schemas.openxmlformats.org/officeDocument/2006/relationships/hyperlink" Id="rId104" Target="https://doi.org/10.1016/j.ppees.2007.01.001" TargetMode="External" /><Relationship Type="http://schemas.openxmlformats.org/officeDocument/2006/relationships/hyperlink" Id="rId140" Target="https://doi.org/10.1016/j.tree.2006.02.002" TargetMode="External" /><Relationship Type="http://schemas.openxmlformats.org/officeDocument/2006/relationships/hyperlink" Id="rId55" Target="https://doi.org/10.1017/S0266467407004038" TargetMode="External" /><Relationship Type="http://schemas.openxmlformats.org/officeDocument/2006/relationships/hyperlink" Id="rId204" Target="https://doi.org/10.1038/nature02403" TargetMode="External" /><Relationship Type="http://schemas.openxmlformats.org/officeDocument/2006/relationships/hyperlink" Id="rId182" Target="https://doi.org/10.1038/nmeth.2089" TargetMode="External" /><Relationship Type="http://schemas.openxmlformats.org/officeDocument/2006/relationships/hyperlink" Id="rId194" Target="https://doi.org/10.1038/s41559-019-0975-2" TargetMode="External" /><Relationship Type="http://schemas.openxmlformats.org/officeDocument/2006/relationships/hyperlink" Id="rId154" Target="https://doi.org/10.1038/s42003-021-01826-7" TargetMode="External" /><Relationship Type="http://schemas.openxmlformats.org/officeDocument/2006/relationships/hyperlink" Id="rId73" Target="https://doi.org/10.1039/C7CS00343A" TargetMode="External" /><Relationship Type="http://schemas.openxmlformats.org/officeDocument/2006/relationships/hyperlink" Id="rId57" Target="https://doi.org/10.1046/j.1461-0248.2000.00159.x" TargetMode="External" /><Relationship Type="http://schemas.openxmlformats.org/officeDocument/2006/relationships/hyperlink" Id="rId51" Target="https://doi.org/10.1071/FP09304" TargetMode="External" /><Relationship Type="http://schemas.openxmlformats.org/officeDocument/2006/relationships/hyperlink" Id="rId96" Target="https://doi.org/10.1073/pnas.0607968104" TargetMode="External" /><Relationship Type="http://schemas.openxmlformats.org/officeDocument/2006/relationships/hyperlink" Id="rId122" Target="https://doi.org/10.1073/pnas.0909820106" TargetMode="External" /><Relationship Type="http://schemas.openxmlformats.org/officeDocument/2006/relationships/hyperlink" Id="rId178" Target="https://doi.org/10.1073/pnas.1706324114" TargetMode="External" /><Relationship Type="http://schemas.openxmlformats.org/officeDocument/2006/relationships/hyperlink" Id="rId59" Target="https://doi.org/10.1073/pnas.2533483100" TargetMode="External" /><Relationship Type="http://schemas.openxmlformats.org/officeDocument/2006/relationships/hyperlink" Id="rId184" Target="https://doi.org/10.1086/367580" TargetMode="External" /><Relationship Type="http://schemas.openxmlformats.org/officeDocument/2006/relationships/hyperlink" Id="rId108" Target="https://doi.org/10.1086/651300" TargetMode="External" /><Relationship Type="http://schemas.openxmlformats.org/officeDocument/2006/relationships/hyperlink" Id="rId118" Target="https://doi.org/10.1093/aob/mct036" TargetMode="External" /><Relationship Type="http://schemas.openxmlformats.org/officeDocument/2006/relationships/hyperlink" Id="rId100" Target="https://doi.org/10.1093/aobpla/plw050" TargetMode="External" /><Relationship Type="http://schemas.openxmlformats.org/officeDocument/2006/relationships/hyperlink" Id="rId69" Target="https://doi.org/10.1093/bioinformatics/btw808" TargetMode="External" /><Relationship Type="http://schemas.openxmlformats.org/officeDocument/2006/relationships/hyperlink" Id="rId158" Target="https://doi.org/10.1093/bioinformatics/bty633" TargetMode="External" /><Relationship Type="http://schemas.openxmlformats.org/officeDocument/2006/relationships/hyperlink" Id="rId148" Target="https://doi.org/10.1093/molbev/msaa015" TargetMode="External" /><Relationship Type="http://schemas.openxmlformats.org/officeDocument/2006/relationships/hyperlink" Id="rId87" Target="https://doi.org/10.1093/nar/gkh340" TargetMode="External" /><Relationship Type="http://schemas.openxmlformats.org/officeDocument/2006/relationships/hyperlink" Id="rId65" Target="https://doi.org/10.1098/rsbl.2010.0456" TargetMode="External" /><Relationship Type="http://schemas.openxmlformats.org/officeDocument/2006/relationships/hyperlink" Id="rId170" Target="https://doi.org/10.1098/rsos.160628" TargetMode="External" /><Relationship Type="http://schemas.openxmlformats.org/officeDocument/2006/relationships/hyperlink" Id="rId124" Target="https://doi.org/10.1098/rstb.2011.0248" TargetMode="External" /><Relationship Type="http://schemas.openxmlformats.org/officeDocument/2006/relationships/hyperlink" Id="rId83" Target="https://doi.org/10.1098/rstb.2017.0395" TargetMode="External" /><Relationship Type="http://schemas.openxmlformats.org/officeDocument/2006/relationships/hyperlink" Id="rId188" Target="https://doi.org/10.1111/btp.12303" TargetMode="External" /><Relationship Type="http://schemas.openxmlformats.org/officeDocument/2006/relationships/hyperlink" Id="rId91" Target="https://doi.org/10.1111/j.1469-8137.2005.01333.x" TargetMode="External" /><Relationship Type="http://schemas.openxmlformats.org/officeDocument/2006/relationships/hyperlink" Id="rId202" Target="https://doi.org/10.1111/j.1469-8137.2005.01349.x" TargetMode="External" /><Relationship Type="http://schemas.openxmlformats.org/officeDocument/2006/relationships/hyperlink" Id="rId172" Target="https://doi.org/10.1111/j.1469-8137.2009.02773.x" TargetMode="External" /><Relationship Type="http://schemas.openxmlformats.org/officeDocument/2006/relationships/hyperlink" Id="rId120" Target="https://doi.org/10.1111/j.1469-8137.2012.04203.x" TargetMode="External" /><Relationship Type="http://schemas.openxmlformats.org/officeDocument/2006/relationships/hyperlink" Id="rId180" Target="https://doi.org/10.1111/j.1752-4571.2010.00141.x" TargetMode="External" /><Relationship Type="http://schemas.openxmlformats.org/officeDocument/2006/relationships/hyperlink" Id="rId129" Target="https://doi.org/10.1111/j.2041-210X.2010.00078.x" TargetMode="External" /><Relationship Type="http://schemas.openxmlformats.org/officeDocument/2006/relationships/hyperlink" Id="rId63" Target="https://doi.org/10.1111/j.2517-6161.1995.tb02031.x" TargetMode="External" /><Relationship Type="http://schemas.openxmlformats.org/officeDocument/2006/relationships/hyperlink" Id="rId132" Target="https://doi.org/10.1111/mpp.13209" TargetMode="External" /><Relationship Type="http://schemas.openxmlformats.org/officeDocument/2006/relationships/hyperlink" Id="rId89" Target="https://doi.org/10.1111/nph.12140" TargetMode="External" /><Relationship Type="http://schemas.openxmlformats.org/officeDocument/2006/relationships/hyperlink" Id="rId71" Target="https://doi.org/10.1128/MRA.00328-19" TargetMode="External" /><Relationship Type="http://schemas.openxmlformats.org/officeDocument/2006/relationships/hyperlink" Id="rId94" Target="https://doi.org/10.1146/annurev-ecolsys-102710-145039" TargetMode="External" /><Relationship Type="http://schemas.openxmlformats.org/officeDocument/2006/relationships/hyperlink" Id="rId166" Target="https://doi.org/10.1146/annurev-phyto-080508-081831" TargetMode="External" /><Relationship Type="http://schemas.openxmlformats.org/officeDocument/2006/relationships/hyperlink" Id="rId198" Target="https://doi.org/10.1186/s40168-017-0237-y" TargetMode="External" /><Relationship Type="http://schemas.openxmlformats.org/officeDocument/2006/relationships/hyperlink" Id="rId75" Target="https://doi.org/10.1201/9781315119496-6" TargetMode="External" /><Relationship Type="http://schemas.openxmlformats.org/officeDocument/2006/relationships/hyperlink" Id="rId196" Target="https://doi.org/10.1201/9781315119496-7" TargetMode="External" /><Relationship Type="http://schemas.openxmlformats.org/officeDocument/2006/relationships/hyperlink" Id="rId142" Target="https://doi.org/10.1371/journal.pone.0061217" TargetMode="External" /><Relationship Type="http://schemas.openxmlformats.org/officeDocument/2006/relationships/hyperlink" Id="rId126" Target="https://doi.org/10.1890/0012-9615(1999)069[0001:DBRATM]2.0.CO;2" TargetMode="External" /><Relationship Type="http://schemas.openxmlformats.org/officeDocument/2006/relationships/hyperlink" Id="rId138" Target="https://doi.org/10.1890/0012-9658(2001)082[0290:FMMTCD]2.0.CO;2" TargetMode="External" /><Relationship Type="http://schemas.openxmlformats.org/officeDocument/2006/relationships/hyperlink" Id="rId164" Target="https://doi.org/10.1890/0012-9658(2006)87[1733:LTAGPO]2.0.CO;2" TargetMode="External" /><Relationship Type="http://schemas.openxmlformats.org/officeDocument/2006/relationships/hyperlink" Id="rId67" Target="https://doi.org/10.1890/07-0986.1" TargetMode="External" /><Relationship Type="http://schemas.openxmlformats.org/officeDocument/2006/relationships/hyperlink" Id="rId85" Target="https://doi.org/10.1890/08-1823.1" TargetMode="External" /><Relationship Type="http://schemas.openxmlformats.org/officeDocument/2006/relationships/hyperlink" Id="rId77" Target="https://doi.org/10.1890/ES13-00012.1" TargetMode="External" /><Relationship Type="http://schemas.openxmlformats.org/officeDocument/2006/relationships/hyperlink" Id="rId134" Target="https://doi.org/10.3114/sim.2010.66.01" TargetMode="External" /><Relationship Type="http://schemas.openxmlformats.org/officeDocument/2006/relationships/hyperlink" Id="rId79" Target="https://doi.org/10.3114/sim.55.1.213" TargetMode="External" /><Relationship Type="http://schemas.openxmlformats.org/officeDocument/2006/relationships/hyperlink" Id="rId144" Target="https://doi.org/10.3389/fmicb.2014.00479" TargetMode="External" /><Relationship Type="http://schemas.openxmlformats.org/officeDocument/2006/relationships/hyperlink" Id="rId152" Target="https://doi.org/10.3389/fpls.2023.1169558" TargetMode="External" /><Relationship Type="http://schemas.openxmlformats.org/officeDocument/2006/relationships/hyperlink" Id="rId102" Target="https://doi.org/10.3390/genes9060309" TargetMode="External" /><Relationship Type="http://schemas.openxmlformats.org/officeDocument/2006/relationships/hyperlink" Id="rId176" Target="https://doi.org/10.3897/mycokeys.91.84896" TargetMode="External" /><Relationship Type="http://schemas.openxmlformats.org/officeDocument/2006/relationships/hyperlink" Id="rId174" Target="https://doi.org/10.7717/peerj.2584" TargetMode="External" /><Relationship Type="http://schemas.openxmlformats.org/officeDocument/2006/relationships/hyperlink" Id="rId192" Target="https://doi.org/dx.doi.org/10.17504/protocols.io.fscbnaw" TargetMode="External" /><Relationship Type="http://schemas.openxmlformats.org/officeDocument/2006/relationships/hyperlink" Id="rId186" Target="https://doi.org/lutzoni" TargetMode="External" /><Relationship Type="http://schemas.openxmlformats.org/officeDocument/2006/relationships/hyperlink" Id="rId156" Target="https://github.com/vegandevs/vegan" TargetMode="External" /><Relationship Type="http://schemas.openxmlformats.org/officeDocument/2006/relationships/hyperlink" Id="rId114" Target="https://rpkgs.datanovia.com/ggpubr/" TargetMode="External" /><Relationship Type="http://schemas.openxmlformats.org/officeDocument/2006/relationships/hyperlink" Id="rId116" Target="https://rpkgs.datanovia.com/rstatix/" TargetMode="External" /><Relationship Type="http://schemas.openxmlformats.org/officeDocument/2006/relationships/hyperlink" Id="rId168" Target="https://www.R-project.org/"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Endophyte-Rich Leaves and Leaf Functional Traits’ Role in Protecting Tropical Trees Against a Generalist Herbivore and a Pathogen</dc:title>
  <dc:creator>Bolívar Aponte Rolón1,✉, A. Elizabeth Arnold2, Mareli Sánchez Juliá1, and Sunshine A. Van Bael1,1</dc:creator>
  <cp:keywords/>
  <dcterms:created xsi:type="dcterms:W3CDTF">2024-10-05T02:33:37Z</dcterms:created>
  <dcterms:modified xsi:type="dcterms:W3CDTF">2024-10-05T02:33:37Z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2024-10-04</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