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Evaluating the Role of Endophyte-Rich Leaves in Protecting Tropical Trees Against a Generalist Herbivore and a Pathogen</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2024-09-03</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&lt;baponterolon@tulane.edu&gt;</w:t>
        </w:r>
      </w:hyperlink>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better defended than soft leaves and we can measure this spectrum of defenses via leaf functional traits (LFTs).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E-low</w:t>
      </w:r>
      <w:r>
        <w:rPr/>
        <w:t>) and high FEF load (</w:t>
      </w:r>
      <w:r>
        <w:rPr>
          <w:i/>
          <w:iCs/>
        </w:rPr>
        <w:t>E-high</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E-low</w:t>
      </w:r>
      <w:r>
        <w:rPr/>
        <w:t xml:space="preserve"> treatment compared to the </w:t>
      </w:r>
      <w:r>
        <w:rPr>
          <w:i/>
          <w:iCs/>
        </w:rPr>
        <w:t>E-high</w:t>
      </w:r>
      <w:r>
        <w:rPr/>
        <w:t xml:space="preserve"> treatment, but no difference in pathogen damage. However, within </w:t>
      </w:r>
      <w:r>
        <w:rPr>
          <w:i/>
          <w:iCs/>
        </w:rPr>
        <w:t>E-low</w:t>
      </w:r>
      <w:r>
        <w:rPr/>
        <w:t xml:space="preserve"> and </w:t>
      </w:r>
      <w:r>
        <w:rPr>
          <w:i/>
          <w:iCs/>
        </w:rPr>
        <w:t>E-high</w:t>
      </w:r>
      <w:r>
        <w:rPr/>
        <w:t xml:space="preserve"> treatment groups, leaves exposed to pathogen had greater leaf damage than non-exposed leaves . Dimensionality reduction of LFTs (i.e., LMA, toughness, thickness, and anthocyanin levels) revealed relationships among traits and distinct host species characteristics. All LFTs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(LFTs) within the leaf economic spectrum (LES) such as shape, leaf thickness, leaf strength, leaf mass per area (LMA), along with additional traits like anthocyanin levels, confer plants with strategies to ward off foliar herbivores and pathogens - key selective pressures in evolution (J. P. Anderson et al., 2010; Niklas et al., 2023; Wright et al., 2004).</w:t>
      </w:r>
    </w:p>
    <w:p>
      <w:pPr>
        <w:pStyle w:val="BodyText"/>
        <w:rPr/>
      </w:pPr>
      <w:r>
        <w:rPr/>
        <w:t>Leaf defenses can be placed conceptually along the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LFTs are expressed differentially across species and are influenced by their life history and the environment they occupy (Kitajima et al., 2013; Wright et al., 2004; Wright et al., 2005). Because they define the chemical, structural, and longevity characteristics of leaves, LFTs also influence associated leaf microbial communities (Saunders et al., 2010; Tellez et al., 2022). Many leaf-associated microbes establish in leaves via horizontal transmission and are thought to alter the physical and chemical traits of leaves (Chagas et al., 2018; reviewed in Christian et al., 2017; Van Bael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LFTs,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LFTs.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LFTs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LFTs: leaf mass per area (LMA), leaf thickness (LT), leaf toughness-measured as leaf punch strength (LPS)-, and anthocyanins (ACI), in response to inoculated (high FEF load, </w:t>
      </w:r>
      <w:r>
        <w:rPr>
          <w:i/>
          <w:iCs/>
        </w:rPr>
        <w:t>E-high</w:t>
      </w:r>
      <w:r>
        <w:rPr/>
        <w:t xml:space="preserve">) and non-inoculated (low FEF load, </w:t>
      </w:r>
      <w:r>
        <w:rPr>
          <w:i/>
          <w:iCs/>
        </w:rPr>
        <w:t>E-low</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LFTs on the low end of the economic spectrum (e.g., lower leaf mass per area) would have less herbivory and pathogen damage when treated with high FEF loads (</w:t>
      </w:r>
      <w:r>
        <w:rPr>
          <w:i/>
          <w:iCs/>
        </w:rPr>
        <w:t>E-high</w:t>
      </w:r>
      <w:r>
        <w:rPr/>
        <w:t>) compared to their low FEF counterparts (</w:t>
      </w:r>
      <w:r>
        <w:rPr>
          <w:i/>
          <w:iCs/>
        </w:rPr>
        <w:t>E-low</w:t>
      </w:r>
      <w:r>
        <w:rPr/>
        <w:t>); 3) Conversely, tree species with LFTs of the high side of the economic spectrum (e.g., greater leaf mass per area) treated with high FEF loads (</w:t>
      </w:r>
      <w:r>
        <w:rPr>
          <w:i/>
          <w:iCs/>
        </w:rPr>
        <w:t>E-high</w:t>
      </w:r>
      <w:r>
        <w:rPr/>
        <w:t>) would have no differences in herbivory and pathogen damage compared to their low FEF counterparts (</w:t>
      </w:r>
      <w:r>
        <w:rPr>
          <w:i/>
          <w:iCs/>
        </w:rPr>
        <w:t>E-low</w:t>
      </w:r>
      <w:r>
        <w:rPr/>
        <w:t>). Lastly, 4) we anticipated that leaves with LFTs on the high end of the economic spectrum would be experience less herbivory by leaf-cutter ants, but low FEF loads (</w:t>
      </w:r>
      <w:r>
        <w:rPr>
          <w:i/>
          <w:iCs/>
        </w:rPr>
        <w:t>E-low</w:t>
      </w:r>
      <w:r>
        <w:rPr/>
        <w:t>) in them could increase allurement.</w:t>
      </w:r>
      <w:bookmarkEnd w:id="2"/>
    </w:p>
    <w:p>
      <w:pPr>
        <w:pStyle w:val="Heading1"/>
        <w:rPr/>
      </w:pPr>
      <w:bookmarkStart w:id="3" w:name="materials-and-methods"/>
      <w:r>
        <w:rPr/>
        <w:t>4. Materials and Methods</w:t>
      </w:r>
    </w:p>
    <w:p>
      <w:pPr>
        <w:pStyle w:val="Heading3"/>
        <w:rPr/>
      </w:pPr>
      <w:bookmarkStart w:id="4" w:name="study-site-and-seedling-rearing"/>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LFTs (J.Wright </w:t>
      </w:r>
      <w:r>
        <w:rPr>
          <w:i/>
          <w:iCs/>
        </w:rPr>
        <w:t>unpublished data</w:t>
      </w:r>
      <w:r>
        <w:rPr/>
        <w:t>).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Appendix S1).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in plants that were not actively inoculated through our manipulations (see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Appendix S1 for further details on plastic tray and pot sterilizations protocols.</w:t>
      </w:r>
    </w:p>
    <w:p>
      <w:pPr>
        <w:pStyle w:val="BodyText"/>
        <w:rPr/>
      </w:pPr>
      <w:bookmarkStart w:id="5"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5"/>
    </w:p>
    <w:p>
      <w:pPr>
        <w:pStyle w:val="Heading3"/>
        <w:rPr/>
      </w:pPr>
      <w:bookmarkStart w:id="6"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E-high</w:t>
      </w:r>
      <w:r>
        <w:rPr/>
        <w:t>) and 10 plants were kept inside the greenhouse enclosure to maintain a low FEF load (</w:t>
      </w:r>
      <w:r>
        <w:rPr>
          <w:i/>
          <w:iCs/>
        </w:rPr>
        <w:t>E-low</w:t>
      </w:r>
      <w:r>
        <w:rPr/>
        <w:t xml:space="preserve">). Plants exposed to spore fall were placed on a table near (~10 m) the forest edge at dusk (~18:00 hours) and returned to the greenhouse at dawn (~07:00 hours) (Bittleston et al., 2011). We sprayed the </w:t>
      </w:r>
      <w:r>
        <w:rPr>
          <w:i/>
          <w:iCs/>
        </w:rPr>
        <w:t>E-high</w:t>
      </w:r>
      <w:r>
        <w:rPr/>
        <w:t xml:space="preserve"> seedlings with water to simulate rain and to promote endophyte spore germination and infection of leaves. Low FEF plants (</w:t>
      </w:r>
      <w:r>
        <w:rPr>
          <w:i/>
          <w:iCs/>
        </w:rPr>
        <w:t>E-low</w:t>
      </w:r>
      <w:r>
        <w:rPr/>
        <w:t xml:space="preserve">) were watered only at the soil level and shuffled and moved inside the greenhouse to simulate similar treatment as </w:t>
      </w:r>
      <w:r>
        <w:rPr>
          <w:i/>
          <w:iCs/>
        </w:rPr>
        <w:t>E-high</w:t>
      </w:r>
      <w:r>
        <w:rPr/>
        <w:t xml:space="preserve"> seedlings, but without spore fall exposure.</w:t>
      </w:r>
      <w:bookmarkEnd w:id="6"/>
    </w:p>
    <w:p>
      <w:pPr>
        <w:pStyle w:val="Heading3"/>
        <w:rPr/>
      </w:pPr>
      <w:bookmarkStart w:id="7" w:name="X6f36e9a8988e95971f2ed62ba6df30e3cf1a4a2"/>
      <w:r>
        <w:rPr/>
        <w:t xml:space="preserve">4.0.3 Determining differences in LFTs between </w:t>
      </w:r>
      <w:r>
        <w:rPr>
          <w:i/>
          <w:iCs/>
        </w:rPr>
        <w:t>E-high</w:t>
      </w:r>
      <w:r>
        <w:rPr/>
        <w:t xml:space="preserve"> and </w:t>
      </w:r>
      <w:r>
        <w:rPr>
          <w:i/>
          <w:iCs/>
        </w:rPr>
        <w:t>E-low</w:t>
      </w:r>
      <w:r>
        <w:rPr/>
        <w:t xml:space="preserve"> treatments</w:t>
      </w:r>
    </w:p>
    <w:p>
      <w:pPr>
        <w:pStyle w:val="Heading4"/>
        <w:rPr/>
      </w:pPr>
      <w:bookmarkStart w:id="8" w:name="leaf-trait-measurements"/>
      <w:r>
        <w:rPr/>
        <w:t>4.0.3.1 Leaf trait measurements</w:t>
      </w:r>
    </w:p>
    <w:p>
      <w:pPr>
        <w:pStyle w:val="FirstParagraph"/>
        <w:rPr/>
      </w:pPr>
      <w:r>
        <w:rPr/>
        <w:t>Three mature leaves were haphazardly collected 7 - 10 days after fungal inoculation from individuals in each treatment (</w:t>
      </w:r>
      <w:r>
        <w:rPr>
          <w:i/>
          <w:iCs/>
        </w:rPr>
        <w:t>E-high</w:t>
      </w:r>
      <w:r>
        <w:rPr/>
        <w:t xml:space="preserve">, </w:t>
      </w:r>
      <w:r>
        <w:rPr>
          <w:i/>
          <w:iCs/>
        </w:rPr>
        <w:t>E-low</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The ACM-200 takes into account leaf thickness when calculating an anthocyanin content index (ACI) value by computing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7"/>
      <w:bookmarkEnd w:id="8"/>
    </w:p>
    <w:p>
      <w:pPr>
        <w:pStyle w:val="Heading3"/>
        <w:rPr/>
      </w:pPr>
      <w:bookmarkStart w:id="9" w:name="X90e82c6f1ada12f4001b1b029b0567fdb0fbf64"/>
      <w:r>
        <w:rPr/>
        <w:t>4.0.4 Determining FEF abundance, richness, diversity and community composition</w:t>
      </w:r>
    </w:p>
    <w:p>
      <w:pPr>
        <w:pStyle w:val="Heading4"/>
        <w:rPr/>
      </w:pPr>
      <w:bookmarkStart w:id="10" w:name="X3c7a37fa2f4886460c6eb6a1de1f042d286b507"/>
      <w:r>
        <w:rPr/>
        <w:t>4.0.4.1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E-low</w:t>
      </w:r>
      <w:r>
        <w:rPr/>
        <w:t xml:space="preserve"> and </w:t>
      </w:r>
      <w:r>
        <w:rPr>
          <w:i/>
          <w:iCs/>
        </w:rPr>
        <w:t>E-high</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10"/>
    </w:p>
    <w:p>
      <w:pPr>
        <w:pStyle w:val="Heading4"/>
        <w:rPr/>
      </w:pPr>
      <w:bookmarkStart w:id="11" w:name="amplicon-sequencing"/>
      <w:r>
        <w:rPr/>
        <w:t>4.0.4.2 Amplicon sequencing</w:t>
      </w:r>
    </w:p>
    <w:p>
      <w:pPr>
        <w:pStyle w:val="FirstParagraph"/>
        <w:rPr/>
      </w:pPr>
      <w:bookmarkStart w:id="12" w:name="amplicon-sequencing"/>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bookmarkEnd w:id="12"/>
    </w:p>
    <w:p>
      <w:pPr>
        <w:pStyle w:val="Heading4"/>
        <w:rPr/>
      </w:pPr>
      <w:bookmarkStart w:id="13" w:name="mock-communities"/>
      <w:r>
        <w:rPr/>
        <w:t>4.0.4.3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13"/>
    </w:p>
    <w:p>
      <w:pPr>
        <w:pStyle w:val="Heading4"/>
        <w:rPr/>
      </w:pPr>
      <w:bookmarkStart w:id="14" w:name="bioinformatic-analyses"/>
      <w:r>
        <w:rPr/>
        <w:t>4.0.4.4 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We then clustered unique sequence zero radius OTUs (that is, zOTUs; analogous to amplicon sequence variants (</w:t>
      </w:r>
      <w:r>
        <w:rPr>
          <w:b/>
          <w:bCs/>
        </w:rPr>
        <w:t>callahan2016?</w:t>
      </w:r>
      <w:r>
        <w:rPr/>
        <w:t xml:space="preserve">)),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E-low</w:t>
      </w:r>
      <w:r>
        <w:rPr/>
        <w:t>) plants (</w:t>
      </w:r>
      <w:r>
        <w:rPr>
          <w:i/>
          <w:iCs/>
        </w:rPr>
        <w:t>n</w:t>
      </w:r>
      <w:r>
        <w:rPr/>
        <w:t>=78) and deemed them as artifacts resulting from greenhouse conditions. They were eliminated from treatment (</w:t>
      </w:r>
      <w:r>
        <w:rPr>
          <w:i/>
          <w:iCs/>
        </w:rPr>
        <w:t>E-high</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(v.1.48.0, McMurdie &amp; Holmes, 2013) and custom scripts (see Supplementary Material).</w:t>
      </w:r>
      <w:bookmarkEnd w:id="9"/>
      <w:bookmarkEnd w:id="14"/>
    </w:p>
    <w:p>
      <w:pPr>
        <w:pStyle w:val="Heading3"/>
        <w:rPr/>
      </w:pPr>
      <w:bookmarkStart w:id="15" w:name="X40f9f8e8e5dfe8044cb4fe05be0a0a605107edb"/>
      <w:r>
        <w:rPr/>
        <w:t xml:space="preserve">4.0.5 Determining herbivore and pathogen damage to </w:t>
      </w:r>
      <w:r>
        <w:rPr>
          <w:i/>
          <w:iCs/>
        </w:rPr>
        <w:t>E-high</w:t>
      </w:r>
      <w:r>
        <w:rPr/>
        <w:t xml:space="preserve"> and </w:t>
      </w:r>
      <w:r>
        <w:rPr>
          <w:i/>
          <w:iCs/>
        </w:rPr>
        <w:t>E-low</w:t>
      </w:r>
      <w:r>
        <w:rPr/>
        <w:t xml:space="preserve"> treatments</w:t>
      </w:r>
    </w:p>
    <w:p>
      <w:pPr>
        <w:pStyle w:val="Heading4"/>
        <w:rPr/>
      </w:pPr>
      <w:bookmarkStart w:id="16" w:name="herbivore-assays"/>
      <w:r>
        <w:rPr/>
        <w:t>4.0.5.1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E-high</w:t>
      </w:r>
      <w:r>
        <w:rPr/>
        <w:t xml:space="preserve"> or an </w:t>
      </w:r>
      <w:r>
        <w:rPr>
          <w:i/>
          <w:iCs/>
        </w:rPr>
        <w:t>E-low</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 We used the digital photo at time zero and at the end of trial to quantify the leaf area removed using ImageJ [v1.52r; Schneider et al. (2012)]. Ant recruitment was estimated by counting individuals in the choice arena throughout trial event.</w:t>
      </w:r>
      <w:bookmarkEnd w:id="16"/>
    </w:p>
    <w:p>
      <w:pPr>
        <w:pStyle w:val="Heading4"/>
        <w:rPr/>
      </w:pPr>
      <w:bookmarkStart w:id="17" w:name="pathogen-assays"/>
      <w:r>
        <w:rPr/>
        <w:t>4.0.5.2 Pathogen assays</w:t>
      </w:r>
    </w:p>
    <w:p>
      <w:pPr>
        <w:pStyle w:val="FirstParagraph"/>
        <w:rPr/>
      </w:pPr>
      <w:r>
        <w:rPr/>
        <w:t xml:space="preserve">For the pathogen assays, we inoculated seedlings with </w:t>
      </w:r>
      <w:r>
        <w:rPr>
          <w:i/>
          <w:iCs/>
        </w:rPr>
        <w:t>Calonectria</w:t>
      </w:r>
      <w:r>
        <w:rPr/>
        <w:t xml:space="preserve"> sp. pathogen. </w:t>
      </w:r>
      <w:r>
        <w:rPr>
          <w:i/>
          <w:iCs/>
        </w:rPr>
        <w:t>Calonectria</w:t>
      </w:r>
      <w:r>
        <w:rPr/>
        <w:t xml:space="preserve"> is a widespread pathogen in tropical and temperate ecosystems (Crous et al., 2006; Li et al., 2022). Its distribution reflects trends in agriculture, forestry, and the ornamental plant trade (Li et al., 2022). In the tropics its effects are known as </w:t>
      </w:r>
      <w:r>
        <w:rPr>
          <w:i/>
          <w:iCs/>
        </w:rPr>
        <w:t>Calonectria</w:t>
      </w:r>
      <w:r>
        <w:rPr/>
        <w:t xml:space="preserve"> leaf blight (CLB) which has become a primary fungal disease in commercial tree plantations (Lombard et al., 2010; Sanchez-Gonzalez et al., 2022). We prepared the pathogen inoculum following Gilbert </w:t>
      </w:r>
      <w:r>
        <w:rPr/>
        <w:t>&amp;</w:t>
      </w:r>
      <w:r>
        <w:rPr/>
        <w:t xml:space="preserve"> Webb (2007) and Tellez et al. (2016).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r>
        <w:rPr>
          <w:i/>
          <w:iCs/>
        </w:rPr>
        <w:t>Calonectria</w:t>
      </w:r>
      <w:r>
        <w:rPr/>
        <w:t xml:space="preserve"> sp. (</w:t>
      </w:r>
      <w:r>
        <w:rPr>
          <w:i/>
          <w:iCs/>
        </w:rPr>
        <w:t>P+</w:t>
      </w:r>
      <w:r>
        <w:rPr/>
        <w:t xml:space="preserve"> treatment), and in a separate leaf, an agar plug without the pathogen (</w:t>
      </w:r>
      <w:r>
        <w:rPr>
          <w:i/>
          <w:iCs/>
        </w:rPr>
        <w:t>P-</w:t>
      </w:r>
      <w:r>
        <w:rPr/>
        <w:t xml:space="preserve"> control). Agar plugs were held in place with sterile metal double prong curl clips (Sally Beauty LLC., Denton, Texas, USA. Item number: SBS-292507). Leaves with the </w:t>
      </w:r>
      <w:r>
        <w:rPr>
          <w:i/>
          <w:iCs/>
        </w:rPr>
        <w:t>P+</w:t>
      </w:r>
      <w:r>
        <w:rPr/>
        <w:t xml:space="preserve"> or </w:t>
      </w:r>
      <w:r>
        <w:rPr>
          <w:i/>
          <w:iCs/>
        </w:rPr>
        <w:t>P-</w:t>
      </w:r>
      <w:r>
        <w:rPr/>
        <w:t xml:space="preserve"> treatments were misted with sterile water two times a day (morning and afternoon) to maintain moisture. After four days, we removed the plugs and took digital photos to analyze leaf area damage using ImageJ [v1.52r; Schneider et al. (2012)].</w:t>
      </w:r>
      <w:bookmarkEnd w:id="15"/>
      <w:bookmarkEnd w:id="17"/>
    </w:p>
    <w:p>
      <w:pPr>
        <w:pStyle w:val="Heading3"/>
        <w:rPr/>
      </w:pPr>
      <w:r>
        <w:rPr/>
        <w:t>4.0.6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 (LFTs)</w:t>
            </w:r>
          </w:p>
        </w:tc>
        <w:tc>
          <w:tcPr>
            <w:tcW w:w="3168" w:type="dxa"/>
            <w:tcBorders>
              <w:top w:val="single" w:sz="2"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 Replicate leaves per plant = 3</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pBdr/>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pBdr/>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pBdr/>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(E-low, E-high), sub-treatment = 2 (control and pathogen) for pathogen trials, Tropical tree species = 7, Replicates per species = 5, Replicates per plant = 1</w:t>
            </w:r>
            <w:bookmarkStart w:id="18" w:name="replication-statement"/>
            <w:bookmarkEnd w:id="18"/>
          </w:p>
        </w:tc>
      </w:tr>
    </w:tbl>
    <w:p>
      <w:pPr>
        <w:pStyle w:val="Heading3"/>
        <w:rPr/>
      </w:pPr>
      <w:r>
        <w:rPr/>
        <w:t>4.0.7 Statistical Analyses</w:t>
      </w:r>
    </w:p>
    <w:p>
      <w:pPr>
        <w:pStyle w:val="FirstParagraph"/>
        <w:rPr/>
      </w:pPr>
      <w:r>
        <w:rPr/>
        <w:t>We explored how LFTs and FEF correlated to herbivory and pathogen damage on leaves. We present the analyses for each tree species at the leaf and at the plant level. LFTs are presented at the leaf level, while FEF data are presented at the host species level (plant), consistent with our whole-plant inoculation approach. In analyses where LFTs and FEF are combined we used averages of LFTs.</w:t>
      </w:r>
    </w:p>
    <w:p>
      <w:pPr>
        <w:pStyle w:val="Heading4"/>
        <w:rPr/>
      </w:pPr>
      <w:bookmarkStart w:id="19" w:name="Xf88208254e4a33b25f099e5b20da671e728cf34"/>
      <w:r>
        <w:rPr/>
        <w:t xml:space="preserve">4.0.7.1 Comparison of LFTs and FEF between </w:t>
      </w:r>
      <w:r>
        <w:rPr>
          <w:i/>
          <w:iCs/>
        </w:rPr>
        <w:t>E-high</w:t>
      </w:r>
      <w:r>
        <w:rPr/>
        <w:t xml:space="preserve"> and </w:t>
      </w:r>
      <w:r>
        <w:rPr>
          <w:i/>
          <w:iCs/>
        </w:rPr>
        <w:t>E-low</w:t>
      </w:r>
      <w:r>
        <w:rPr/>
        <w:t xml:space="preserve"> treatments</w:t>
      </w:r>
    </w:p>
    <w:p>
      <w:pPr>
        <w:pStyle w:val="FirstParagraph"/>
        <w:rPr/>
      </w:pPr>
      <w:r>
        <w:rPr/>
        <w:t xml:space="preserve">First, we compared the means of herbivory (%) damage, and LFTs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w:t>
      </w:r>
      <w:r>
        <w:rPr>
          <w:i/>
          <w:iCs/>
        </w:rPr>
        <w:t>R</w:t>
      </w:r>
      <w:r>
        <w:rPr/>
        <w:t xml:space="preserve"> (v.0.6.0,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(v.0.7.2,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bookmarkEnd w:id="19"/>
    </w:p>
    <w:p>
      <w:pPr>
        <w:pStyle w:val="Heading4"/>
        <w:rPr/>
      </w:pPr>
      <w:bookmarkStart w:id="20" w:name="X313d8ade880da19aeb88197144d0027ded10745"/>
      <w:r>
        <w:rPr/>
        <w:t>4.0.7.2 FEF abundance, richness, diversity and community composition</w:t>
      </w:r>
    </w:p>
    <w:p>
      <w:pPr>
        <w:pStyle w:val="FirstParagraph"/>
        <w:rPr/>
      </w:pPr>
      <w:r>
        <w:rPr/>
        <w:t xml:space="preserve">Secondly, we calculated the FEF richness and Shannon’s diversity index with the </w:t>
      </w:r>
      <w:r>
        <w:rPr>
          <w:rStyle w:val="VerbatimChar"/>
        </w:rPr>
        <w:t>estimate_richeness</w:t>
      </w:r>
      <w:r>
        <w:rPr/>
        <w:t xml:space="preserve"> function from the </w:t>
      </w:r>
      <w:r>
        <w:rPr>
          <w:rStyle w:val="VerbatimChar"/>
        </w:rPr>
        <w:t>phyloseq</w:t>
      </w:r>
      <w:r>
        <w:rPr/>
        <w:t xml:space="preserve">, we then used in our generalized linear mixed models (see section </w:t>
      </w:r>
      <w:hyperlink w:anchor="sec-correlations">
        <w:r>
          <w:rPr>
            <w:rStyle w:val="Hyperlink"/>
          </w:rPr>
          <w:t>Section 4.0.7.3</w:t>
        </w:r>
      </w:hyperlink>
      <w:r>
        <w:rPr/>
        <w:t xml:space="preserve"> below) (McMurdie &amp; Holmes, 2013). Subsequently,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LFTs,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 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with 999 permutation to assess the marginal significance of constraining variables (Legendre et al., 2011; Legendre &amp; Legendre, 2012; Oksanen et al., 2022), applied here to reveal associations between LFTs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 We computed Shannon’s Diversity index to assess FEF diversity in each tree species and treatment group.</w:t>
      </w:r>
      <w:bookmarkEnd w:id="20"/>
    </w:p>
    <w:p>
      <w:pPr>
        <w:pStyle w:val="Heading4"/>
        <w:rPr/>
      </w:pPr>
      <w:bookmarkStart w:id="21" w:name="sec-correlations"/>
      <w:r>
        <w:rPr/>
        <w:t>4.0.7.3 Correlations between FEF and herbivory and pathogen damage</w:t>
      </w:r>
    </w:p>
    <w:p>
      <w:pPr>
        <w:pStyle w:val="FirstParagraph"/>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LFTs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LFTs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21"/>
    </w:p>
    <w:p>
      <w:pPr>
        <w:pStyle w:val="Heading1"/>
        <w:rPr/>
      </w:pPr>
      <w:bookmarkStart w:id="22" w:name="results"/>
      <w:r>
        <w:rPr/>
        <w:t>5. Results</w:t>
      </w:r>
    </w:p>
    <w:p>
      <w:pPr>
        <w:pStyle w:val="FirstParagraph"/>
        <w:rPr/>
      </w:pPr>
      <w:r>
        <w:rPr/>
        <w:t xml:space="preserve">Inoculation of seedlings was successful. Seedlings exposed to forest spore fall (i.e., </w:t>
      </w:r>
      <w:r>
        <w:rPr>
          <w:i/>
          <w:iCs/>
        </w:rPr>
        <w:t>E-high</w:t>
      </w:r>
      <w:r>
        <w:rPr/>
        <w:t xml:space="preserve">) had a significantly higher proportion of leaf segments colonized by FEF across all species (data from cultures, Fig. S1). Similarly, the molecular data set showed that seedlings with </w:t>
      </w:r>
      <w:r>
        <w:rPr>
          <w:i/>
          <w:iCs/>
        </w:rPr>
        <w:t>E-high</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E-low</w:t>
      </w:r>
      <w:r>
        <w:rPr/>
        <w:t xml:space="preserve"> treatment (Fig. 1a). Despite these significant differences, there was a high degree of variability in FEF relative abundance within each treatment type (Fig. 1).</w:t>
      </w:r>
    </w:p>
    <w:p>
      <w:pPr>
        <w:pStyle w:val="BodyText"/>
        <w:rPr/>
      </w:pPr>
      <w:r>
        <w:rPr/>
        <w:t>We observed general differences in LFTs among species (</w:t>
      </w:r>
      <w:hyperlink w:anchor="tbl-table1">
        <w:r>
          <w:rPr>
            <w:rStyle w:val="Hyperlink"/>
          </w:rPr>
          <w:t>Table 1</w:t>
        </w:r>
      </w:hyperlink>
      <w:r>
        <w:rPr/>
        <w:t>). Anthocyanins (ACI) and leaf punch strength (LPS) did not differ between treatments (</w:t>
      </w:r>
      <w:r>
        <w:rPr>
          <w:i/>
          <w:iCs/>
        </w:rPr>
        <w:t>E-low</w:t>
      </w:r>
      <w:r>
        <w:rPr/>
        <w:t xml:space="preserve"> and </w:t>
      </w:r>
      <w:r>
        <w:rPr>
          <w:i/>
          <w:iCs/>
        </w:rPr>
        <w:t>E-high</w:t>
      </w:r>
      <w:r>
        <w:rPr/>
        <w:t xml:space="preserve">) when we combined all host species (Fig. S2a and Fig. S4a respectively). For LT and LMA we saw significant differences between </w:t>
      </w:r>
      <w:r>
        <w:rPr>
          <w:i/>
          <w:iCs/>
        </w:rPr>
        <w:t>E-low</w:t>
      </w:r>
      <w:r>
        <w:rPr/>
        <w:t xml:space="preserve"> and </w:t>
      </w:r>
      <w:r>
        <w:rPr>
          <w:i/>
          <w:iCs/>
        </w:rPr>
        <w:t>E-high</w:t>
      </w:r>
      <w:r>
        <w:rPr/>
        <w:t xml:space="preserve"> treatment groups when we combined all host species (Fig S3a and Fig. S5a, respectively). As predicted, we did observe lower herbivory in the </w:t>
      </w:r>
      <w:r>
        <w:rPr>
          <w:i/>
          <w:iCs/>
        </w:rPr>
        <w:t>E-high</w:t>
      </w:r>
      <w:r>
        <w:rPr/>
        <w:t xml:space="preserve"> treatment compared to the </w:t>
      </w:r>
      <w:r>
        <w:rPr>
          <w:i/>
          <w:iCs/>
        </w:rPr>
        <w:t>E-low</w:t>
      </w:r>
      <w:r>
        <w:rPr/>
        <w:t xml:space="preserve"> treatment when we combined all host species, </w:t>
      </w:r>
      <w:r>
        <w:rPr>
          <w:i/>
          <w:iCs/>
        </w:rPr>
        <w:t>t</w:t>
      </w:r>
      <w:r>
        <w:rPr/>
        <w:t xml:space="preserve">(31) = 2.23, </w:t>
      </w:r>
      <w:r>
        <w:rPr>
          <w:i/>
          <w:iCs/>
        </w:rPr>
        <w:t>p</w:t>
      </w:r>
      <w:r>
        <w:rPr/>
        <w:t xml:space="preserve"> = .033 (Fig. 2a). We did not observe differences in pathogen damage between </w:t>
      </w:r>
      <w:r>
        <w:rPr>
          <w:i/>
          <w:iCs/>
        </w:rPr>
        <w:t>E-low</w:t>
      </w:r>
      <w:r>
        <w:rPr/>
        <w:t xml:space="preserve"> and </w:t>
      </w:r>
      <w:r>
        <w:rPr>
          <w:i/>
          <w:iCs/>
        </w:rPr>
        <w:t>E-high</w:t>
      </w:r>
      <w:r>
        <w:rPr/>
        <w:t xml:space="preserve"> treatments when we combined all host species (Fig. 2b). However, within the </w:t>
      </w:r>
      <w:r>
        <w:rPr>
          <w:i/>
          <w:iCs/>
        </w:rPr>
        <w:t>E-low</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r>
        <w:rPr>
          <w:i/>
          <w:iCs/>
        </w:rPr>
        <w:t>E-high</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LFTs are significantly correlated with FEF community composition (Fig.3). We used dbRDA to understand FEF community composition across host species and treatment groups. The analyses revealed that 6.34% of the overall variance in FEF communities was constrained by the LFTs.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emphasizing a distinct composition of FEF OTUs within the FEF identified. Other host species showed greater variation in FEF composition. Our PERMDISP analyses showed no significant differences in host species group dispersion (</w:t>
      </w:r>
      <w:r>
        <w:rPr>
          <w:i/>
          <w:iCs/>
        </w:rPr>
        <w:t>F</w:t>
      </w:r>
      <w:r>
        <w:rPr>
          <w:vertAlign w:val="subscript"/>
        </w:rPr>
        <w:t>6,</w:t>
      </w:r>
      <w:r>
        <w:rPr/>
        <w:t xml:space="preserve"> </w:t>
      </w:r>
      <w:r>
        <w:rPr>
          <w:vertAlign w:val="subscript"/>
        </w:rPr>
        <w:t>149</w:t>
      </w:r>
      <w:r>
        <w:rPr/>
        <w:t xml:space="preserve"> = 0.717, </w:t>
      </w:r>
      <w:r>
        <w:rPr>
          <w:i/>
          <w:iCs/>
        </w:rPr>
        <w:t>p</w:t>
      </w:r>
      <w:r>
        <w:rPr/>
        <w:t xml:space="preserve"> &lt; .63), observed differences were due to location. Unsurprisingly, the dispersion for </w:t>
      </w:r>
      <w:r>
        <w:rPr>
          <w:i/>
          <w:iCs/>
        </w:rPr>
        <w:t>E-low</w:t>
      </w:r>
      <w:r>
        <w:rPr/>
        <w:t xml:space="preserve"> and </w:t>
      </w:r>
      <w:r>
        <w:rPr>
          <w:i/>
          <w:iCs/>
        </w:rPr>
        <w:t>E-high</w:t>
      </w:r>
      <w:r>
        <w:rPr/>
        <w:t xml:space="preserve"> treatment groups was significantly different (</w:t>
      </w:r>
      <w:r>
        <w:rPr>
          <w:i/>
          <w:iCs/>
        </w:rPr>
        <w:t>F</w:t>
      </w:r>
      <w:r>
        <w:rPr>
          <w:vertAlign w:val="subscript"/>
        </w:rPr>
        <w:t>1,</w:t>
      </w:r>
      <w:r>
        <w:rPr/>
        <w:t xml:space="preserve"> </w:t>
      </w:r>
      <w:r>
        <w:rPr>
          <w:vertAlign w:val="subscript"/>
        </w:rPr>
        <w:t>154</w:t>
      </w:r>
      <w:r>
        <w:rPr/>
        <w:t xml:space="preserve"> = 5.09, </w:t>
      </w:r>
      <w:r>
        <w:rPr>
          <w:i/>
          <w:iCs/>
        </w:rPr>
        <w:t>p</w:t>
      </w:r>
      <w:r>
        <w:rPr/>
        <w:t xml:space="preserve"> = .03). The Tukey tests revealed dispersion of host species were not significantly different at the α &lt; .05 level, while treatment group dispersions were.</w:t>
      </w:r>
    </w:p>
    <w:p>
      <w:pPr>
        <w:pStyle w:val="BodyText"/>
        <w:rPr/>
      </w:pPr>
      <w:r>
        <w:rPr/>
        <w:t xml:space="preserve">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E-low</w:t>
      </w:r>
      <w:r>
        <w:rPr/>
        <w:t xml:space="preserve"> and </w:t>
      </w:r>
      <w:r>
        <w:rPr>
          <w:i/>
          <w:iCs/>
        </w:rPr>
        <w:t>E-high</w:t>
      </w:r>
      <w:r>
        <w:rPr/>
        <w:t xml:space="preserve"> treatment groups (Table S6). We detected 11 OTUs significantly associated with seedlings that experienced high (&gt;30%) pathogen damage in </w:t>
      </w:r>
      <w:r>
        <w:rPr>
          <w:i/>
          <w:iCs/>
        </w:rPr>
        <w:t>E-low</w:t>
      </w:r>
      <w:r>
        <w:rPr/>
        <w:t xml:space="preserve"> and </w:t>
      </w:r>
      <w:r>
        <w:rPr>
          <w:i/>
          <w:iCs/>
        </w:rPr>
        <w:t>E-high</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E-high</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observed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pPr>
      <w:r>
        <w:rPr/>
        <w:t xml:space="preserve">Leaf functional traits influence plants’ response to herbivory and pathogen damage differentially. We examined the relationship between LFTs,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vertAlign w:val="subscript"/>
        </w:rPr>
        <w:t>1,</w:t>
      </w:r>
      <w:r>
        <w:rPr/>
        <w:t xml:space="preserve"> </w:t>
      </w:r>
      <w:r>
        <w:rPr>
          <w:vertAlign w:val="subscript"/>
        </w:rPr>
        <w:t>208</w:t>
      </w:r>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(Fig. 5a and 5b), we saw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vertAlign w:val="subscript"/>
        </w:rPr>
        <w:t>1,</w:t>
      </w:r>
      <w:r>
        <w:rPr/>
        <w:t xml:space="preserve"> </w:t>
      </w:r>
      <w:r>
        <w:rPr>
          <w:vertAlign w:val="subscript"/>
        </w:rPr>
        <w:t>380</w:t>
      </w:r>
      <w:r>
        <w:rPr/>
        <w:t xml:space="preserve">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vertAlign w:val="subscript"/>
        </w:rPr>
        <w:t>1,</w:t>
      </w:r>
      <w:r>
        <w:rPr/>
        <w:t xml:space="preserve"> </w:t>
      </w:r>
      <w:r>
        <w:rPr>
          <w:vertAlign w:val="subscript"/>
        </w:rPr>
        <w:t>380</w:t>
      </w:r>
      <w:r>
        <w:rPr/>
        <w:t xml:space="preserve"> = 1.60, </w:t>
      </w:r>
      <w:r>
        <w:rPr>
          <w:i/>
          <w:iCs/>
        </w:rPr>
        <w:t>p</w:t>
      </w:r>
      <w:r>
        <w:rPr/>
        <w:t xml:space="preserve"> = .207).</w:t>
      </w:r>
    </w:p>
    <w:p>
      <w:pPr>
        <w:pStyle w:val="BodyText"/>
        <w:rPr/>
      </w:pPr>
      <w:r>
        <w:rPr/>
        <w:t xml:space="preserve">We observed similar patterns when we performed simple linear regressions on the raw LFTs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vertAlign w:val="subscript"/>
        </w:rPr>
        <w:t>1,</w:t>
      </w:r>
      <w:r>
        <w:rPr/>
        <w:t xml:space="preserve"> </w:t>
      </w:r>
      <w:r>
        <w:rPr>
          <w:vertAlign w:val="subscript"/>
        </w:rPr>
        <w:t>208</w:t>
      </w:r>
      <w:r>
        <w:rPr/>
        <w:t xml:space="preserve">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saw a significant negative relationship between herbivory and Shannon diversity for the </w:t>
      </w:r>
      <w:r>
        <w:rPr>
          <w:i/>
          <w:iCs/>
        </w:rPr>
        <w:t>E-low</w:t>
      </w:r>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vertAlign w:val="subscript"/>
        </w:rPr>
        <w:t>1,</w:t>
      </w:r>
      <w:r>
        <w:rPr/>
        <w:t xml:space="preserve"> </w:t>
      </w:r>
      <w:r>
        <w:rPr>
          <w:vertAlign w:val="subscript"/>
        </w:rPr>
        <w:t>103</w:t>
      </w:r>
      <w:r>
        <w:rPr/>
        <w:t xml:space="preserve"> = 17.7, </w:t>
      </w:r>
      <w:r>
        <w:rPr>
          <w:i/>
          <w:iCs/>
        </w:rPr>
        <w:t>p</w:t>
      </w:r>
      <w:r>
        <w:rPr/>
        <w:t xml:space="preserve"> &lt; .0001). We also saw an increase in herbivory for the </w:t>
      </w:r>
      <w:r>
        <w:rPr>
          <w:i/>
          <w:iCs/>
        </w:rPr>
        <w:t>E-high</w:t>
      </w:r>
      <w:r>
        <w:rPr/>
        <w:t xml:space="preserve"> treatment group as Shannon diversity index for FEF increased, but this was not statistically significant (Figure S7e; </w:t>
      </w:r>
      <w:r>
        <w:rPr>
          <w:i/>
          <w:iCs/>
        </w:rPr>
        <w:t>R</w:t>
      </w:r>
      <w:r>
        <w:rPr>
          <w:i/>
          <w:iCs/>
          <w:vertAlign w:val="superscript"/>
        </w:rPr>
        <w:t>2</w:t>
      </w:r>
      <w:r>
        <w:rPr>
          <w:i/>
          <w:iCs/>
          <w:vertAlign w:val="subscript"/>
        </w:rPr>
        <w:t>adj</w:t>
      </w:r>
      <w:r>
        <w:rPr/>
        <w:t xml:space="preserve"> = 0.024, </w:t>
      </w:r>
      <w:r>
        <w:rPr>
          <w:i/>
          <w:iCs/>
        </w:rPr>
        <w:t>F</w:t>
      </w:r>
      <w:r>
        <w:rPr>
          <w:vertAlign w:val="subscript"/>
        </w:rPr>
        <w:t>1,</w:t>
      </w:r>
      <w:r>
        <w:rPr/>
        <w:t xml:space="preserve"> </w:t>
      </w:r>
      <w:r>
        <w:rPr>
          <w:vertAlign w:val="subscript"/>
        </w:rPr>
        <w:t>103</w:t>
      </w:r>
      <w:r>
        <w:rPr/>
        <w:t xml:space="preserve"> = 3.55, </w:t>
      </w:r>
      <w:r>
        <w:rPr>
          <w:i/>
          <w:iCs/>
        </w:rPr>
        <w:t>p</w:t>
      </w:r>
      <w:r>
        <w:rPr/>
        <w:t xml:space="preserve"> = 0.062), a result contrary to our expectations.</w:t>
      </w:r>
    </w:p>
    <w:p>
      <w:pPr>
        <w:pStyle w:val="BodyText"/>
        <w:rPr/>
      </w:pPr>
      <w:r>
        <w:rPr/>
        <w:t xml:space="preserve">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vertAlign w:val="subscript"/>
        </w:rPr>
        <w:t>1,</w:t>
      </w:r>
      <w:r>
        <w:rPr/>
        <w:t xml:space="preserve"> </w:t>
      </w:r>
      <w:r>
        <w:rPr>
          <w:vertAlign w:val="subscript"/>
        </w:rPr>
        <w:t>380</w:t>
      </w:r>
      <w:r>
        <w:rPr/>
        <w:t xml:space="preserve">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vertAlign w:val="subscript"/>
        </w:rPr>
        <w:t>1,</w:t>
      </w:r>
      <w:r>
        <w:rPr/>
        <w:t xml:space="preserve"> </w:t>
      </w:r>
      <w:r>
        <w:rPr>
          <w:vertAlign w:val="subscript"/>
        </w:rPr>
        <w:t>380</w:t>
      </w:r>
      <w:r>
        <w:rPr/>
        <w:t xml:space="preserve">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vertAlign w:val="subscript"/>
        </w:rPr>
        <w:t>1,</w:t>
      </w:r>
      <w:r>
        <w:rPr/>
        <w:t xml:space="preserve"> </w:t>
      </w:r>
      <w:r>
        <w:rPr>
          <w:vertAlign w:val="subscript"/>
        </w:rPr>
        <w:t>380</w:t>
      </w:r>
      <w:r>
        <w:rPr/>
        <w:t xml:space="preserve"> = 12.6, </w:t>
      </w:r>
      <w:r>
        <w:rPr>
          <w:i/>
          <w:iCs/>
        </w:rPr>
        <w:t>p</w:t>
      </w:r>
      <w:r>
        <w:rPr/>
        <w:t xml:space="preserve"> &lt; .001) when considering the complete data set. Pathogen damage did not have a significant correlation with LT (Figure S8a; </w:t>
      </w:r>
      <w:r>
        <w:rPr>
          <w:i/>
          <w:iCs/>
        </w:rPr>
        <w:t>R</w:t>
      </w:r>
      <w:r>
        <w:rPr>
          <w:i/>
          <w:iCs/>
          <w:vertAlign w:val="superscript"/>
        </w:rPr>
        <w:t>2</w:t>
      </w:r>
      <w:r>
        <w:rPr>
          <w:i/>
          <w:iCs/>
          <w:vertAlign w:val="subscript"/>
        </w:rPr>
        <w:t>adj</w:t>
      </w:r>
      <w:r>
        <w:rPr/>
        <w:t xml:space="preserve"> = -0.001, </w:t>
      </w:r>
      <w:r>
        <w:rPr>
          <w:i/>
          <w:iCs/>
        </w:rPr>
        <w:t>F</w:t>
      </w:r>
      <w:r>
        <w:rPr>
          <w:vertAlign w:val="subscript"/>
        </w:rPr>
        <w:t>1,</w:t>
      </w:r>
      <w:r>
        <w:rPr/>
        <w:t xml:space="preserve"> </w:t>
      </w:r>
      <w:r>
        <w:rPr>
          <w:vertAlign w:val="subscript"/>
        </w:rPr>
        <w:t>380</w:t>
      </w:r>
      <w:r>
        <w:rPr/>
        <w:t xml:space="preserve"> = 0.50, </w:t>
      </w:r>
      <w:r>
        <w:rPr>
          <w:i/>
          <w:iCs/>
        </w:rPr>
        <w:t>p</w:t>
      </w:r>
      <w:r>
        <w:rPr/>
        <w:t xml:space="preserve"> = .482). The </w:t>
      </w:r>
      <w:r>
        <w:rPr>
          <w:i/>
          <w:iCs/>
        </w:rPr>
        <w:t>E-low</w:t>
      </w:r>
      <w:r>
        <w:rPr/>
        <w:t xml:space="preserve"> and </w:t>
      </w:r>
      <w:r>
        <w:rPr>
          <w:i/>
          <w:iCs/>
        </w:rPr>
        <w:t>E-high</w:t>
      </w:r>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vertAlign w:val="subscript"/>
        </w:rPr>
        <w:t>1,</w:t>
      </w:r>
      <w:r>
        <w:rPr/>
        <w:t xml:space="preserve"> </w:t>
      </w:r>
      <w:r>
        <w:rPr>
          <w:vertAlign w:val="subscript"/>
        </w:rPr>
        <w:t>380</w:t>
      </w:r>
      <w:r>
        <w:rPr/>
        <w:t xml:space="preserve"> = 6.90, </w:t>
      </w:r>
      <w:r>
        <w:rPr>
          <w:i/>
          <w:iCs/>
        </w:rPr>
        <w:t>p</w:t>
      </w:r>
      <w:r>
        <w:rPr/>
        <w:t xml:space="preserve"> &lt; .01). Upon further scrutiny, only the </w:t>
      </w:r>
      <w:r>
        <w:rPr>
          <w:i/>
          <w:iCs/>
        </w:rPr>
        <w:t>E-high</w:t>
      </w:r>
      <w:r>
        <w:rPr/>
        <w:t xml:space="preserve"> treatment group had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vertAlign w:val="subscript"/>
        </w:rPr>
        <w:t>1,</w:t>
      </w:r>
      <w:r>
        <w:rPr/>
        <w:t xml:space="preserve"> </w:t>
      </w:r>
      <w:r>
        <w:rPr>
          <w:vertAlign w:val="subscript"/>
        </w:rPr>
        <w:t>188</w:t>
      </w:r>
      <w:r>
        <w:rPr/>
        <w:t xml:space="preserve">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r>
        <w:rPr>
          <w:i/>
          <w:iCs/>
        </w:rPr>
        <w:t>E-high</w:t>
      </w:r>
      <w:r>
        <w:rPr/>
        <w:t xml:space="preserve"> treatment group were statistically significant predictors of herbivory damage (</w:t>
      </w:r>
      <w:hyperlink w:anchor="tbl-tableGLMM">
        <w:r>
          <w:rPr>
            <w:rStyle w:val="Hyperlink"/>
          </w:rPr>
          <w:t>Table 2</w:t>
        </w:r>
      </w:hyperlink>
      <w:r>
        <w:rPr/>
        <w:t xml:space="preserve">). No measure of FEF abundance or diversity was present in the final model. Leaf mass per area was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r>
        <w:rPr>
          <w:i/>
          <w:iCs/>
        </w:rPr>
        <w:t>E-high</w:t>
      </w:r>
      <w:r>
        <w:rPr/>
        <w:t xml:space="preserve"> as well (estimate = -0.78, </w:t>
      </w:r>
      <w:r>
        <w:rPr>
          <w:i/>
          <w:iCs/>
        </w:rPr>
        <w:t>t</w:t>
      </w:r>
      <w:r>
        <w:rPr/>
        <w:t xml:space="preserve">(200) = -4.62, </w:t>
      </w:r>
      <w:r>
        <w:rPr>
          <w:i/>
          <w:iCs/>
        </w:rPr>
        <w:t>p</w:t>
      </w:r>
      <w:r>
        <w:rPr/>
        <w:t xml:space="preserve"> &lt; .001). The best fit model for pathogen damage did not reveal any of the LFTs as significant predictors (</w:t>
      </w:r>
      <w:hyperlink w:anchor="tbl-tableGLMM">
        <w:r>
          <w:rPr>
            <w:rStyle w:val="Hyperlink"/>
          </w:rPr>
          <w:t>Table 2</w:t>
        </w:r>
      </w:hyperlink>
      <w:r>
        <w:rPr/>
        <w:t xml:space="preserve">).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22"/>
    </w:p>
    <w:p>
      <w:pPr>
        <w:pStyle w:val="Heading1"/>
        <w:rPr/>
      </w:pPr>
      <w:bookmarkStart w:id="23" w:name="discussion"/>
      <w:r>
        <w:rPr/>
        <w:t>6. Discussion</w:t>
      </w:r>
    </w:p>
    <w:p>
      <w:pPr>
        <w:pStyle w:val="FirstParagraph"/>
        <w:rPr/>
      </w:pPr>
      <w:r>
        <w:rPr/>
        <w:t xml:space="preserve">This is the first study to examine the interplay of FEF communities and LFTs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and leaf traits work to improve leaf defenses against generalist herbivores and pathogens in tropical trees. Across all host species, we saw that the </w:t>
      </w:r>
      <w:r>
        <w:rPr>
          <w:i/>
          <w:iCs/>
        </w:rPr>
        <w:t>E-high</w:t>
      </w:r>
      <w:r>
        <w:rPr/>
        <w:t xml:space="preserve"> treatment group exhibited lower herbivory damage than the </w:t>
      </w:r>
      <w:r>
        <w:rPr>
          <w:i/>
          <w:iCs/>
        </w:rPr>
        <w:t>E-low</w:t>
      </w:r>
      <w:r>
        <w:rPr/>
        <w:t xml:space="preserve"> treatment group. At the host species level, we saw that </w:t>
      </w:r>
      <w:r>
        <w:rPr>
          <w:i/>
          <w:iCs/>
        </w:rPr>
        <w:t>E-high</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r>
        <w:rPr>
          <w:i/>
          <w:iCs/>
        </w:rPr>
        <w:t>E-high</w:t>
      </w:r>
      <w:r>
        <w:rPr/>
        <w:t xml:space="preserve"> treatment group as strong predictors (</w:t>
      </w:r>
      <w:hyperlink w:anchor="tbl-tableGLMM">
        <w:r>
          <w:rPr>
            <w:rStyle w:val="Hyperlink"/>
          </w:rPr>
          <w:t>Table 2</w:t>
        </w:r>
      </w:hyperlink>
      <w:r>
        <w:rPr/>
        <w:t xml:space="preserve">).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r>
        <w:rPr>
          <w:i/>
          <w:iCs/>
        </w:rPr>
        <w:t>E-high</w:t>
      </w:r>
      <w:r>
        <w:rPr/>
        <w:t xml:space="preserve"> group positively correlating to herbivory and </w:t>
      </w:r>
      <w:r>
        <w:rPr>
          <w:i/>
          <w:iCs/>
        </w:rPr>
        <w:t>E-low</w:t>
      </w:r>
      <w:r>
        <w:rPr/>
        <w:t xml:space="preserve"> group negatively correlating to herbivory (yellow and pink regression lines, respectively, in Figure S7e). The contrast between GLMM and simple linear regressions point to the nuanced role of FEF diversity in combating herbivory; LFTs, LMA and LT, overshadowed FEF diversity in our results. The FEF abundance, measured as </w:t>
      </w:r>
      <w:r>
        <w:rPr>
          <w:i/>
          <w:iCs/>
        </w:rPr>
        <w:t>E-high</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r>
        <w:rPr>
          <w:i/>
          <w:iCs/>
        </w:rPr>
        <w:t>E-high</w:t>
      </w:r>
      <w:r>
        <w:rPr/>
        <w:t xml:space="preserve"> group had equal or slightly higher pathogen damage than the </w:t>
      </w:r>
      <w:r>
        <w:rPr>
          <w:i/>
          <w:iCs/>
        </w:rPr>
        <w:t>E-low</w:t>
      </w:r>
      <w:r>
        <w:rPr/>
        <w:t xml:space="preserve"> group in all tree species (Figure S6b). The best-fit GLMM for pathogen damage showed LMA and LT as weak predictors (</w:t>
      </w:r>
      <w:hyperlink w:anchor="tbl-tableGLMM">
        <w:r>
          <w:rPr>
            <w:rStyle w:val="Hyperlink"/>
          </w:rPr>
          <w:t>Table 2</w:t>
        </w:r>
      </w:hyperlink>
      <w:r>
        <w:rPr/>
        <w:t xml:space="preserve">).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r>
        <w:rPr>
          <w:i/>
          <w:iCs/>
        </w:rPr>
        <w:t>E-high</w:t>
      </w:r>
      <w:r>
        <w:rPr/>
        <w:t xml:space="preserve"> group as Shannon diversity increased, but the </w:t>
      </w:r>
      <w:r>
        <w:rPr>
          <w:i/>
          <w:iCs/>
        </w:rPr>
        <w:t>E-low</w:t>
      </w:r>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LFTs with high values are characteristic of long-lived versus short-lived leaves Poorter &amp; Bongers (2006). The LES, thus acts as a host-imposed filter which FEF communities must overcome to colonize leaf tissue, assemble, and carry out their life cycle. We did not measure leaf lifespan directly, but we interpret the values obtained for the LFTs we measured as proxies for leaf lifespan, with the caveat that the traits were measured on seedlings and leaves were relatively young (&lt; 150 days). We saw that species with relatively low values of ACI, LMA, and LPS (Figures S2 - S5) constrained in the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23"/>
    </w:p>
    <w:p>
      <w:pPr>
        <w:pStyle w:val="Heading1"/>
        <w:rPr/>
      </w:pPr>
      <w:bookmarkStart w:id="24" w:name="conclusion"/>
      <w:r>
        <w:rPr/>
        <w:t>7. Conclusion</w:t>
      </w:r>
    </w:p>
    <w:p>
      <w:pPr>
        <w:pStyle w:val="FirstParagraph"/>
        <w:rPr/>
      </w:pPr>
      <w:bookmarkStart w:id="25"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25"/>
    </w:p>
    <w:p>
      <w:pPr>
        <w:pStyle w:val="Heading1"/>
        <w:rPr/>
      </w:pPr>
      <w:bookmarkStart w:id="26" w:name="author-contributions"/>
      <w:r>
        <w:rPr/>
        <w:t>8. Author Contributions</w:t>
      </w:r>
    </w:p>
    <w:p>
      <w:pPr>
        <w:pStyle w:val="FirstParagraph"/>
        <w:rPr/>
      </w:pPr>
      <w:bookmarkStart w:id="27" w:name="author-contributions"/>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bookmarkEnd w:id="27"/>
    </w:p>
    <w:p>
      <w:pPr>
        <w:pStyle w:val="Heading1"/>
        <w:rPr/>
      </w:pPr>
      <w:bookmarkStart w:id="28" w:name="acknowledgements"/>
      <w:r>
        <w:rPr/>
        <w:t>9. Acknowledgements</w:t>
      </w:r>
    </w:p>
    <w:p>
      <w:pPr>
        <w:pStyle w:val="FirstParagraph"/>
        <w:rPr/>
      </w:pPr>
      <w:bookmarkStart w:id="29" w:name="acknowledgements"/>
      <w:r>
        <w:rPr/>
        <w:t>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bookmarkEnd w:id="29"/>
    </w:p>
    <w:p>
      <w:pPr>
        <w:pStyle w:val="Heading1"/>
        <w:rPr/>
      </w:pPr>
      <w:bookmarkStart w:id="30" w:name="conflict-of-interest-statement"/>
      <w:r>
        <w:rPr/>
        <w:t>10. Conflict of Interest Statement</w:t>
      </w:r>
    </w:p>
    <w:p>
      <w:pPr>
        <w:pStyle w:val="FirstParagraph"/>
        <w:rPr/>
      </w:pPr>
      <w:bookmarkStart w:id="31" w:name="conflict-of-interest-statement"/>
      <w:r>
        <w:rPr/>
        <w:t>The authors declare no competing interests.</w:t>
      </w:r>
      <w:bookmarkEnd w:id="31"/>
    </w:p>
    <w:p>
      <w:pPr>
        <w:pStyle w:val="Heading1"/>
        <w:rPr/>
      </w:pPr>
      <w:bookmarkStart w:id="32" w:name="data-availability-statement"/>
      <w:r>
        <w:rPr/>
        <w:t>11. Data Availability Statement</w:t>
      </w:r>
    </w:p>
    <w:p>
      <w:pPr>
        <w:pStyle w:val="FirstParagraph"/>
        <w:rPr/>
      </w:pPr>
      <w:r>
        <w:rPr/>
        <w:t>The genomic data that support the findings of this study will be submitted to NCBI-GenBank upon acceptance of this manuscript. The manuscript and code for reproducibility is available from corresponding author’s GitHub:</w:t>
      </w:r>
      <w:hyperlink r:id="rId3">
        <w:r>
          <w:rPr>
            <w:rStyle w:val="Hyperlink"/>
          </w:rPr>
          <w:t>https://github.com/jibarozzo/endophyte-leaf-traits.git</w:t>
        </w:r>
      </w:hyperlink>
      <w:bookmarkEnd w:id="32"/>
    </w:p>
    <w:p>
      <w:pPr>
        <w:pStyle w:val="Heading1"/>
        <w:rPr/>
      </w:pPr>
      <w:bookmarkStart w:id="33" w:name="references"/>
      <w:r>
        <w:rPr/>
        <w:t>12. References</w:t>
      </w:r>
    </w:p>
    <w:p>
      <w:pPr>
        <w:pStyle w:val="Bibliography"/>
        <w:rPr/>
      </w:pPr>
      <w:bookmarkStart w:id="34" w:name="refs"/>
      <w:bookmarkStart w:id="35"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4">
        <w:r>
          <w:rPr>
            <w:rStyle w:val="Hyperlink"/>
          </w:rPr>
          <w:t>https://doi.org/10.1071/FP09304</w:t>
        </w:r>
      </w:hyperlink>
      <w:bookmarkEnd w:id="35"/>
    </w:p>
    <w:p>
      <w:pPr>
        <w:pStyle w:val="Bibliography"/>
        <w:rPr/>
      </w:pPr>
      <w:bookmarkStart w:id="36" w:name="ref-anderson2017"/>
      <w:r>
        <w:rPr/>
        <w:t xml:space="preserve">Anderson, M. J. (2017). Permutational Multivariate Analysis of Variance ( PERMANOVA ). In </w:t>
      </w:r>
      <w:r>
        <w:rPr>
          <w:i/>
          <w:iCs/>
        </w:rPr>
        <w:t>Wiley StatsRef: Statistics Reference Online</w:t>
      </w:r>
      <w:r>
        <w:rPr/>
        <w:t xml:space="preserve"> (pp. 1–15). Wiley. </w:t>
      </w:r>
      <w:hyperlink r:id="rId5">
        <w:r>
          <w:rPr>
            <w:rStyle w:val="Hyperlink"/>
          </w:rPr>
          <w:t>https://doi.org/10.1002/9781118445112.stat07841</w:t>
        </w:r>
      </w:hyperlink>
      <w:bookmarkEnd w:id="36"/>
    </w:p>
    <w:p>
      <w:pPr>
        <w:pStyle w:val="Bibliography"/>
        <w:rPr/>
      </w:pPr>
      <w:bookmarkStart w:id="37"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6">
        <w:r>
          <w:rPr>
            <w:rStyle w:val="Hyperlink"/>
          </w:rPr>
          <w:t>https://doi.org/10.1017/S0266467407004038</w:t>
        </w:r>
      </w:hyperlink>
      <w:bookmarkEnd w:id="37"/>
    </w:p>
    <w:p>
      <w:pPr>
        <w:pStyle w:val="Bibliography"/>
        <w:rPr/>
      </w:pPr>
      <w:bookmarkStart w:id="38"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7">
        <w:r>
          <w:rPr>
            <w:rStyle w:val="Hyperlink"/>
          </w:rPr>
          <w:t>https://doi.org/10.1046/j.1461-0248.2000.00159.x</w:t>
        </w:r>
      </w:hyperlink>
      <w:bookmarkEnd w:id="38"/>
    </w:p>
    <w:p>
      <w:pPr>
        <w:pStyle w:val="Bibliography"/>
        <w:rPr/>
      </w:pPr>
      <w:bookmarkStart w:id="39"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 xml:space="preserve">(26), 15649–15654. </w:t>
      </w:r>
      <w:hyperlink r:id="rId8">
        <w:r>
          <w:rPr>
            <w:rStyle w:val="Hyperlink"/>
          </w:rPr>
          <w:t>https://doi.org/10.1073/pnas.2533483100</w:t>
        </w:r>
      </w:hyperlink>
      <w:bookmarkEnd w:id="39"/>
    </w:p>
    <w:p>
      <w:pPr>
        <w:pStyle w:val="Bibliography"/>
        <w:rPr/>
      </w:pPr>
      <w:bookmarkStart w:id="40" w:name="ref-barton2023"/>
      <w:r>
        <w:rPr/>
        <w:t xml:space="preserve">Bartoń, K. (2023). </w:t>
      </w:r>
      <w:r>
        <w:rPr>
          <w:i/>
          <w:iCs/>
        </w:rPr>
        <w:t>MuMIn: Multi-model inference</w:t>
      </w:r>
      <w:r>
        <w:rPr/>
        <w:t xml:space="preserve"> [Manual]. </w:t>
      </w:r>
      <w:hyperlink r:id="rId9">
        <w:r>
          <w:rPr>
            <w:rStyle w:val="Hyperlink"/>
          </w:rPr>
          <w:t>https://CRAN.R-project.org/package=MuMIn</w:t>
        </w:r>
      </w:hyperlink>
      <w:bookmarkEnd w:id="40"/>
    </w:p>
    <w:p>
      <w:pPr>
        <w:pStyle w:val="Bibliography"/>
        <w:rPr/>
      </w:pPr>
      <w:bookmarkStart w:id="41"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10">
        <w:r>
          <w:rPr>
            <w:rStyle w:val="Hyperlink"/>
          </w:rPr>
          <w:t>https://doi.org/10.1111/j.2517-6161.1995.tb02031.x</w:t>
        </w:r>
      </w:hyperlink>
      <w:bookmarkEnd w:id="41"/>
    </w:p>
    <w:p>
      <w:pPr>
        <w:pStyle w:val="Bibliography"/>
        <w:rPr/>
      </w:pPr>
      <w:bookmarkStart w:id="42"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11">
        <w:r>
          <w:rPr>
            <w:rStyle w:val="Hyperlink"/>
          </w:rPr>
          <w:t>https://doi.org/10.1098/rsbl.2010.0456</w:t>
        </w:r>
      </w:hyperlink>
      <w:bookmarkEnd w:id="42"/>
    </w:p>
    <w:p>
      <w:pPr>
        <w:pStyle w:val="Bibliography"/>
        <w:rPr/>
      </w:pPr>
      <w:bookmarkStart w:id="43"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2">
        <w:r>
          <w:rPr>
            <w:rStyle w:val="Hyperlink"/>
          </w:rPr>
          <w:t>https://doi.org/10.1890/07-0986.1</w:t>
        </w:r>
      </w:hyperlink>
      <w:bookmarkEnd w:id="43"/>
    </w:p>
    <w:p>
      <w:pPr>
        <w:pStyle w:val="Bibliography"/>
        <w:rPr/>
      </w:pPr>
      <w:bookmarkStart w:id="44"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3">
        <w:r>
          <w:rPr>
            <w:rStyle w:val="Hyperlink"/>
          </w:rPr>
          <w:t>https://doi.org/10.1093/bioinformatics/btw808</w:t>
        </w:r>
      </w:hyperlink>
      <w:bookmarkEnd w:id="44"/>
    </w:p>
    <w:p>
      <w:pPr>
        <w:pStyle w:val="Bibliography"/>
        <w:rPr/>
      </w:pPr>
      <w:bookmarkStart w:id="45"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4">
        <w:r>
          <w:rPr>
            <w:rStyle w:val="Hyperlink"/>
          </w:rPr>
          <w:t>https://doi.org/10.1128/MRA.00328-19</w:t>
        </w:r>
      </w:hyperlink>
      <w:bookmarkEnd w:id="45"/>
    </w:p>
    <w:p>
      <w:pPr>
        <w:pStyle w:val="Bibliography"/>
        <w:rPr/>
      </w:pPr>
      <w:bookmarkStart w:id="46"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5">
        <w:r>
          <w:rPr>
            <w:rStyle w:val="Hyperlink"/>
          </w:rPr>
          <w:t>https://doi.org/10.1039/C7CS00343A</w:t>
        </w:r>
      </w:hyperlink>
      <w:bookmarkEnd w:id="46"/>
    </w:p>
    <w:p>
      <w:pPr>
        <w:pStyle w:val="Bibliography"/>
        <w:rPr/>
      </w:pPr>
      <w:bookmarkStart w:id="47"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6">
        <w:r>
          <w:rPr>
            <w:rStyle w:val="Hyperlink"/>
          </w:rPr>
          <w:t>https://doi.org/10.1201/9781315119496-6</w:t>
        </w:r>
      </w:hyperlink>
      <w:bookmarkEnd w:id="47"/>
    </w:p>
    <w:p>
      <w:pPr>
        <w:pStyle w:val="Bibliography"/>
        <w:rPr/>
      </w:pPr>
      <w:bookmarkStart w:id="48"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7">
        <w:r>
          <w:rPr>
            <w:rStyle w:val="Hyperlink"/>
          </w:rPr>
          <w:t>https://doi.org/10.1890/ES13-00012.1</w:t>
        </w:r>
      </w:hyperlink>
      <w:bookmarkEnd w:id="48"/>
    </w:p>
    <w:p>
      <w:pPr>
        <w:pStyle w:val="Bibliography"/>
        <w:rPr/>
      </w:pPr>
      <w:bookmarkStart w:id="49" w:name="ref-crous2006"/>
      <w:r>
        <w:rPr/>
        <w:t xml:space="preserve">Crous, P. W., Groenewald, J. Z., Risède, J.-M., Simoneau, P., &amp; Hyde, K. D. (2006). </w:t>
      </w:r>
      <w:r>
        <w:rPr>
          <w:i/>
          <w:iCs/>
        </w:rPr>
        <w:t>Calonectria</w:t>
      </w:r>
      <w:r>
        <w:rPr/>
        <w:t xml:space="preserve"> species and their </w:t>
      </w:r>
      <w:r>
        <w:rPr>
          <w:i/>
          <w:iCs/>
        </w:rPr>
        <w:t>Cylindrocladium</w:t>
      </w:r>
      <w:r>
        <w:rPr/>
        <w:t xml:space="preserve"> anamorphs: species with clavate vesicles. </w:t>
      </w:r>
      <w:r>
        <w:rPr>
          <w:i/>
          <w:iCs/>
        </w:rPr>
        <w:t>Studies in Mycology</w:t>
      </w:r>
      <w:r>
        <w:rPr/>
        <w:t xml:space="preserve">, </w:t>
      </w:r>
      <w:r>
        <w:rPr>
          <w:i/>
          <w:iCs/>
        </w:rPr>
        <w:t>55</w:t>
      </w:r>
      <w:r>
        <w:rPr/>
        <w:t xml:space="preserve">, 213–226. </w:t>
      </w:r>
      <w:hyperlink r:id="rId18">
        <w:r>
          <w:rPr>
            <w:rStyle w:val="Hyperlink"/>
          </w:rPr>
          <w:t>https://doi.org/10.3114/sim.55.1.213</w:t>
        </w:r>
      </w:hyperlink>
      <w:bookmarkEnd w:id="49"/>
    </w:p>
    <w:p>
      <w:pPr>
        <w:pStyle w:val="Bibliography"/>
        <w:rPr/>
      </w:pPr>
      <w:bookmarkStart w:id="50"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9">
        <w:r>
          <w:rPr>
            <w:rStyle w:val="Hyperlink"/>
          </w:rPr>
          <w:t>https://doi.org/10.1007/978-81-322-1575-2</w:t>
        </w:r>
      </w:hyperlink>
      <w:bookmarkEnd w:id="50"/>
    </w:p>
    <w:p>
      <w:pPr>
        <w:pStyle w:val="Bibliography"/>
        <w:rPr/>
      </w:pPr>
      <w:bookmarkStart w:id="51"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20">
        <w:r>
          <w:rPr>
            <w:rStyle w:val="Hyperlink"/>
          </w:rPr>
          <w:t>https://doi.org/10.1098/rstb.2017.0395</w:t>
        </w:r>
      </w:hyperlink>
      <w:bookmarkEnd w:id="51"/>
    </w:p>
    <w:p>
      <w:pPr>
        <w:pStyle w:val="Bibliography"/>
        <w:rPr/>
      </w:pPr>
      <w:bookmarkStart w:id="52"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1">
        <w:r>
          <w:rPr>
            <w:rStyle w:val="Hyperlink"/>
          </w:rPr>
          <w:t>https://doi.org/10.1890/08-1823.1</w:t>
        </w:r>
      </w:hyperlink>
      <w:bookmarkEnd w:id="52"/>
    </w:p>
    <w:p>
      <w:pPr>
        <w:pStyle w:val="Bibliography"/>
        <w:rPr/>
      </w:pPr>
      <w:bookmarkStart w:id="53"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53"/>
    </w:p>
    <w:p>
      <w:pPr>
        <w:pStyle w:val="Bibliography"/>
        <w:rPr/>
      </w:pPr>
      <w:bookmarkStart w:id="54"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3">
        <w:r>
          <w:rPr>
            <w:rStyle w:val="Hyperlink"/>
          </w:rPr>
          <w:t>https://doi.org/10.1111/j.1469-8137.2005.01333.x</w:t>
        </w:r>
      </w:hyperlink>
      <w:bookmarkEnd w:id="54"/>
    </w:p>
    <w:p>
      <w:pPr>
        <w:pStyle w:val="Bibliography"/>
        <w:rPr/>
      </w:pPr>
      <w:bookmarkStart w:id="55" w:name="ref-fox2019"/>
      <w:r>
        <w:rPr/>
        <w:t xml:space="preserve">Fox, J., &amp; Weisberg, S. (2019). </w:t>
      </w:r>
      <w:r>
        <w:rPr>
          <w:i/>
          <w:iCs/>
        </w:rPr>
        <w:t>An R companion to applied regression</w:t>
      </w:r>
      <w:r>
        <w:rPr/>
        <w:t xml:space="preserve"> (Third edition). SAGE.</w:t>
      </w:r>
      <w:bookmarkEnd w:id="55"/>
    </w:p>
    <w:p>
      <w:pPr>
        <w:pStyle w:val="Bibliography"/>
        <w:rPr/>
      </w:pPr>
      <w:bookmarkStart w:id="56"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56"/>
    </w:p>
    <w:p>
      <w:pPr>
        <w:pStyle w:val="Bibliography"/>
        <w:rPr/>
      </w:pPr>
      <w:bookmarkStart w:id="57"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57"/>
    </w:p>
    <w:p>
      <w:pPr>
        <w:pStyle w:val="Bibliography"/>
        <w:rPr/>
      </w:pPr>
      <w:bookmarkStart w:id="58"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58"/>
    </w:p>
    <w:p>
      <w:pPr>
        <w:pStyle w:val="Bibliography"/>
        <w:rPr/>
      </w:pPr>
      <w:bookmarkStart w:id="59"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59"/>
    </w:p>
    <w:p>
      <w:pPr>
        <w:pStyle w:val="Bibliography"/>
        <w:rPr/>
      </w:pPr>
      <w:bookmarkStart w:id="60"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60"/>
    </w:p>
    <w:p>
      <w:pPr>
        <w:pStyle w:val="Bibliography"/>
        <w:rPr/>
      </w:pPr>
      <w:bookmarkStart w:id="61"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61"/>
    </w:p>
    <w:p>
      <w:pPr>
        <w:pStyle w:val="Bibliography"/>
        <w:rPr/>
      </w:pPr>
      <w:bookmarkStart w:id="62" w:name="ref-holeski2010"/>
      <w:r>
        <w:rPr/>
        <w:t xml:space="preserve">Holeski, L. M., Chase-Alone, R., &amp; Kelly, J. K. (2010). The genetics of phenotypic plasticity in plant defense: Trichome production in </w:t>
      </w:r>
      <w:r>
        <w:rPr>
          <w:i/>
          <w:iCs/>
        </w:rPr>
        <w:t>Mimulus guttatus</w:t>
      </w:r>
      <w:r>
        <w:rPr/>
        <w:t xml:space="preserve">. </w:t>
      </w:r>
      <w:r>
        <w:rPr>
          <w:i/>
          <w:iCs/>
        </w:rPr>
        <w:t>American Naturalist</w:t>
      </w:r>
      <w:r>
        <w:rPr/>
        <w:t xml:space="preserve">, </w:t>
      </w:r>
      <w:r>
        <w:rPr>
          <w:i/>
          <w:iCs/>
        </w:rPr>
        <w:t>175</w:t>
      </w:r>
      <w:r>
        <w:rPr/>
        <w:t xml:space="preserve">(4), 391–400. </w:t>
      </w:r>
      <w:hyperlink r:id="rId30">
        <w:r>
          <w:rPr>
            <w:rStyle w:val="Hyperlink"/>
          </w:rPr>
          <w:t>https://doi.org/10.1086/651300</w:t>
        </w:r>
      </w:hyperlink>
      <w:bookmarkEnd w:id="62"/>
    </w:p>
    <w:p>
      <w:pPr>
        <w:pStyle w:val="Bibliography"/>
        <w:rPr/>
      </w:pPr>
      <w:bookmarkStart w:id="63"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63"/>
    </w:p>
    <w:p>
      <w:pPr>
        <w:pStyle w:val="Bibliography"/>
        <w:rPr/>
      </w:pPr>
      <w:bookmarkStart w:id="64"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64"/>
    </w:p>
    <w:p>
      <w:pPr>
        <w:pStyle w:val="Bibliography"/>
        <w:rPr/>
      </w:pPr>
      <w:bookmarkStart w:id="65"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65"/>
    </w:p>
    <w:p>
      <w:pPr>
        <w:pStyle w:val="Bibliography"/>
        <w:rPr/>
      </w:pPr>
      <w:bookmarkStart w:id="66"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66"/>
    </w:p>
    <w:p>
      <w:pPr>
        <w:pStyle w:val="Bibliography"/>
        <w:rPr/>
      </w:pPr>
      <w:bookmarkStart w:id="67"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67"/>
    </w:p>
    <w:p>
      <w:pPr>
        <w:pStyle w:val="Bibliography"/>
        <w:rPr/>
      </w:pPr>
      <w:bookmarkStart w:id="68"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68"/>
    </w:p>
    <w:p>
      <w:pPr>
        <w:pStyle w:val="Bibliography"/>
        <w:rPr/>
      </w:pPr>
      <w:bookmarkStart w:id="69" w:name="ref-legendre2012"/>
      <w:r>
        <w:rPr/>
        <w:t xml:space="preserve">Legendre, P., &amp; Legendre, L. (2012). </w:t>
      </w:r>
      <w:r>
        <w:rPr>
          <w:i/>
          <w:iCs/>
        </w:rPr>
        <w:t>Numerical ecology</w:t>
      </w:r>
      <w:r>
        <w:rPr/>
        <w:t xml:space="preserve"> (24; 3d English edition). Elsevier.</w:t>
      </w:r>
      <w:bookmarkEnd w:id="69"/>
    </w:p>
    <w:p>
      <w:pPr>
        <w:pStyle w:val="Bibliography"/>
        <w:rPr/>
      </w:pPr>
      <w:bookmarkStart w:id="70"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70"/>
    </w:p>
    <w:p>
      <w:pPr>
        <w:pStyle w:val="Bibliography"/>
        <w:rPr/>
      </w:pPr>
      <w:bookmarkStart w:id="71" w:name="ref-leigh1996"/>
      <w:r>
        <w:rPr/>
        <w:t xml:space="preserve">Leigh, E. G., Rand, A. S., Windsor, D. M., &amp; Smithsonian Tropical Research Institute (Eds.). (1996). </w:t>
      </w:r>
      <w:r>
        <w:rPr>
          <w:i/>
          <w:iCs/>
        </w:rPr>
        <w:t>The ecology of a tropical forest: seasonal rhythms and long-term changes</w:t>
      </w:r>
      <w:r>
        <w:rPr/>
        <w:t xml:space="preserve"> (2nd ed). Smithsonian Institution Press.</w:t>
      </w:r>
      <w:bookmarkEnd w:id="71"/>
    </w:p>
    <w:p>
      <w:pPr>
        <w:pStyle w:val="Bibliography"/>
        <w:rPr/>
      </w:pPr>
      <w:bookmarkStart w:id="72" w:name="ref-li2022"/>
      <w:r>
        <w:rPr/>
        <w:t xml:space="preserve">Li, J., Wingfield, M. J., Barnes, I., &amp; Chen, S. (2022). </w:t>
      </w:r>
      <w:r>
        <w:rPr>
          <w:i/>
          <w:iCs/>
        </w:rPr>
        <w:t>Calonectria</w:t>
      </w:r>
      <w:r>
        <w:rPr/>
        <w:t xml:space="preserve"> in the age of genes and genomes: Towards understanding an important but relatively unknown group of pathogens. </w:t>
      </w:r>
      <w:r>
        <w:rPr>
          <w:i/>
          <w:iCs/>
        </w:rPr>
        <w:t>Molecular Plant Pathology</w:t>
      </w:r>
      <w:r>
        <w:rPr/>
        <w:t xml:space="preserve">, </w:t>
      </w:r>
      <w:r>
        <w:rPr>
          <w:i/>
          <w:iCs/>
        </w:rPr>
        <w:t>23</w:t>
      </w:r>
      <w:r>
        <w:rPr/>
        <w:t xml:space="preserve">(7), 1060–1072. </w:t>
      </w:r>
      <w:hyperlink r:id="rId38">
        <w:r>
          <w:rPr>
            <w:rStyle w:val="Hyperlink"/>
          </w:rPr>
          <w:t>https://doi.org/10.1111/mpp.13209</w:t>
        </w:r>
      </w:hyperlink>
      <w:bookmarkEnd w:id="72"/>
    </w:p>
    <w:p>
      <w:pPr>
        <w:pStyle w:val="Bibliography"/>
        <w:rPr/>
      </w:pPr>
      <w:bookmarkStart w:id="73" w:name="ref-lombard2010"/>
      <w:r>
        <w:rPr/>
        <w:t xml:space="preserve">Lombard, L., Crous, P. W., Wingfield, B. D., &amp; Wingfield, M. J. (2010). Species concepts in Calonectria (Cylindrocladium). </w:t>
      </w:r>
      <w:r>
        <w:rPr>
          <w:i/>
          <w:iCs/>
        </w:rPr>
        <w:t>Studies in Mycology</w:t>
      </w:r>
      <w:r>
        <w:rPr/>
        <w:t xml:space="preserve">, </w:t>
      </w:r>
      <w:r>
        <w:rPr>
          <w:i/>
          <w:iCs/>
        </w:rPr>
        <w:t>66</w:t>
      </w:r>
      <w:r>
        <w:rPr/>
        <w:t xml:space="preserve">, 1–13. </w:t>
      </w:r>
      <w:hyperlink r:id="rId39">
        <w:r>
          <w:rPr>
            <w:rStyle w:val="Hyperlink"/>
          </w:rPr>
          <w:t>https://doi.org/10.3114/sim.2010.66.01</w:t>
        </w:r>
      </w:hyperlink>
      <w:bookmarkEnd w:id="73"/>
    </w:p>
    <w:p>
      <w:pPr>
        <w:pStyle w:val="Bibliography"/>
        <w:rPr/>
      </w:pPr>
      <w:bookmarkStart w:id="74"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0">
        <w:r>
          <w:rPr>
            <w:rStyle w:val="Hyperlink"/>
          </w:rPr>
          <w:t>https://doi.org/10.1007/s00442-014-3177-2</w:t>
        </w:r>
      </w:hyperlink>
      <w:bookmarkEnd w:id="74"/>
    </w:p>
    <w:p>
      <w:pPr>
        <w:pStyle w:val="Bibliography"/>
        <w:rPr/>
      </w:pPr>
      <w:bookmarkStart w:id="75"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1">
        <w:r>
          <w:rPr>
            <w:rStyle w:val="Hyperlink"/>
          </w:rPr>
          <w:t>https://doi.org/10.1890/0012-9658(2001)082[0290:FMMTCD]2.0.CO;2</w:t>
        </w:r>
      </w:hyperlink>
      <w:bookmarkEnd w:id="75"/>
    </w:p>
    <w:p>
      <w:pPr>
        <w:pStyle w:val="Bibliography"/>
        <w:rPr/>
      </w:pPr>
      <w:bookmarkStart w:id="76" w:name="ref-mcgill2006"/>
      <w:r>
        <w:rPr/>
        <w:t xml:space="preserve">McGill, B. J., Enquist, B. J., Weiher, E., &amp; Westoby, M. (2006). Rebuilding community ecology from functional traits. </w:t>
      </w:r>
      <w:r>
        <w:rPr>
          <w:i/>
          <w:iCs/>
        </w:rPr>
        <w:t>Trends in Ecology and Evolution</w:t>
      </w:r>
      <w:r>
        <w:rPr/>
        <w:t xml:space="preserve">, </w:t>
      </w:r>
      <w:r>
        <w:rPr>
          <w:i/>
          <w:iCs/>
        </w:rPr>
        <w:t>21</w:t>
      </w:r>
      <w:r>
        <w:rPr/>
        <w:t xml:space="preserve">(4), 178–185. </w:t>
      </w:r>
      <w:hyperlink r:id="rId42">
        <w:r>
          <w:rPr>
            <w:rStyle w:val="Hyperlink"/>
          </w:rPr>
          <w:t>https://doi.org/10.1016/j.tree.2006.02.002</w:t>
        </w:r>
      </w:hyperlink>
      <w:bookmarkEnd w:id="76"/>
    </w:p>
    <w:p>
      <w:pPr>
        <w:pStyle w:val="Bibliography"/>
        <w:rPr/>
      </w:pPr>
      <w:bookmarkStart w:id="77"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3">
        <w:r>
          <w:rPr>
            <w:rStyle w:val="Hyperlink"/>
          </w:rPr>
          <w:t>https://doi.org/10.1371/journal.pone.0061217</w:t>
        </w:r>
      </w:hyperlink>
      <w:bookmarkEnd w:id="77"/>
    </w:p>
    <w:p>
      <w:pPr>
        <w:pStyle w:val="Bibliography"/>
        <w:rPr/>
      </w:pPr>
      <w:bookmarkStart w:id="78"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(SEP), 1–16. </w:t>
      </w:r>
      <w:hyperlink r:id="rId44">
        <w:r>
          <w:rPr>
            <w:rStyle w:val="Hyperlink"/>
          </w:rPr>
          <w:t>https://doi.org/10.3389/fmicb.2014.00479</w:t>
        </w:r>
      </w:hyperlink>
      <w:bookmarkEnd w:id="78"/>
    </w:p>
    <w:p>
      <w:pPr>
        <w:pStyle w:val="Bibliography"/>
        <w:rPr/>
      </w:pPr>
      <w:bookmarkStart w:id="79" w:name="ref-mejia2008"/>
      <w:r>
        <w:rPr/>
        <w:t xml:space="preserve">Mejía, L. C., Rojas, E. I., Maynard, Z., Bael, S. V., Arnold, A. E., Hebbar, P., Samuels, G. J., Robbins, N., &amp; Herre, E. A. (2008). Endophytic fungi as biocontrol agents of </w:t>
      </w:r>
      <w:r>
        <w:rPr>
          <w:i/>
          <w:iCs/>
        </w:rPr>
        <w:t>Theobroma cacao</w:t>
      </w:r>
      <w:r>
        <w:rPr/>
        <w:t xml:space="preserve"> pathogens. </w:t>
      </w:r>
      <w:r>
        <w:rPr>
          <w:i/>
          <w:iCs/>
        </w:rPr>
        <w:t>Biological Control</w:t>
      </w:r>
      <w:r>
        <w:rPr/>
        <w:t xml:space="preserve">, </w:t>
      </w:r>
      <w:r>
        <w:rPr>
          <w:i/>
          <w:iCs/>
        </w:rPr>
        <w:t>46</w:t>
      </w:r>
      <w:r>
        <w:rPr/>
        <w:t xml:space="preserve">(1), 4–14. </w:t>
      </w:r>
      <w:hyperlink r:id="rId45">
        <w:r>
          <w:rPr>
            <w:rStyle w:val="Hyperlink"/>
          </w:rPr>
          <w:t>https://doi.org/10.1016/j.biocontrol.2008.01.012</w:t>
        </w:r>
      </w:hyperlink>
      <w:bookmarkEnd w:id="79"/>
    </w:p>
    <w:p>
      <w:pPr>
        <w:pStyle w:val="Bibliography"/>
        <w:rPr/>
      </w:pPr>
      <w:bookmarkStart w:id="80"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6">
        <w:r>
          <w:rPr>
            <w:rStyle w:val="Hyperlink"/>
          </w:rPr>
          <w:t>https://doi.org/10.3389/fpls.2023.1169558</w:t>
        </w:r>
      </w:hyperlink>
      <w:bookmarkEnd w:id="80"/>
    </w:p>
    <w:p>
      <w:pPr>
        <w:pStyle w:val="Bibliography"/>
        <w:rPr/>
      </w:pPr>
      <w:bookmarkStart w:id="81"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7">
        <w:r>
          <w:rPr>
            <w:rStyle w:val="Hyperlink"/>
          </w:rPr>
          <w:t>https://doi.org/10.1038/s42003-021-01826-7</w:t>
        </w:r>
      </w:hyperlink>
      <w:bookmarkEnd w:id="81"/>
    </w:p>
    <w:p>
      <w:pPr>
        <w:pStyle w:val="Bibliography"/>
        <w:rPr/>
      </w:pPr>
      <w:bookmarkStart w:id="82"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8">
        <w:r>
          <w:rPr>
            <w:rStyle w:val="Hyperlink"/>
          </w:rPr>
          <w:t>https://github.com/vegandevs/vegan</w:t>
        </w:r>
      </w:hyperlink>
      <w:bookmarkEnd w:id="82"/>
    </w:p>
    <w:p>
      <w:pPr>
        <w:pStyle w:val="Bibliography"/>
        <w:rPr/>
      </w:pPr>
      <w:bookmarkStart w:id="83" w:name="ref-pinheiro2000"/>
      <w:r>
        <w:rPr/>
        <w:t xml:space="preserve">Pinheiro, J. C., &amp; Bates, D. M. (2000). </w:t>
      </w:r>
      <w:r>
        <w:rPr>
          <w:i/>
          <w:iCs/>
        </w:rPr>
        <w:t>Mixed-Effects Models in S and S-PLUS</w:t>
      </w:r>
      <w:r>
        <w:rPr/>
        <w:t xml:space="preserve">. Springer. </w:t>
      </w:r>
      <w:hyperlink r:id="rId49">
        <w:r>
          <w:rPr>
            <w:rStyle w:val="Hyperlink"/>
          </w:rPr>
          <w:t>https://doi.org/10.1007/b98882</w:t>
        </w:r>
      </w:hyperlink>
      <w:bookmarkEnd w:id="83"/>
    </w:p>
    <w:p>
      <w:pPr>
        <w:pStyle w:val="Bibliography"/>
        <w:rPr/>
      </w:pPr>
      <w:bookmarkStart w:id="84" w:name="ref-pinheiro2023"/>
      <w:r>
        <w:rPr/>
        <w:t xml:space="preserve">Pinheiro, J., Bates, D., &amp; R Core Team. (2023). </w:t>
      </w:r>
      <w:r>
        <w:rPr>
          <w:i/>
          <w:iCs/>
        </w:rPr>
        <w:t>nlme: Linear and nonlinear mixed effects models</w:t>
      </w:r>
      <w:r>
        <w:rPr/>
        <w:t xml:space="preserve"> [Manual]. </w:t>
      </w:r>
      <w:hyperlink r:id="rId50">
        <w:r>
          <w:rPr>
            <w:rStyle w:val="Hyperlink"/>
          </w:rPr>
          <w:t>https://CRAN.R-project.org/package=nlme</w:t>
        </w:r>
      </w:hyperlink>
      <w:bookmarkEnd w:id="84"/>
    </w:p>
    <w:p>
      <w:pPr>
        <w:pStyle w:val="Bibliography"/>
        <w:rPr/>
      </w:pPr>
      <w:bookmarkStart w:id="85"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1">
        <w:r>
          <w:rPr>
            <w:rStyle w:val="Hyperlink"/>
          </w:rPr>
          <w:t>https://doi.org/10.1890/0012-9658(2006)87[1733:LTAGPO]2.0.CO;2</w:t>
        </w:r>
      </w:hyperlink>
      <w:bookmarkEnd w:id="85"/>
    </w:p>
    <w:p>
      <w:pPr>
        <w:pStyle w:val="Bibliography"/>
        <w:rPr/>
      </w:pPr>
      <w:bookmarkStart w:id="86"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2">
        <w:r>
          <w:rPr>
            <w:rStyle w:val="Hyperlink"/>
          </w:rPr>
          <w:t>https://doi.org/10.1146/annurev-phyto-080508-081831</w:t>
        </w:r>
      </w:hyperlink>
      <w:bookmarkEnd w:id="86"/>
    </w:p>
    <w:p>
      <w:pPr>
        <w:pStyle w:val="Bibliography"/>
        <w:rPr/>
      </w:pPr>
      <w:bookmarkStart w:id="87" w:name="ref-rcoreteam2024"/>
      <w:r>
        <w:rPr/>
        <w:t xml:space="preserve">R Core Team. (2024). </w:t>
      </w:r>
      <w:r>
        <w:rPr>
          <w:i/>
          <w:iCs/>
        </w:rPr>
        <w:t>R: A language and environment for statistical computing</w:t>
      </w:r>
      <w:r>
        <w:rPr/>
        <w:t xml:space="preserve"> [Manual]. R Foundation for Statistical Computing. </w:t>
      </w:r>
      <w:hyperlink r:id="rId53">
        <w:r>
          <w:rPr>
            <w:rStyle w:val="Hyperlink"/>
          </w:rPr>
          <w:t>https://www.R-project.org/</w:t>
        </w:r>
      </w:hyperlink>
      <w:bookmarkEnd w:id="87"/>
    </w:p>
    <w:p>
      <w:pPr>
        <w:pStyle w:val="Bibliography"/>
        <w:rPr/>
      </w:pPr>
      <w:bookmarkStart w:id="88"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4">
        <w:r>
          <w:rPr>
            <w:rStyle w:val="Hyperlink"/>
          </w:rPr>
          <w:t>https://doi.org/10.1098/rsos.160628</w:t>
        </w:r>
      </w:hyperlink>
      <w:bookmarkEnd w:id="88"/>
    </w:p>
    <w:p>
      <w:pPr>
        <w:pStyle w:val="Bibliography"/>
        <w:rPr/>
      </w:pPr>
      <w:bookmarkStart w:id="89"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5">
        <w:r>
          <w:rPr>
            <w:rStyle w:val="Hyperlink"/>
          </w:rPr>
          <w:t>https://doi.org/10.1111/j.1469-8137.2009.02773.x</w:t>
        </w:r>
      </w:hyperlink>
      <w:bookmarkEnd w:id="89"/>
    </w:p>
    <w:p>
      <w:pPr>
        <w:pStyle w:val="Bibliography"/>
        <w:rPr/>
      </w:pPr>
      <w:bookmarkStart w:id="90"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6">
        <w:r>
          <w:rPr>
            <w:rStyle w:val="Hyperlink"/>
          </w:rPr>
          <w:t>https://doi.org/10.7717/peerj.2584</w:t>
        </w:r>
      </w:hyperlink>
      <w:bookmarkEnd w:id="90"/>
    </w:p>
    <w:p>
      <w:pPr>
        <w:pStyle w:val="Bibliography"/>
        <w:rPr/>
      </w:pPr>
      <w:bookmarkStart w:id="91" w:name="ref-sanchez-gonzalez2022"/>
      <w:r>
        <w:rPr/>
        <w:t xml:space="preserve">Sanchez-Gonzalez, E. I., Soares, T. D. P. F., Zarpelon, T. G., Zauza, E. A. V., Mafia, R. G., &amp; Ferreira, M. A. (2022). Two new species of </w:t>
      </w:r>
      <w:r>
        <w:rPr>
          <w:i/>
          <w:iCs/>
        </w:rPr>
        <w:t>Calonectria</w:t>
      </w:r>
      <w:r>
        <w:rPr/>
        <w:t xml:space="preserve"> (Hypocreales, Nectriaceae) causing Eucalyptus leaf blight in Brazil. </w:t>
      </w:r>
      <w:r>
        <w:rPr>
          <w:i/>
          <w:iCs/>
        </w:rPr>
        <w:t>MycoKeys</w:t>
      </w:r>
      <w:r>
        <w:rPr/>
        <w:t xml:space="preserve">, </w:t>
      </w:r>
      <w:r>
        <w:rPr>
          <w:i/>
          <w:iCs/>
        </w:rPr>
        <w:t>91</w:t>
      </w:r>
      <w:r>
        <w:rPr/>
        <w:t xml:space="preserve">, 169–197. </w:t>
      </w:r>
      <w:hyperlink r:id="rId57">
        <w:r>
          <w:rPr>
            <w:rStyle w:val="Hyperlink"/>
          </w:rPr>
          <w:t>https://doi.org/10.3897/mycokeys.91.84896</w:t>
        </w:r>
      </w:hyperlink>
      <w:bookmarkEnd w:id="91"/>
    </w:p>
    <w:p>
      <w:pPr>
        <w:pStyle w:val="Bibliography"/>
        <w:rPr/>
      </w:pPr>
      <w:bookmarkStart w:id="92"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8">
        <w:r>
          <w:rPr>
            <w:rStyle w:val="Hyperlink"/>
          </w:rPr>
          <w:t>https://doi.org/10.1073/pnas.1706324114</w:t>
        </w:r>
      </w:hyperlink>
      <w:bookmarkEnd w:id="92"/>
    </w:p>
    <w:p>
      <w:pPr>
        <w:pStyle w:val="Bibliography"/>
        <w:rPr/>
      </w:pPr>
      <w:bookmarkStart w:id="93"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9">
        <w:r>
          <w:rPr>
            <w:rStyle w:val="Hyperlink"/>
          </w:rPr>
          <w:t>https://doi.org/10.1111/j.1752-4571.2010.00141.x</w:t>
        </w:r>
      </w:hyperlink>
      <w:bookmarkEnd w:id="93"/>
    </w:p>
    <w:p>
      <w:pPr>
        <w:pStyle w:val="Bibliography"/>
        <w:rPr/>
      </w:pPr>
      <w:bookmarkStart w:id="94"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0">
        <w:r>
          <w:rPr>
            <w:rStyle w:val="Hyperlink"/>
          </w:rPr>
          <w:t>https://doi.org/10.1038/nmeth.2089</w:t>
        </w:r>
      </w:hyperlink>
      <w:bookmarkEnd w:id="94"/>
    </w:p>
    <w:p>
      <w:pPr>
        <w:pStyle w:val="Bibliography"/>
        <w:rPr/>
      </w:pPr>
      <w:bookmarkStart w:id="95"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1">
        <w:r>
          <w:rPr>
            <w:rStyle w:val="Hyperlink"/>
          </w:rPr>
          <w:t>https://doi.org/10.1086/367580</w:t>
        </w:r>
      </w:hyperlink>
      <w:bookmarkEnd w:id="95"/>
    </w:p>
    <w:p>
      <w:pPr>
        <w:pStyle w:val="Bibliography"/>
        <w:rPr/>
      </w:pPr>
      <w:bookmarkStart w:id="96"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2">
        <w:r>
          <w:rPr>
            <w:rStyle w:val="Hyperlink"/>
          </w:rPr>
          <w:t>https://doi.org/lutzoni</w:t>
        </w:r>
      </w:hyperlink>
      <w:bookmarkEnd w:id="96"/>
    </w:p>
    <w:p>
      <w:pPr>
        <w:pStyle w:val="Bibliography"/>
        <w:rPr/>
      </w:pPr>
      <w:bookmarkStart w:id="97"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3">
        <w:r>
          <w:rPr>
            <w:rStyle w:val="Hyperlink"/>
          </w:rPr>
          <w:t>https://doi.org/10.1111/btp.12303</w:t>
        </w:r>
      </w:hyperlink>
      <w:bookmarkEnd w:id="97"/>
    </w:p>
    <w:p>
      <w:pPr>
        <w:pStyle w:val="Bibliography"/>
        <w:rPr/>
      </w:pPr>
      <w:bookmarkStart w:id="98" w:name="ref-teoh2016"/>
      <w:r>
        <w:rPr/>
        <w:t xml:space="preserve">Teoh, E. S. (2016). Secondary Metabolites of Plants. In E. S. Teoh, </w:t>
      </w:r>
      <w:r>
        <w:rPr>
          <w:i/>
          <w:iCs/>
        </w:rPr>
        <w:t>Medicinal Orchids of Asia</w:t>
      </w:r>
      <w:r>
        <w:rPr/>
        <w:t xml:space="preserve"> (pp. 59–73). Springer International Publishing. </w:t>
      </w:r>
      <w:hyperlink r:id="rId64">
        <w:r>
          <w:rPr>
            <w:rStyle w:val="Hyperlink"/>
          </w:rPr>
          <w:t>https://doi.org/10.1007/978-3-319-24274-3_5</w:t>
        </w:r>
      </w:hyperlink>
      <w:bookmarkEnd w:id="98"/>
    </w:p>
    <w:p>
      <w:pPr>
        <w:pStyle w:val="Bibliography"/>
        <w:rPr/>
      </w:pPr>
      <w:bookmarkStart w:id="99" w:name="ref-uren2017"/>
      <w:r>
        <w:rPr/>
        <w:t xml:space="preserve">U’Ren, J. M., &amp; Arnold, A. E. (2017). 96 well DNA Extraction Protocol for Plant and Lichen Tissue Stored in CTAB. </w:t>
      </w:r>
      <w:r>
        <w:rPr>
          <w:i/>
          <w:iCs/>
        </w:rPr>
        <w:t>Protocols.io</w:t>
      </w:r>
      <w:r>
        <w:rPr/>
        <w:t xml:space="preserve">, 1–5. </w:t>
      </w:r>
      <w:hyperlink r:id="rId65">
        <w:r>
          <w:rPr>
            <w:rStyle w:val="Hyperlink"/>
          </w:rPr>
          <w:t>https://doi.org/dx.doi.org/10.17504/protocols.io.fscbnaw</w:t>
        </w:r>
      </w:hyperlink>
      <w:bookmarkEnd w:id="99"/>
    </w:p>
    <w:p>
      <w:pPr>
        <w:pStyle w:val="Bibliography"/>
        <w:rPr/>
      </w:pPr>
      <w:bookmarkStart w:id="100"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6">
        <w:r>
          <w:rPr>
            <w:rStyle w:val="Hyperlink"/>
          </w:rPr>
          <w:t>https://doi.org/10.1038/s41559-019-0975-2</w:t>
        </w:r>
      </w:hyperlink>
      <w:bookmarkEnd w:id="100"/>
    </w:p>
    <w:p>
      <w:pPr>
        <w:pStyle w:val="Bibliography"/>
        <w:rPr/>
      </w:pPr>
      <w:bookmarkStart w:id="101" w:name="ref-vanbael2017a"/>
      <w:r>
        <w:rPr/>
        <w:t xml:space="preserve">Van Bael, S. A., Estrada, C., &amp; Arnold, A. E. (2017). Chapter 6 Foliar Endophyte Communities and Leaf Traits in Tropical Trees. In J. Dighton &amp; J. F. White (Eds.), </w:t>
      </w:r>
      <w:r>
        <w:rPr>
          <w:i/>
          <w:iCs/>
        </w:rPr>
        <w:t>Mycology</w:t>
      </w:r>
      <w:r>
        <w:rPr/>
        <w:t xml:space="preserve"> (pp. 79–94). CRC Press. </w:t>
      </w:r>
      <w:hyperlink r:id="rId67">
        <w:r>
          <w:rPr>
            <w:rStyle w:val="Hyperlink"/>
          </w:rPr>
          <w:t>https://doi.org/10.1201/9781315119496-7</w:t>
        </w:r>
      </w:hyperlink>
      <w:bookmarkEnd w:id="101"/>
    </w:p>
    <w:p>
      <w:pPr>
        <w:pStyle w:val="Bibliography"/>
        <w:rPr/>
      </w:pPr>
      <w:bookmarkStart w:id="102"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8">
        <w:r>
          <w:rPr>
            <w:rStyle w:val="Hyperlink"/>
          </w:rPr>
          <w:t>https://doi.org/10.1186/s40168-017-0237-y</w:t>
        </w:r>
      </w:hyperlink>
      <w:bookmarkEnd w:id="102"/>
    </w:p>
    <w:p>
      <w:pPr>
        <w:pStyle w:val="Bibliography"/>
        <w:rPr/>
      </w:pPr>
      <w:bookmarkStart w:id="103"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9">
        <w:r>
          <w:rPr>
            <w:rStyle w:val="Hyperlink"/>
          </w:rPr>
          <w:t>https://doi.org/10.1111/j.1469-8137.2005.01349.x</w:t>
        </w:r>
      </w:hyperlink>
      <w:bookmarkEnd w:id="103"/>
    </w:p>
    <w:p>
      <w:pPr>
        <w:pStyle w:val="Bibliography"/>
        <w:rPr/>
      </w:pPr>
      <w:bookmarkStart w:id="104"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0">
        <w:r>
          <w:rPr>
            <w:rStyle w:val="Hyperlink"/>
          </w:rPr>
          <w:t>https://doi.org/10.1038/nature02403</w:t>
        </w:r>
      </w:hyperlink>
      <w:bookmarkEnd w:id="33"/>
      <w:bookmarkEnd w:id="34"/>
      <w:bookmarkEnd w:id="104"/>
    </w:p>
    <w:p>
      <w:pPr>
        <w:pStyle w:val="Heading1"/>
        <w:rPr/>
      </w:pPr>
      <w:bookmarkStart w:id="105" w:name="figures"/>
      <w:r>
        <w:rPr/>
        <w:t>13. Figures</w:t>
      </w:r>
    </w:p>
    <w:p>
      <w:pPr>
        <w:pStyle w:val="Heading2"/>
        <w:rPr/>
      </w:pPr>
      <w:bookmarkStart w:id="106" w:name="figure-1"/>
      <w:r>
        <w:rPr/>
        <w:t>13.1 Figure 1</w:t>
      </w:r>
    </w:p>
    <w:p>
      <w:pPr>
        <w:pStyle w:val="CaptionedFigure"/>
        <w:rPr/>
      </w:pPr>
      <w:r>
        <w:rPr/>
        <w:drawing>
          <wp:inline distT="0" distB="0" distL="0" distR="0">
            <wp:extent cx="5544185" cy="5544185"/>
            <wp:effectExtent l="0" t="0" r="0" b="0"/>
            <wp:docPr id="1" name="Picture"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71"/>
                    <a:stretch>
                      <a:fillRect/>
                    </a:stretch>
                  </pic:blipFill>
                  <pic:spPr bwMode="auto">
                    <a:xfrm>
                      <a:off x="0" y="0"/>
                      <a:ext cx="5544185" cy="554418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boxes represent low endophyte (</w:t>
      </w:r>
      <w:r>
        <w:rPr>
          <w:i/>
          <w:iCs/>
        </w:rPr>
        <w:t>E-low</w:t>
      </w:r>
      <w:r>
        <w:rPr/>
        <w:t>) treatment and yellow outlined represent high endophyte (</w:t>
      </w:r>
      <w:r>
        <w:rPr>
          <w:i/>
          <w:iCs/>
        </w:rPr>
        <w:t>E-high</w:t>
      </w:r>
      <w:r>
        <w:rPr/>
        <w:t xml:space="preserve">) treatment. Relative abundance is the percentage of endophyte colonization within individuals of the same species.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06"/>
    </w:p>
    <w:p>
      <w:pPr>
        <w:pStyle w:val="Heading2"/>
        <w:rPr/>
      </w:pPr>
      <w:bookmarkStart w:id="107" w:name="figure-2"/>
      <w:r>
        <w:rPr/>
        <w:t>13.2 Figure 2</w:t>
      </w:r>
    </w:p>
    <w:p>
      <w:pPr>
        <w:pStyle w:val="CaptionedFigure"/>
        <w:rPr/>
      </w:pPr>
      <w:r>
        <w:rPr/>
        <w:drawing>
          <wp:inline distT="0" distB="0" distL="0" distR="0">
            <wp:extent cx="5544185" cy="5544185"/>
            <wp:effectExtent l="0" t="0" r="0" b="0"/>
            <wp:docPr id="2" name="Image2"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s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s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 of values of herbivory (%) damage caused by </w:t>
      </w:r>
      <w:r>
        <w:rPr>
          <w:i/>
          <w:iCs/>
        </w:rPr>
        <w:t>Atta colombica</w:t>
      </w:r>
      <w:r>
        <w:rPr/>
        <w:t xml:space="preserve"> in treatment groups (</w:t>
      </w:r>
      <w:r>
        <w:rPr>
          <w:i/>
          <w:iCs/>
        </w:rPr>
        <w:t>E-low</w:t>
      </w:r>
      <w:r>
        <w:rPr/>
        <w:t xml:space="preserve"> and </w:t>
      </w:r>
      <w:r>
        <w:rPr>
          <w:i/>
          <w:iCs/>
        </w:rPr>
        <w:t>E-high</w:t>
      </w:r>
      <w:r>
        <w:rPr/>
        <w:t xml:space="preserve">) and pathogen damage cause by </w:t>
      </w:r>
      <w:r>
        <w:rPr>
          <w:i/>
          <w:iCs/>
        </w:rPr>
        <w:t>Calonectria</w:t>
      </w:r>
      <w:r>
        <w:rPr/>
        <w:t xml:space="preserve"> sp. to tree species. a) Comparison of herbivory (%) means between treatment groups across individuals of all species. b) Comparison of the absolute pathogen damage (%) means between treatment groups across individuals of all species (values from ‘control’ treated leaves were substracted from pathogen treated leaves). Pink represents low FEF group (</w:t>
      </w:r>
      <w:r>
        <w:rPr>
          <w:i/>
          <w:iCs/>
        </w:rPr>
        <w:t>E-low</w:t>
      </w:r>
      <w:r>
        <w:rPr/>
        <w:t>) and yellow outlined box plots represent high FEF group (</w:t>
      </w:r>
      <w:r>
        <w:rPr>
          <w:i/>
          <w:iCs/>
        </w:rPr>
        <w:t>E-high</w:t>
      </w:r>
      <w:r>
        <w:rPr/>
        <w:t xml:space="preserve">).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07"/>
    </w:p>
    <w:p>
      <w:pPr>
        <w:pStyle w:val="Heading2"/>
        <w:rPr/>
      </w:pPr>
      <w:bookmarkStart w:id="108" w:name="figure-3"/>
      <w:r>
        <w:rPr/>
        <w:t>13.3 Figure 3</w:t>
      </w:r>
    </w:p>
    <w:p>
      <w:pPr>
        <w:pStyle w:val="CaptionedFigure"/>
        <w:rPr/>
      </w:pPr>
      <w:r>
        <w:rPr/>
        <w:drawing>
          <wp:inline distT="0" distB="0" distL="0" distR="0">
            <wp:extent cx="5943600" cy="5486400"/>
            <wp:effectExtent l="0" t="0" r="0" b="0"/>
            <wp:docPr id="3" name="Image3" descr="FEF community composition was associated with leaf functional traits (LFTs) from the leaf economic spectrum (LES) (genomic data set). Variation in FEF community composition within and between host species (n = 7) and treatment groups (E-, E+) from distance-based redundancy analyses (dbRDA). Solid arrows represent statistically significant associations (p &lt;.01). Each point represents a FEF community sample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LFTs) from the leaf economic spectrum (LES) (genomic data set). Variation in FEF community composition within and between host species (n = 7) and treatment groups (E-, E+) from distance-based redundancy analyses (dbRDA). Solid arrows represent statistically significant associations (p &lt;.01). Each point represents a FEF community sample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3"/>
                    <a:stretch>
                      <a:fillRect/>
                    </a:stretch>
                  </pic:blipFill>
                  <pic:spPr bwMode="auto">
                    <a:xfrm>
                      <a:off x="0" y="0"/>
                      <a:ext cx="5943600" cy="5486400"/>
                    </a:xfrm>
                    <a:prstGeom prst="rect">
                      <a:avLst/>
                    </a:prstGeom>
                    <a:noFill/>
                  </pic:spPr>
                </pic:pic>
              </a:graphicData>
            </a:graphic>
          </wp:inline>
        </w:drawing>
      </w:r>
    </w:p>
    <w:p>
      <w:pPr>
        <w:pStyle w:val="ImageCaption"/>
        <w:rPr/>
      </w:pPr>
      <w:r>
        <w:rPr/>
        <w:t>FEF community composition was associated with leaf functional traits (LFTs) from the leaf economic spectrum (LES)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distance-based redundancy analyses (dbRDA). Solid arrows represent statistically significant associations (</w:t>
      </w:r>
      <w:r>
        <w:rPr>
          <w:i/>
          <w:iCs/>
        </w:rPr>
        <w:t>p</w:t>
      </w:r>
      <w:r>
        <w:rPr/>
        <w:t xml:space="preserve"> &lt;.01). Each point represents a FEF community sample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108"/>
    </w:p>
    <w:p>
      <w:pPr>
        <w:pStyle w:val="Heading2"/>
        <w:rPr/>
      </w:pPr>
      <w:bookmarkStart w:id="109" w:name="figure-4"/>
      <w:r>
        <w:rPr/>
        <w:t>13.4 Figure 4</w:t>
      </w:r>
    </w:p>
    <w:p>
      <w:pPr>
        <w:pStyle w:val="CaptionedFigure"/>
        <w:rPr/>
      </w:pPr>
      <w:r>
        <w:rPr/>
        <w:drawing>
          <wp:inline distT="0" distB="0" distL="0" distR="0">
            <wp:extent cx="5544185" cy="5544185"/>
            <wp:effectExtent l="0" t="0" r="0" b="0"/>
            <wp:docPr id="4" name="Image4"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pic:cNvPicPr>
                      <a:picLocks noChangeAspect="1" noChangeArrowheads="1"/>
                    </pic:cNvPicPr>
                  </pic:nvPicPr>
                  <pic:blipFill>
                    <a:blip r:embed="rId74"/>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LFTs are conserved within tree species regardless of endophyte load treatment. (a) Principal Component Analysis (PCA) of LFTs from all tree species separated by </w:t>
      </w:r>
      <w:r>
        <w:rPr>
          <w:i/>
          <w:iCs/>
        </w:rPr>
        <w:t>E-low</w:t>
      </w:r>
      <w:r>
        <w:rPr/>
        <w:t xml:space="preserve"> and </w:t>
      </w:r>
      <w:r>
        <w:rPr>
          <w:i/>
          <w:iCs/>
        </w:rPr>
        <w:t>E-high</w:t>
      </w:r>
      <w:r>
        <w:rPr/>
        <w:t xml:space="preserve"> treatment. (b) PCA of LFTs of plants solely used in ant herbivory assays. (c) PCA LFTs of plants used solely in pathogen damage assays. Colors represent tree species. Circle and triangles represent low (</w:t>
      </w:r>
      <w:r>
        <w:rPr>
          <w:i/>
          <w:iCs/>
        </w:rPr>
        <w:t>E-low</w:t>
      </w:r>
      <w:r>
        <w:rPr/>
        <w:t>) and high (</w:t>
      </w:r>
      <w:r>
        <w:rPr>
          <w:i/>
          <w:iCs/>
        </w:rPr>
        <w:t>E-high</w:t>
      </w:r>
      <w:r>
        <w:rPr/>
        <w:t>) FEF treatment groups, respectively. Colored ellipses correspond to tree species and represent 95% confidence intervals.</w:t>
      </w:r>
      <w:bookmarkEnd w:id="109"/>
    </w:p>
    <w:p>
      <w:pPr>
        <w:pStyle w:val="Heading2"/>
        <w:rPr/>
      </w:pPr>
      <w:bookmarkStart w:id="110"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pic:cNvPicPr>
                      <a:picLocks noChangeAspect="1" noChangeArrowheads="1"/>
                    </pic:cNvPicPr>
                  </pic:nvPicPr>
                  <pic:blipFill>
                    <a:blip r:embed="rId75"/>
                    <a:stretch>
                      <a:fillRect/>
                    </a:stretch>
                  </pic:blipFill>
                  <pic:spPr bwMode="auto">
                    <a:xfrm>
                      <a:off x="0" y="0"/>
                      <a:ext cx="5943600" cy="5943600"/>
                    </a:xfrm>
                    <a:prstGeom prst="rect">
                      <a:avLst/>
                    </a:prstGeom>
                    <a:noFill/>
                  </pic:spPr>
                </pic:pic>
              </a:graphicData>
            </a:graphic>
          </wp:inline>
        </w:drawing>
      </w:r>
    </w:p>
    <w:p>
      <w:pPr>
        <w:pStyle w:val="ImageCaption"/>
        <w:rPr/>
      </w:pPr>
      <w:r>
        <w:rPr/>
        <w:t>Simple linear regressions of herbivory and pathogen damage on PC1 and PC2 axes from PCAs of leaf traits for ant herbivory and pathogen damage assays. Linear regression of a) percent herbivory damage and PC1 axis (</w:t>
      </w:r>
      <w:r>
        <w:rPr>
          <w:i/>
          <w:iCs/>
        </w:rPr>
        <w:t>R</w:t>
      </w:r>
      <w:r>
        <w:rPr>
          <w:i/>
          <w:iCs/>
          <w:vertAlign w:val="superscript"/>
        </w:rPr>
        <w:t>2</w:t>
      </w:r>
      <w:r>
        <w:rPr>
          <w:i/>
          <w:iCs/>
          <w:vertAlign w:val="subscript"/>
        </w:rPr>
        <w:t>adj</w:t>
      </w:r>
      <w:r>
        <w:rPr/>
        <w:t xml:space="preserve"> = -0.0024, </w:t>
      </w:r>
      <w:r>
        <w:rPr>
          <w:i/>
          <w:iCs/>
        </w:rPr>
        <w:t>p</w:t>
      </w:r>
      <w:r>
        <w:rPr/>
        <w:t xml:space="preserve"> = 0.447); b) percent herbivory damage and PC2 axis (</w:t>
      </w:r>
      <w:r>
        <w:rPr>
          <w:i/>
          <w:iCs/>
        </w:rPr>
        <w:t>R</w:t>
      </w:r>
      <w:r>
        <w:rPr>
          <w:i/>
          <w:iCs/>
          <w:vertAlign w:val="superscript"/>
        </w:rPr>
        <w:t>2</w:t>
      </w:r>
      <w:r>
        <w:rPr>
          <w:i/>
          <w:iCs/>
          <w:vertAlign w:val="subscript"/>
        </w:rPr>
        <w:t>adj</w:t>
      </w:r>
      <w:r>
        <w:rPr/>
        <w:t xml:space="preserve">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w:t>
      </w:r>
      <w:r>
        <w:rPr>
          <w:i/>
          <w:iCs/>
        </w:rPr>
        <w:t>R</w:t>
      </w:r>
      <w:r>
        <w:rPr>
          <w:i/>
          <w:iCs/>
          <w:vertAlign w:val="superscript"/>
        </w:rPr>
        <w:t>2</w:t>
      </w:r>
      <w:r>
        <w:rPr>
          <w:i/>
          <w:iCs/>
          <w:vertAlign w:val="subscript"/>
        </w:rPr>
        <w:t>adj</w:t>
      </w:r>
      <w:r>
        <w:rPr/>
        <w:t xml:space="preserve"> = 0.0016, </w:t>
      </w:r>
      <w:r>
        <w:rPr>
          <w:i/>
          <w:iCs/>
        </w:rPr>
        <w:t>p</w:t>
      </w:r>
      <w:r>
        <w:rPr/>
        <w:t xml:space="preserve"> = .207). Colors represent individual species. Circle and triangles represent </w:t>
      </w:r>
      <w:r>
        <w:rPr>
          <w:i/>
          <w:iCs/>
        </w:rPr>
        <w:t>E-low</w:t>
      </w:r>
      <w:r>
        <w:rPr/>
        <w:t xml:space="preserve"> and </w:t>
      </w:r>
      <w:r>
        <w:rPr>
          <w:i/>
          <w:iCs/>
        </w:rPr>
        <w:t>E-high</w:t>
      </w:r>
      <w:r>
        <w:rPr/>
        <w:t xml:space="preserve"> treatments, respectively.</w:t>
      </w:r>
      <w:bookmarkEnd w:id="105"/>
      <w:bookmarkEnd w:id="110"/>
    </w:p>
    <w:p>
      <w:pPr>
        <w:pStyle w:val="Heading1"/>
        <w:rPr/>
      </w:pPr>
      <w:r>
        <w:rPr/>
        <w:t>14. Tables</w:t>
      </w:r>
    </w:p>
    <w:p>
      <w:pPr>
        <w:pStyle w:val="Heading2"/>
        <w:rPr/>
      </w:pPr>
      <w:r>
        <w:rPr/>
        <w:t>14.1 Table 1</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spacing w:before="200" w:after="120"/>
              <w:jc w:val="left"/>
              <w:rPr/>
            </w:pPr>
            <w:bookmarkStart w:id="111" w:name="tbl-table1"/>
            <w:r>
              <w:rPr/>
              <w:t>Table 1: Summary statistics for the leaf functional traits (LFTs)</w:t>
            </w:r>
            <w:bookmarkStart w:id="112" w:name="table-1"/>
            <w:bookmarkEnd w:id="111"/>
            <w:bookmarkEnd w:id="112"/>
          </w:p>
        </w:tc>
      </w:tr>
    </w:tbl>
    <w:p>
      <w:pPr>
        <w:pStyle w:val="Heading2"/>
        <w:rPr/>
      </w:pPr>
      <w:r>
        <w:rPr/>
        <w:t>14.2 Table 2</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spacing w:before="200" w:after="120"/>
              <w:jc w:val="left"/>
              <w:rPr/>
            </w:pPr>
            <w:bookmarkStart w:id="113" w:name="tbl-tableGLMM"/>
            <w:r>
              <w:rPr/>
              <w:t>Table 2</w:t>
            </w:r>
            <w:bookmarkStart w:id="114" w:name="tables"/>
            <w:bookmarkEnd w:id="113"/>
            <w:bookmarkEnd w:id="114"/>
          </w:p>
        </w:tc>
      </w:tr>
    </w:tbl>
    <w:p>
      <w:pPr>
        <w:pStyle w:val="Heading1"/>
        <w:rPr/>
      </w:pPr>
      <w:r>
        <w:rPr/>
        <w:t>15. Appendix S1</w:t>
      </w:r>
    </w:p>
    <w:p>
      <w:pPr>
        <w:pStyle w:val="Heading2"/>
        <w:rPr/>
      </w:pPr>
      <w:bookmarkStart w:id="115" w:name="figure-s1"/>
      <w:r>
        <w:rPr/>
        <w:t>15.1 Figure S1</w:t>
      </w:r>
    </w:p>
    <w:p>
      <w:pPr>
        <w:pStyle w:val="CaptionedFigure"/>
        <w:rPr/>
      </w:pPr>
      <w:r>
        <w:rPr/>
        <w:drawing>
          <wp:inline distT="0" distB="0" distL="0" distR="0">
            <wp:extent cx="5544185" cy="5544185"/>
            <wp:effectExtent l="0" t="0" r="0" b="0"/>
            <wp:docPr id="6"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76"/>
                    <a:stretch>
                      <a:fillRect/>
                    </a:stretch>
                  </pic:blipFill>
                  <pic:spPr bwMode="auto">
                    <a:xfrm>
                      <a:off x="0" y="0"/>
                      <a:ext cx="5544185" cy="5544185"/>
                    </a:xfrm>
                    <a:prstGeom prst="rect">
                      <a:avLst/>
                    </a:prstGeom>
                    <a:noFill/>
                  </pic:spPr>
                </pic:pic>
              </a:graphicData>
            </a:graphic>
          </wp:inline>
        </w:drawing>
      </w:r>
    </w:p>
    <w:p>
      <w:pPr>
        <w:pStyle w:val="ImageCaption"/>
        <w:rPr/>
      </w:pPr>
      <w:r>
        <w:rPr/>
        <w:t>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
          <w:iCs/>
        </w:rPr>
        <w:t>E-low</w:t>
      </w:r>
      <w:r>
        <w:rPr/>
        <w:t xml:space="preserve"> and </w:t>
      </w:r>
      <w:r>
        <w:rPr>
          <w:i/>
          <w:iCs/>
        </w:rPr>
        <w:t>E-high</w:t>
      </w:r>
      <w:r>
        <w:rPr/>
        <w:t>). b) Comparison of mean percent colonization of leaves by FEF measured 7 days after culture. Violin plots show the distribution of percent colonization values for each species per treatment group.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5"/>
    </w:p>
    <w:p>
      <w:pPr>
        <w:pStyle w:val="Heading2"/>
        <w:rPr/>
      </w:pPr>
      <w:bookmarkStart w:id="116" w:name="figure-s2"/>
      <w:r>
        <w:rPr/>
        <w:t>15.2 Figure S2</w:t>
      </w:r>
    </w:p>
    <w:p>
      <w:pPr>
        <w:pStyle w:val="CaptionedFigure"/>
        <w:rPr/>
      </w:pPr>
      <w:r>
        <w:rPr/>
        <w:drawing>
          <wp:inline distT="0" distB="0" distL="0" distR="0">
            <wp:extent cx="5544185" cy="5544185"/>
            <wp:effectExtent l="0" t="0" r="0" b="0"/>
            <wp:docPr id="7" name="Image7"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77"/>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anthocyanin content (ACI) in treatment groups (</w:t>
      </w:r>
      <w:r>
        <w:rPr>
          <w:i/>
          <w:iCs/>
        </w:rPr>
        <w:t>E-low</w:t>
      </w:r>
      <w:r>
        <w:rPr/>
        <w:t xml:space="preserve"> and </w:t>
      </w:r>
      <w:r>
        <w:rPr>
          <w:i/>
          <w:iCs/>
        </w:rPr>
        <w:t>E-high</w:t>
      </w:r>
      <w:r>
        <w:rPr/>
        <w:t>)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6"/>
    </w:p>
    <w:p>
      <w:pPr>
        <w:pStyle w:val="Heading2"/>
        <w:rPr/>
      </w:pPr>
      <w:bookmarkStart w:id="117" w:name="figure-s3"/>
      <w:r>
        <w:rPr/>
        <w:t>15.3 Figure S3</w:t>
      </w:r>
    </w:p>
    <w:p>
      <w:pPr>
        <w:pStyle w:val="CaptionedFigure"/>
        <w:rPr/>
      </w:pPr>
      <w:r>
        <w:rPr/>
        <w:drawing>
          <wp:inline distT="0" distB="0" distL="0" distR="0">
            <wp:extent cx="5544185" cy="5544185"/>
            <wp:effectExtent l="0" t="0" r="0" b="0"/>
            <wp:docPr id="8" name="Image8"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78"/>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thickness (LT) (μg) in treatment groups (</w:t>
      </w:r>
      <w:r>
        <w:rPr>
          <w:i/>
          <w:iCs/>
        </w:rPr>
        <w:t>E-low</w:t>
      </w:r>
      <w:r>
        <w:rPr/>
        <w:t xml:space="preserve"> and </w:t>
      </w:r>
      <w:r>
        <w:rPr>
          <w:i/>
          <w:iCs/>
        </w:rPr>
        <w:t>E-high</w:t>
      </w:r>
      <w:r>
        <w:rPr/>
        <w:t>)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Statistical significance was calculated using a two-sided Student’s t-Test.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7"/>
    </w:p>
    <w:p>
      <w:pPr>
        <w:pStyle w:val="Heading2"/>
        <w:rPr/>
      </w:pPr>
      <w:bookmarkStart w:id="118" w:name="figure-s4"/>
      <w:r>
        <w:rPr/>
        <w:t>15.4 Figure S4</w:t>
      </w:r>
    </w:p>
    <w:p>
      <w:pPr>
        <w:pStyle w:val="CaptionedFigure"/>
        <w:rPr/>
      </w:pPr>
      <w:r>
        <w:rPr/>
        <w:drawing>
          <wp:inline distT="0" distB="0" distL="0" distR="0">
            <wp:extent cx="5544185" cy="5544185"/>
            <wp:effectExtent l="0" t="0" r="0" b="0"/>
            <wp:docPr id="9" name="Image9"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79"/>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punch strength (LPS) (N mm^-1) in treatment groups (</w:t>
      </w:r>
      <w:r>
        <w:rPr>
          <w:i/>
          <w:iCs/>
        </w:rPr>
        <w:t>E-low</w:t>
      </w:r>
      <w:r>
        <w:rPr/>
        <w:t xml:space="preserve"> and </w:t>
      </w:r>
      <w:r>
        <w:rPr>
          <w:i/>
          <w:iCs/>
        </w:rPr>
        <w:t>E-high</w:t>
      </w:r>
      <w:r>
        <w:rPr/>
        <w:t>)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8"/>
    </w:p>
    <w:p>
      <w:pPr>
        <w:pStyle w:val="Heading2"/>
        <w:rPr/>
      </w:pPr>
      <w:bookmarkStart w:id="119" w:name="figure-s5"/>
      <w:r>
        <w:rPr/>
        <w:t>15.5 Figure S5</w:t>
      </w:r>
    </w:p>
    <w:p>
      <w:pPr>
        <w:pStyle w:val="CaptionedFigure"/>
        <w:rPr/>
      </w:pPr>
      <w:r>
        <w:rPr/>
        <w:drawing>
          <wp:inline distT="0" distB="0" distL="0" distR="0">
            <wp:extent cx="5544185" cy="5544185"/>
            <wp:effectExtent l="0" t="0" r="0" b="0"/>
            <wp:docPr id="10" name="Image10"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0"/>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mass per area (LMA) (mg mm^2) in treatment groups (</w:t>
      </w:r>
      <w:r>
        <w:rPr>
          <w:i/>
          <w:iCs/>
        </w:rPr>
        <w:t>E-low</w:t>
      </w:r>
      <w:r>
        <w:rPr/>
        <w:t xml:space="preserve"> and </w:t>
      </w:r>
      <w:r>
        <w:rPr>
          <w:i/>
          <w:iCs/>
        </w:rPr>
        <w:t>E-high</w:t>
      </w:r>
      <w:r>
        <w:rPr/>
        <w:t>)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9"/>
    </w:p>
    <w:p>
      <w:pPr>
        <w:pStyle w:val="Heading2"/>
        <w:rPr/>
      </w:pPr>
      <w:bookmarkStart w:id="120" w:name="figure-s6"/>
      <w:r>
        <w:rPr/>
        <w:t>15.6 Figure S6</w:t>
      </w:r>
    </w:p>
    <w:p>
      <w:pPr>
        <w:pStyle w:val="CaptionedFigure"/>
        <w:rPr/>
      </w:pPr>
      <w:r>
        <w:rPr/>
        <w:drawing>
          <wp:inline distT="0" distB="0" distL="0" distR="0">
            <wp:extent cx="5544185" cy="5544185"/>
            <wp:effectExtent l="0" t="0" r="0" b="0"/>
            <wp:docPr id="11" name="Image11"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Distributions of values and means of herbivory (%) and pathogen damage caused by </w:t>
      </w:r>
      <w:r>
        <w:rPr>
          <w:i/>
          <w:iCs/>
        </w:rPr>
        <w:t>Atta colombica</w:t>
      </w:r>
      <w:r>
        <w:rPr/>
        <w:t xml:space="preserve"> and </w:t>
      </w:r>
      <w:r>
        <w:rPr>
          <w:i/>
          <w:iCs/>
        </w:rPr>
        <w:t>Calonectria</w:t>
      </w:r>
      <w:r>
        <w:rPr/>
        <w:t xml:space="preserve"> sp. , respectively, in treatment groups (</w:t>
      </w:r>
      <w:r>
        <w:rPr>
          <w:i/>
          <w:iCs/>
        </w:rPr>
        <w:t>E-low</w:t>
      </w:r>
      <w:r>
        <w:rPr/>
        <w:t xml:space="preserve"> and </w:t>
      </w:r>
      <w:r>
        <w:rPr>
          <w:i/>
          <w:iCs/>
        </w:rPr>
        <w:t>E-high</w:t>
      </w:r>
      <w:r>
        <w:rPr/>
        <w:t>) per tree species. a) Comparison of herbivory (%) means between treatment groups across individuals of all species. b) Comparison of pathogen (%) means between treatment groups across individuals of all species.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0"/>
    </w:p>
    <w:p>
      <w:pPr>
        <w:pStyle w:val="Heading2"/>
        <w:rPr/>
      </w:pPr>
      <w:bookmarkStart w:id="121" w:name="figure-s7"/>
      <w:r>
        <w:rPr/>
        <w:t>15.7 Figure S7</w:t>
      </w:r>
    </w:p>
    <w:p>
      <w:pPr>
        <w:pStyle w:val="CaptionedFigure"/>
        <w:rPr/>
      </w:pPr>
      <w:r>
        <w:rPr/>
        <w:drawing>
          <wp:inline distT="0" distB="0" distL="0" distR="0">
            <wp:extent cx="5544185" cy="5544185"/>
            <wp:effectExtent l="0" t="0" r="0" b="0"/>
            <wp:docPr id="12" name="Image12"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pic:cNvPicPr>
                      <a:picLocks noChangeAspect="1" noChangeArrowheads="1"/>
                    </pic:cNvPicPr>
                  </pic:nvPicPr>
                  <pic:blipFill>
                    <a:blip r:embed="rId8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Simple linear regressions of logit transfomed herbivory (%) and LFTs. a) Herbivory </w:t>
      </w:r>
      <w:r>
        <w:rPr>
          <w:i/>
          <w:iCs/>
        </w:rPr>
        <w:t>vs.</w:t>
      </w:r>
      <w:r>
        <w:rPr/>
        <w:t xml:space="preserve"> leaf thickness (LT) (μg) (</w:t>
      </w:r>
      <w:r>
        <w:rPr>
          <w:i/>
          <w:iCs/>
        </w:rPr>
        <w:t>R</w:t>
      </w:r>
      <w:r>
        <w:rPr>
          <w:i/>
          <w:iCs/>
          <w:vertAlign w:val="superscript"/>
        </w:rPr>
        <w:t>2</w:t>
      </w:r>
      <w:r>
        <w:rPr>
          <w:i/>
          <w:iCs/>
          <w:vertAlign w:val="subscript"/>
        </w:rPr>
        <w:t>adj</w:t>
      </w:r>
      <w:r>
        <w:rPr/>
        <w:t xml:space="preserve"> = 0.0811, </w:t>
      </w:r>
      <w:r>
        <w:rPr>
          <w:i/>
          <w:iCs/>
        </w:rPr>
        <w:t>p</w:t>
      </w:r>
      <w:r>
        <w:rPr/>
        <w:t xml:space="preserve"> &lt; .0001). b) Herbivory </w:t>
      </w:r>
      <w:r>
        <w:rPr>
          <w:i/>
          <w:iCs/>
        </w:rPr>
        <w:t>vs.</w:t>
      </w:r>
      <w:r>
        <w:rPr/>
        <w:t xml:space="preserve"> LPS (N mm-1) (</w:t>
      </w:r>
      <w:r>
        <w:rPr>
          <w:i/>
          <w:iCs/>
        </w:rPr>
        <w:t>R</w:t>
      </w:r>
      <w:r>
        <w:rPr>
          <w:i/>
          <w:iCs/>
          <w:vertAlign w:val="superscript"/>
        </w:rPr>
        <w:t>2</w:t>
      </w:r>
      <w:r>
        <w:rPr>
          <w:i/>
          <w:iCs/>
          <w:vertAlign w:val="subscript"/>
        </w:rPr>
        <w:t>adj</w:t>
      </w:r>
      <w:r>
        <w:rPr/>
        <w:t xml:space="preserve"> = -0.0018, </w:t>
      </w:r>
      <w:r>
        <w:rPr>
          <w:i/>
          <w:iCs/>
        </w:rPr>
        <w:t>p</w:t>
      </w:r>
      <w:r>
        <w:rPr/>
        <w:t xml:space="preserve"> = .429)). c) Herbivory </w:t>
      </w:r>
      <w:r>
        <w:rPr>
          <w:i/>
          <w:iCs/>
        </w:rPr>
        <w:t>vs.</w:t>
      </w:r>
      <w:r>
        <w:rPr/>
        <w:t xml:space="preserve"> ACI (</w:t>
      </w:r>
      <w:r>
        <w:rPr>
          <w:i/>
          <w:iCs/>
        </w:rPr>
        <w:t>R</w:t>
      </w:r>
      <w:r>
        <w:rPr>
          <w:i/>
          <w:iCs/>
          <w:vertAlign w:val="superscript"/>
        </w:rPr>
        <w:t>2</w:t>
      </w:r>
      <w:r>
        <w:rPr>
          <w:i/>
          <w:iCs/>
          <w:vertAlign w:val="subscript"/>
        </w:rPr>
        <w:t>adj</w:t>
      </w:r>
      <w:r>
        <w:rPr/>
        <w:t xml:space="preserve"> = 0.0071, </w:t>
      </w:r>
      <w:r>
        <w:rPr>
          <w:i/>
          <w:iCs/>
        </w:rPr>
        <w:t>p</w:t>
      </w:r>
      <w:r>
        <w:rPr/>
        <w:t xml:space="preserve"> = .116). d) Pathogen </w:t>
      </w:r>
      <w:r>
        <w:rPr>
          <w:i/>
          <w:iCs/>
        </w:rPr>
        <w:t>vs.</w:t>
      </w:r>
      <w:r>
        <w:rPr/>
        <w:t xml:space="preserve"> LMA (mg mm^2) (</w:t>
      </w:r>
      <w:r>
        <w:rPr>
          <w:i/>
          <w:iCs/>
        </w:rPr>
        <w:t>R</w:t>
      </w:r>
      <w:r>
        <w:rPr>
          <w:i/>
          <w:iCs/>
          <w:vertAlign w:val="superscript"/>
        </w:rPr>
        <w:t>2</w:t>
      </w:r>
      <w:r>
        <w:rPr>
          <w:i/>
          <w:iCs/>
          <w:vertAlign w:val="subscript"/>
        </w:rPr>
        <w:t>adj</w:t>
      </w:r>
      <w:r>
        <w:rPr/>
        <w:t xml:space="preserve"> = -0.0008, </w:t>
      </w:r>
      <w:r>
        <w:rPr>
          <w:i/>
          <w:iCs/>
        </w:rPr>
        <w:t>p</w:t>
      </w:r>
      <w:r>
        <w:rPr/>
        <w:t xml:space="preserve"> = .36). e) Herbivory </w:t>
      </w:r>
      <w:r>
        <w:rPr>
          <w:i/>
          <w:iCs/>
        </w:rPr>
        <w:t>vs.</w:t>
      </w:r>
      <w:r>
        <w:rPr/>
        <w:t xml:space="preserve"> Shannon diversity index (</w:t>
      </w:r>
      <w:r>
        <w:rPr>
          <w:i/>
          <w:iCs/>
        </w:rPr>
        <w:t>R</w:t>
      </w:r>
      <w:r>
        <w:rPr>
          <w:i/>
          <w:iCs/>
          <w:vertAlign w:val="superscript"/>
        </w:rPr>
        <w:t>2</w:t>
      </w:r>
      <w:r>
        <w:rPr>
          <w:i/>
          <w:iCs/>
          <w:vertAlign w:val="subscript"/>
        </w:rPr>
        <w:t>adj</w:t>
      </w:r>
      <w:r>
        <w:rPr/>
        <w:t xml:space="preserve"> = 0.007 , </w:t>
      </w:r>
      <w:r>
        <w:rPr>
          <w:i/>
          <w:iCs/>
        </w:rPr>
        <w:t>p</w:t>
      </w:r>
      <w:r>
        <w:rPr/>
        <w:t xml:space="preserve"> = .12). Pink filled line and shapes represent low FEF group (</w:t>
      </w:r>
      <w:r>
        <w:rPr>
          <w:i/>
          <w:iCs/>
        </w:rPr>
        <w:t>E-low</w:t>
      </w:r>
      <w:r>
        <w:rPr/>
        <w:t>) and yellow filled line and shapes represent high FEF group (</w:t>
      </w:r>
      <w:r>
        <w:rPr>
          <w:i/>
          <w:iCs/>
        </w:rPr>
        <w:t>E-high</w:t>
      </w:r>
      <w:r>
        <w:rPr/>
        <w:t>). Black line represents the linear regression on all observations. Solid lines represent significant correlations and dashed lines represent non-significant correlations at the α &lt; .05 level.</w:t>
      </w:r>
      <w:bookmarkEnd w:id="121"/>
    </w:p>
    <w:p>
      <w:pPr>
        <w:pStyle w:val="Heading2"/>
        <w:rPr/>
      </w:pPr>
      <w:bookmarkStart w:id="122" w:name="figure-s8"/>
      <w:r>
        <w:rPr/>
        <w:t>15.8 Figure S8</w:t>
      </w:r>
    </w:p>
    <w:p>
      <w:pPr>
        <w:pStyle w:val="CaptionedFigure"/>
        <w:rPr/>
      </w:pPr>
      <w:r>
        <w:rPr/>
        <w:drawing>
          <wp:inline distT="0" distB="0" distL="0" distR="0">
            <wp:extent cx="5544185" cy="5544185"/>
            <wp:effectExtent l="0" t="0" r="0" b="0"/>
            <wp:docPr id="13" name="Image13"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pic:cNvPicPr>
                      <a:picLocks noChangeAspect="1" noChangeArrowheads="1"/>
                    </pic:cNvPicPr>
                  </pic:nvPicPr>
                  <pic:blipFill>
                    <a:blip r:embed="rId8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Simple linear regressions of logit transformed pathogen damage (%) and and LFTs. a) Pathogen damage </w:t>
      </w:r>
      <w:r>
        <w:rPr>
          <w:i/>
          <w:iCs/>
        </w:rPr>
        <w:t>vs.</w:t>
      </w:r>
      <w:r>
        <w:rPr/>
        <w:t xml:space="preserve"> leaf thickness (LT) (μg) (</w:t>
      </w:r>
      <w:r>
        <w:rPr>
          <w:i/>
          <w:iCs/>
        </w:rPr>
        <w:t>R</w:t>
      </w:r>
      <w:r>
        <w:rPr>
          <w:i/>
          <w:iCs/>
          <w:vertAlign w:val="superscript"/>
        </w:rPr>
        <w:t>2</w:t>
      </w:r>
      <w:r>
        <w:rPr>
          <w:i/>
          <w:iCs/>
          <w:vertAlign w:val="subscript"/>
        </w:rPr>
        <w:t>adj</w:t>
      </w:r>
      <w:r>
        <w:rPr/>
        <w:t xml:space="preserve"> = -0.0013, </w:t>
      </w:r>
      <w:r>
        <w:rPr>
          <w:i/>
          <w:iCs/>
        </w:rPr>
        <w:t>p</w:t>
      </w:r>
      <w:r>
        <w:rPr/>
        <w:t xml:space="preserve"> = .482). b) Pathogen damage </w:t>
      </w:r>
      <w:r>
        <w:rPr>
          <w:i/>
          <w:iCs/>
        </w:rPr>
        <w:t>vs.</w:t>
      </w:r>
      <w:r>
        <w:rPr/>
        <w:t xml:space="preserve"> LPS (N mm-1) (</w:t>
      </w:r>
      <w:r>
        <w:rPr>
          <w:i/>
          <w:iCs/>
        </w:rPr>
        <w:t>R</w:t>
      </w:r>
      <w:r>
        <w:rPr>
          <w:i/>
          <w:iCs/>
          <w:vertAlign w:val="superscript"/>
        </w:rPr>
        <w:t>2</w:t>
      </w:r>
      <w:r>
        <w:rPr>
          <w:i/>
          <w:iCs/>
          <w:vertAlign w:val="subscript"/>
        </w:rPr>
        <w:t>adj</w:t>
      </w:r>
      <w:r>
        <w:rPr/>
        <w:t xml:space="preserve"> = 0.0782, </w:t>
      </w:r>
      <w:r>
        <w:rPr>
          <w:i/>
          <w:iCs/>
        </w:rPr>
        <w:t>p</w:t>
      </w:r>
      <w:r>
        <w:rPr/>
        <w:t xml:space="preserve"> &lt; .0001). c) Pathogen damage </w:t>
      </w:r>
      <w:r>
        <w:rPr>
          <w:i/>
          <w:iCs/>
        </w:rPr>
        <w:t>vs.</w:t>
      </w:r>
      <w:r>
        <w:rPr/>
        <w:t xml:space="preserve"> ACI (</w:t>
      </w:r>
      <w:r>
        <w:rPr>
          <w:i/>
          <w:iCs/>
        </w:rPr>
        <w:t>R</w:t>
      </w:r>
      <w:r>
        <w:rPr>
          <w:i/>
          <w:iCs/>
          <w:vertAlign w:val="superscript"/>
        </w:rPr>
        <w:t>2</w:t>
      </w:r>
      <w:r>
        <w:rPr>
          <w:i/>
          <w:iCs/>
          <w:vertAlign w:val="subscript"/>
        </w:rPr>
        <w:t>adj</w:t>
      </w:r>
      <w:r>
        <w:rPr/>
        <w:t xml:space="preserve"> = 0.0338, </w:t>
      </w:r>
      <w:r>
        <w:rPr>
          <w:i/>
          <w:iCs/>
        </w:rPr>
        <w:t>p</w:t>
      </w:r>
      <w:r>
        <w:rPr/>
        <w:t xml:space="preserve"> &lt; .001). d) Pathogen </w:t>
      </w:r>
      <w:r>
        <w:rPr>
          <w:i/>
          <w:iCs/>
        </w:rPr>
        <w:t>vs.</w:t>
      </w:r>
      <w:r>
        <w:rPr/>
        <w:t xml:space="preserve"> LMA (mg mm^2) (</w:t>
      </w:r>
      <w:r>
        <w:rPr>
          <w:i/>
          <w:iCs/>
        </w:rPr>
        <w:t>R</w:t>
      </w:r>
      <w:r>
        <w:rPr>
          <w:i/>
          <w:iCs/>
          <w:vertAlign w:val="superscript"/>
        </w:rPr>
        <w:t>2</w:t>
      </w:r>
      <w:r>
        <w:rPr>
          <w:i/>
          <w:iCs/>
          <w:vertAlign w:val="subscript"/>
        </w:rPr>
        <w:t>adj</w:t>
      </w:r>
      <w:r>
        <w:rPr/>
        <w:t xml:space="preserve"> = 0.0295, </w:t>
      </w:r>
      <w:r>
        <w:rPr>
          <w:i/>
          <w:iCs/>
        </w:rPr>
        <w:t>p</w:t>
      </w:r>
      <w:r>
        <w:rPr/>
        <w:t xml:space="preserve"> &lt; .001). e) Pathogen damage </w:t>
      </w:r>
      <w:r>
        <w:rPr>
          <w:i/>
          <w:iCs/>
        </w:rPr>
        <w:t>vs.</w:t>
      </w:r>
      <w:r>
        <w:rPr/>
        <w:t xml:space="preserve"> Shannon diversity index (</w:t>
      </w:r>
      <w:r>
        <w:rPr>
          <w:i/>
          <w:iCs/>
        </w:rPr>
        <w:t>R</w:t>
      </w:r>
      <w:r>
        <w:rPr>
          <w:i/>
          <w:iCs/>
          <w:vertAlign w:val="superscript"/>
        </w:rPr>
        <w:t>2</w:t>
      </w:r>
      <w:r>
        <w:rPr>
          <w:i/>
          <w:iCs/>
          <w:vertAlign w:val="subscript"/>
        </w:rPr>
        <w:t>adj</w:t>
      </w:r>
      <w:r>
        <w:rPr/>
        <w:t xml:space="preserve"> = 0.0152 , </w:t>
      </w:r>
      <w:r>
        <w:rPr>
          <w:i/>
          <w:iCs/>
        </w:rPr>
        <w:t>p</w:t>
      </w:r>
      <w:r>
        <w:rPr/>
        <w:t xml:space="preserve"> &lt; .001). Pink filled line and shapes represent low FEF group (</w:t>
      </w:r>
      <w:r>
        <w:rPr>
          <w:i/>
          <w:iCs/>
        </w:rPr>
        <w:t>E-low</w:t>
      </w:r>
      <w:r>
        <w:rPr/>
        <w:t>) and yellow filled line and shapes represent high FEF group (</w:t>
      </w:r>
      <w:r>
        <w:rPr>
          <w:i/>
          <w:iCs/>
        </w:rPr>
        <w:t>E-high</w:t>
      </w:r>
      <w:r>
        <w:rPr/>
        <w:t>). Black line represents the linear regression on all observations. Solid lines represent significant correlations and dashed lines represent non-significant correlations at the α &lt; .05 level.</w:t>
      </w:r>
      <w:bookmarkEnd w:id="122"/>
    </w:p>
    <w:p>
      <w:pPr>
        <w:pStyle w:val="Heading2"/>
        <w:rPr/>
      </w:pPr>
      <w:r>
        <w:rPr/>
        <w:t>15.9 Figure S9</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spacing w:before="36" w:after="36"/>
              <w:jc w:val="center"/>
              <w:rPr/>
            </w:pPr>
            <w:bookmarkStart w:id="123" w:name="fig-S9"/>
            <w:r>
              <w:rPr/>
              <w:drawing>
                <wp:inline distT="0" distB="0" distL="0" distR="0">
                  <wp:extent cx="5486400" cy="5486400"/>
                  <wp:effectExtent l="0" t="0" r="0" b="0"/>
                  <wp:docPr id="14" name="Image14" descr="Simple linear regression of tiered moc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Simple linear regression of tiered mock community."/>
                          <pic:cNvPicPr>
                            <a:picLocks noChangeAspect="1" noChangeArrowheads="1"/>
                          </pic:cNvPicPr>
                        </pic:nvPicPr>
                        <pic:blipFill>
                          <a:blip r:embed="rId84"/>
                          <a:stretch>
                            <a:fillRect/>
                          </a:stretch>
                        </pic:blipFill>
                        <pic:spPr bwMode="auto">
                          <a:xfrm>
                            <a:off x="0" y="0"/>
                            <a:ext cx="5486400" cy="5486400"/>
                          </a:xfrm>
                          <a:prstGeom prst="rect">
                            <a:avLst/>
                          </a:prstGeom>
                          <a:noFill/>
                        </pic:spPr>
                      </pic:pic>
                    </a:graphicData>
                  </a:graphic>
                </wp:inline>
              </w:drawing>
            </w:r>
          </w:p>
          <w:p>
            <w:pPr>
              <w:pStyle w:val="ImageCaption"/>
              <w:spacing w:before="200" w:after="120"/>
              <w:jc w:val="left"/>
              <w:rPr/>
            </w:pPr>
            <w:bookmarkStart w:id="124" w:name="fig-S9"/>
            <w:r>
              <w:rPr/>
              <w:t>Figure 1</w:t>
            </w:r>
            <w:bookmarkStart w:id="125" w:name="figure-s9"/>
            <w:bookmarkEnd w:id="124"/>
            <w:bookmarkEnd w:id="125"/>
          </w:p>
        </w:tc>
      </w:tr>
    </w:tbl>
    <w:p>
      <w:pPr>
        <w:pStyle w:val="Heading2"/>
        <w:rPr/>
      </w:pPr>
      <w:r>
        <w:rPr/>
        <w:t>15.10 Supplementary Material - Methods</w:t>
      </w:r>
    </w:p>
    <w:p>
      <w:pPr>
        <w:pStyle w:val="Heading4"/>
        <w:rPr/>
      </w:pPr>
      <w:bookmarkStart w:id="126" w:name="seed-collection-and-sterilization"/>
      <w:r>
        <w:rPr/>
        <w:t>15.10.0.1 Seed collection and sterilization</w:t>
      </w:r>
    </w:p>
    <w:p>
      <w:pPr>
        <w:pStyle w:val="FirstParagraph"/>
        <w:rPr/>
      </w:pPr>
      <w:bookmarkStart w:id="127" w:name="seed-collection-and-sterilization"/>
      <w:r>
        <w:rPr/>
        <w:t>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bookmarkEnd w:id="127"/>
    </w:p>
    <w:p>
      <w:pPr>
        <w:pStyle w:val="Heading4"/>
        <w:rPr/>
      </w:pPr>
      <w:bookmarkStart w:id="128" w:name="Xb854481746d760d4ef3f2dd905b21c761b30e69"/>
      <w:r>
        <w:rPr/>
        <w:t>15.10.0.2 Germination Tray and 24-pot tray sterilization</w:t>
      </w:r>
    </w:p>
    <w:p>
      <w:pPr>
        <w:pStyle w:val="FirstParagraph"/>
        <w:rPr/>
      </w:pPr>
      <w:bookmarkStart w:id="129" w:name="Xb854481746d760d4ef3f2dd905b21c761b30e69"/>
      <w:r>
        <w:rPr/>
        <w:t>Plastic germination trays and 24-cell trays were sterilized in a 10% bleach bath for 20 minutes, sprayed with 70% ethanol, and paper towel dried right before adding soil/planting.</w:t>
      </w:r>
      <w:bookmarkEnd w:id="129"/>
    </w:p>
    <w:p>
      <w:pPr>
        <w:pStyle w:val="Heading4"/>
        <w:rPr/>
      </w:pPr>
      <w:bookmarkStart w:id="130" w:name="planting-in-germination-trays"/>
      <w:r>
        <w:rPr/>
        <w:t>15.10.0.3 Planting in germination trays</w:t>
      </w:r>
    </w:p>
    <w:p>
      <w:pPr>
        <w:pStyle w:val="FirstParagraph"/>
        <w:rPr/>
      </w:pPr>
      <w:bookmarkStart w:id="131" w:name="planting-in-germination-trays"/>
      <w:r>
        <w:rPr/>
        <w:t>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bookmarkEnd w:id="131"/>
    </w:p>
    <w:p>
      <w:pPr>
        <w:pStyle w:val="Heading4"/>
        <w:rPr/>
      </w:pPr>
      <w:bookmarkStart w:id="132" w:name="seedling-transfer-into-pots"/>
      <w:r>
        <w:rPr/>
        <w:t>15.10.0.4 Seedling transfer into pots</w:t>
      </w:r>
    </w:p>
    <w:p>
      <w:pPr>
        <w:pStyle w:val="FirstParagraph"/>
        <w:spacing w:lineRule="auto" w:line="480" w:before="180" w:after="180"/>
        <w:rPr/>
      </w:pPr>
      <w:bookmarkStart w:id="133" w:name="seedling-transfer-into-pots"/>
      <w:r>
        <w:rPr/>
        <w:t>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bookmarkEnd w:id="133"/>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n@tulane.edu" TargetMode="External"/><Relationship Id="rId3" Type="http://schemas.openxmlformats.org/officeDocument/2006/relationships/hyperlink" Target="https://github.com/jibarozzo/endophyte-leaf-traits.git" TargetMode="External"/><Relationship Id="rId4" Type="http://schemas.openxmlformats.org/officeDocument/2006/relationships/hyperlink" Target="https://doi.org/10.1071/FP09304" TargetMode="External"/><Relationship Id="rId5" Type="http://schemas.openxmlformats.org/officeDocument/2006/relationships/hyperlink" Target="https://doi.org/10.1002/9781118445112.stat07841" TargetMode="External"/><Relationship Id="rId6" Type="http://schemas.openxmlformats.org/officeDocument/2006/relationships/hyperlink" Target="https://doi.org/10.1017/S0266467407004038" TargetMode="External"/><Relationship Id="rId7" Type="http://schemas.openxmlformats.org/officeDocument/2006/relationships/hyperlink" Target="https://doi.org/10.1046/j.1461-0248.2000.00159.x" TargetMode="External"/><Relationship Id="rId8" Type="http://schemas.openxmlformats.org/officeDocument/2006/relationships/hyperlink" Target="https://doi.org/10.1073/pnas.2533483100" TargetMode="External"/><Relationship Id="rId9" Type="http://schemas.openxmlformats.org/officeDocument/2006/relationships/hyperlink" Target="https://CRAN.R-project.org/package=MuMIn" TargetMode="External"/><Relationship Id="rId10" Type="http://schemas.openxmlformats.org/officeDocument/2006/relationships/hyperlink" Target="https://doi.org/10.1111/j.2517-6161.1995.tb02031.x" TargetMode="External"/><Relationship Id="rId11" Type="http://schemas.openxmlformats.org/officeDocument/2006/relationships/hyperlink" Target="https://doi.org/10.1098/rsbl.2010.0456" TargetMode="External"/><Relationship Id="rId12" Type="http://schemas.openxmlformats.org/officeDocument/2006/relationships/hyperlink" Target="https://doi.org/10.1890/07-0986.1" TargetMode="External"/><Relationship Id="rId13" Type="http://schemas.openxmlformats.org/officeDocument/2006/relationships/hyperlink" Target="https://doi.org/10.1093/bioinformatics/btw808" TargetMode="External"/><Relationship Id="rId14" Type="http://schemas.openxmlformats.org/officeDocument/2006/relationships/hyperlink" Target="https://doi.org/10.1128/MRA.00328-19" TargetMode="External"/><Relationship Id="rId15" Type="http://schemas.openxmlformats.org/officeDocument/2006/relationships/hyperlink" Target="https://doi.org/10.1039/C7CS00343A" TargetMode="External"/><Relationship Id="rId16" Type="http://schemas.openxmlformats.org/officeDocument/2006/relationships/hyperlink" Target="https://doi.org/10.1201/9781315119496-6" TargetMode="External"/><Relationship Id="rId17" Type="http://schemas.openxmlformats.org/officeDocument/2006/relationships/hyperlink" Target="https://doi.org/10.1890/ES13-00012.1" TargetMode="External"/><Relationship Id="rId18" Type="http://schemas.openxmlformats.org/officeDocument/2006/relationships/hyperlink" Target="https://doi.org/10.3114/sim.55.1.213" TargetMode="External"/><Relationship Id="rId19" Type="http://schemas.openxmlformats.org/officeDocument/2006/relationships/hyperlink" Target="https://doi.org/10.1007/978-81-322-1575-2" TargetMode="External"/><Relationship Id="rId20" Type="http://schemas.openxmlformats.org/officeDocument/2006/relationships/hyperlink" Target="https://doi.org/10.1098/rstb.2017.0395" TargetMode="External"/><Relationship Id="rId21" Type="http://schemas.openxmlformats.org/officeDocument/2006/relationships/hyperlink" Target="https://doi.org/10.1890/08-1823.1" TargetMode="External"/><Relationship Id="rId22" Type="http://schemas.openxmlformats.org/officeDocument/2006/relationships/hyperlink" Target="https://doi.org/10.1111/nph.12140" TargetMode="External"/><Relationship Id="rId23" Type="http://schemas.openxmlformats.org/officeDocument/2006/relationships/hyperlink" Target="https://doi.org/10.1111/j.1469-8137.2005.01333.x"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3114/sim.2010.66.01" TargetMode="External"/><Relationship Id="rId40" Type="http://schemas.openxmlformats.org/officeDocument/2006/relationships/hyperlink" Target="https://doi.org/10.1007/s00442-014-3177-2" TargetMode="External"/><Relationship Id="rId41" Type="http://schemas.openxmlformats.org/officeDocument/2006/relationships/hyperlink" Target="https://doi.org/10.1890/0012-9658(2001)082%5B0290:FMMTCD%5D2.0.CO;2" TargetMode="External"/><Relationship Id="rId42" Type="http://schemas.openxmlformats.org/officeDocument/2006/relationships/hyperlink" Target="https://doi.org/10.1016/j.tree.2006.02.002" TargetMode="External"/><Relationship Id="rId43" Type="http://schemas.openxmlformats.org/officeDocument/2006/relationships/hyperlink" Target="https://doi.org/10.1371/journal.pone.0061217" TargetMode="External"/><Relationship Id="rId44" Type="http://schemas.openxmlformats.org/officeDocument/2006/relationships/hyperlink" Target="https://doi.org/10.3389/fmicb.2014.00479" TargetMode="External"/><Relationship Id="rId45" Type="http://schemas.openxmlformats.org/officeDocument/2006/relationships/hyperlink" Target="https://doi.org/10.1016/j.biocontrol.2008.01.012" TargetMode="External"/><Relationship Id="rId46" Type="http://schemas.openxmlformats.org/officeDocument/2006/relationships/hyperlink" Target="https://doi.org/10.3389/fpls.2023.1169558" TargetMode="External"/><Relationship Id="rId47" Type="http://schemas.openxmlformats.org/officeDocument/2006/relationships/hyperlink" Target="https://doi.org/10.1038/s42003-021-01826-7" TargetMode="External"/><Relationship Id="rId48" Type="http://schemas.openxmlformats.org/officeDocument/2006/relationships/hyperlink" Target="https://github.com/vegandevs/vegan" TargetMode="External"/><Relationship Id="rId49" Type="http://schemas.openxmlformats.org/officeDocument/2006/relationships/hyperlink" Target="https://doi.org/10.1007/b98882" TargetMode="External"/><Relationship Id="rId50" Type="http://schemas.openxmlformats.org/officeDocument/2006/relationships/hyperlink" Target="https://CRAN.R-project.org/package=nlme" TargetMode="External"/><Relationship Id="rId51" Type="http://schemas.openxmlformats.org/officeDocument/2006/relationships/hyperlink" Target="https://doi.org/10.1890/0012-9658(2006)87%5B1733:LTAGPO%5D2.0.CO;2" TargetMode="External"/><Relationship Id="rId52" Type="http://schemas.openxmlformats.org/officeDocument/2006/relationships/hyperlink" Target="https://doi.org/10.1146/annurev-phyto-080508-081831" TargetMode="External"/><Relationship Id="rId53" Type="http://schemas.openxmlformats.org/officeDocument/2006/relationships/hyperlink" Target="https://www.R-project.org/" TargetMode="External"/><Relationship Id="rId54" Type="http://schemas.openxmlformats.org/officeDocument/2006/relationships/hyperlink" Target="https://doi.org/10.1098/rsos.160628" TargetMode="External"/><Relationship Id="rId55" Type="http://schemas.openxmlformats.org/officeDocument/2006/relationships/hyperlink" Target="https://doi.org/10.1111/j.1469-8137.2009.02773.x" TargetMode="External"/><Relationship Id="rId56" Type="http://schemas.openxmlformats.org/officeDocument/2006/relationships/hyperlink" Target="https://doi.org/10.7717/peerj.2584" TargetMode="External"/><Relationship Id="rId57" Type="http://schemas.openxmlformats.org/officeDocument/2006/relationships/hyperlink" Target="https://doi.org/10.3897/mycokeys.91.84896" TargetMode="External"/><Relationship Id="rId58" Type="http://schemas.openxmlformats.org/officeDocument/2006/relationships/hyperlink" Target="https://doi.org/10.1073/pnas.1706324114" TargetMode="External"/><Relationship Id="rId59" Type="http://schemas.openxmlformats.org/officeDocument/2006/relationships/hyperlink" Target="https://doi.org/10.1111/j.1752-4571.2010.00141.x" TargetMode="External"/><Relationship Id="rId60" Type="http://schemas.openxmlformats.org/officeDocument/2006/relationships/hyperlink" Target="https://doi.org/10.1038/nmeth.2089" TargetMode="External"/><Relationship Id="rId61" Type="http://schemas.openxmlformats.org/officeDocument/2006/relationships/hyperlink" Target="https://doi.org/10.1086/367580" TargetMode="External"/><Relationship Id="rId62" Type="http://schemas.openxmlformats.org/officeDocument/2006/relationships/hyperlink" Target="https://doi.org/lutzoni" TargetMode="External"/><Relationship Id="rId63" Type="http://schemas.openxmlformats.org/officeDocument/2006/relationships/hyperlink" Target="https://doi.org/10.1111/btp.12303" TargetMode="External"/><Relationship Id="rId64" Type="http://schemas.openxmlformats.org/officeDocument/2006/relationships/hyperlink" Target="https://doi.org/10.1007/978-3-319-24274-3_5" TargetMode="External"/><Relationship Id="rId65" Type="http://schemas.openxmlformats.org/officeDocument/2006/relationships/hyperlink" Target="https://doi.org/dx.doi.org/10.17504/protocols.io.fscbnaw" TargetMode="External"/><Relationship Id="rId66" Type="http://schemas.openxmlformats.org/officeDocument/2006/relationships/hyperlink" Target="https://doi.org/10.1038/s41559-019-0975-2" TargetMode="External"/><Relationship Id="rId67" Type="http://schemas.openxmlformats.org/officeDocument/2006/relationships/hyperlink" Target="https://doi.org/10.1201/9781315119496-7" TargetMode="External"/><Relationship Id="rId68" Type="http://schemas.openxmlformats.org/officeDocument/2006/relationships/hyperlink" Target="https://doi.org/10.1186/s40168-017-0237-y" TargetMode="External"/><Relationship Id="rId69" Type="http://schemas.openxmlformats.org/officeDocument/2006/relationships/hyperlink" Target="https://doi.org/10.1111/j.1469-8137.2005.01349.x" TargetMode="External"/><Relationship Id="rId70" Type="http://schemas.openxmlformats.org/officeDocument/2006/relationships/hyperlink" Target="https://doi.org/10.1038/nature02403" TargetMode="External"/><Relationship Id="rId71" Type="http://schemas.openxmlformats.org/officeDocument/2006/relationships/image" Target="media/image1.png"/><Relationship Id="rId72" Type="http://schemas.openxmlformats.org/officeDocument/2006/relationships/image" Target="media/image2.png"/><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image" Target="media/image5.png"/><Relationship Id="rId76" Type="http://schemas.openxmlformats.org/officeDocument/2006/relationships/image" Target="media/image6.png"/><Relationship Id="rId77" Type="http://schemas.openxmlformats.org/officeDocument/2006/relationships/image" Target="media/image7.png"/><Relationship Id="rId78" Type="http://schemas.openxmlformats.org/officeDocument/2006/relationships/image" Target="media/image8.png"/><Relationship Id="rId79" Type="http://schemas.openxmlformats.org/officeDocument/2006/relationships/image" Target="media/image9.png"/><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image" Target="media/image12.png"/><Relationship Id="rId83" Type="http://schemas.openxmlformats.org/officeDocument/2006/relationships/image" Target="media/image13.png"/><Relationship Id="rId84" Type="http://schemas.openxmlformats.org/officeDocument/2006/relationships/image" Target="media/image14.png"/><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LibreOffice/24.8.0.3$Linux_X86_64 LibreOffice_project/480$Build-3</Application>
  <AppVersion>15.0000</AppVersion>
  <Pages>57</Pages>
  <Words>12950</Words>
  <Characters>72493</Characters>
  <CharactersWithSpaces>85187</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2024-09-03T16:53:58Z</dcterms:created>
  <dc:creator>Bolívar Aponte Rolón1,✉, A. Elizabeth Arnold2, Mareli Sánchez Juliá1, and Sunshine A. Van Bael1,1</dc:creator>
  <dc:description/>
  <dc:language>en-US</dc:language>
  <cp:lastModifiedBy>Bolívar Aponte Rolón</cp:lastModifiedBy>
  <dcterms:modified xsi:type="dcterms:W3CDTF">2024-09-03T11:55:40Z</dcterms:modified>
  <cp:revision>1</cp:revision>
  <dc:subject/>
  <dc:title>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2024-09-03</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