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0" w:author="Bolívar Aponte Rolón" w:date="2024-08-19T15:47:42Z">
        <w:r>
          <w:rPr>
            <w:i/>
            <w:iCs/>
          </w:rPr>
          <w:delText>E-</w:delText>
        </w:r>
      </w:del>
      <w:ins w:id="1" w:author="Bolívar Aponte Rolón" w:date="2024-08-19T15:47:42Z">
        <w:r>
          <w:rPr>
            <w:rFonts w:eastAsia="Cambria" w:cs="" w:cstheme="minorBidi" w:eastAsiaTheme="minorHAnsi"/>
            <w:i/>
            <w:iCs/>
            <w:color w:val="auto"/>
            <w:kern w:val="0"/>
            <w:sz w:val="24"/>
            <w:szCs w:val="24"/>
            <w:lang w:val="en-US" w:eastAsia="en-US" w:bidi="ar-SA"/>
          </w:rPr>
          <w:t>E-low</w:t>
        </w:r>
      </w:ins>
      <w:r>
        <w:rPr/>
        <w:t>) and high FEF load (</w:t>
      </w:r>
      <w:del w:id="2" w:author="Bolívar Aponte Rolón" w:date="2024-08-19T15:48:14Z">
        <w:r>
          <w:rPr>
            <w:i/>
            <w:iCs/>
          </w:rPr>
          <w:delText>E+</w:delText>
        </w:r>
      </w:del>
      <w:ins w:id="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4" w:author="Bolívar Aponte Rolón" w:date="2024-08-19T15:47:42Z">
        <w:r>
          <w:rPr>
            <w:i/>
            <w:iCs/>
          </w:rPr>
          <w:delText>E-</w:delText>
        </w:r>
      </w:del>
      <w:ins w:id="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compared to the </w:t>
      </w:r>
      <w:del w:id="6" w:author="Bolívar Aponte Rolón" w:date="2024-08-19T15:48:14Z">
        <w:r>
          <w:rPr>
            <w:i/>
            <w:iCs/>
          </w:rPr>
          <w:delText>E+</w:delText>
        </w:r>
      </w:del>
      <w:ins w:id="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but no difference in pathogen damage. However, within </w:t>
      </w:r>
      <w:del w:id="8" w:author="Bolívar Aponte Rolón" w:date="2024-08-19T15:47:42Z">
        <w:r>
          <w:rPr>
            <w:i/>
            <w:iCs/>
          </w:rPr>
          <w:delText>E-</w:delText>
        </w:r>
      </w:del>
      <w:ins w:id="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0" w:author="Bolívar Aponte Rolón" w:date="2024-08-19T15:48:14Z">
        <w:r>
          <w:rPr>
            <w:i/>
            <w:iCs/>
          </w:rPr>
          <w:delText>E+</w:delText>
        </w:r>
      </w:del>
      <w:ins w:id="1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2" w:author="Bolívar Aponte Rolón" w:date="2024-08-19T15:53:47Z">
        <w:r>
          <w:rPr/>
          <w:delText xml:space="preserve">Leaf functional traits such as shape, leaf thickness, leaf strength, leaf mass per area (LMA), and </w:delText>
        </w:r>
      </w:del>
      <w:del w:id="13" w:author="Bolívar Aponte Rolón" w:date="2024-08-19T15:53:47Z">
        <w:r>
          <w:rPr>
            <w:rFonts w:eastAsia="Cambria" w:cs="" w:cstheme="minorBidi" w:eastAsiaTheme="minorHAnsi"/>
            <w:shd w:fill="FFFF00" w:val="clear"/>
          </w:rPr>
          <w:delText xml:space="preserve">anthocyanins can confer plants with strategies to ward off  foliar herbivores and pathogens, which represent key selective evolutionary pressures </w:delText>
        </w:r>
      </w:del>
      <w:ins w:id="14" w:author="Bolívar Aponte Rolón" w:date="2024-08-19T15:53:47Z">
        <w:r>
          <w:rPr>
            <w:rFonts w:eastAsia="Cambria" w:cs="" w:cstheme="minorBidi" w:eastAsiaTheme="minorHAnsi"/>
            <w:shd w:fill="auto" w:val="clea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rFonts w:eastAsia="Cambria" w:cs="" w:cstheme="minorBidi" w:eastAsiaTheme="minorHAnsi"/>
          <w:color w:val="000000"/>
          <w:shd w:fill="auto" w:val="clear"/>
          <w:lang w:val="en-US" w:eastAsia="en-US" w:bidi="ar-SA"/>
          <w:rPrChange w:id="0" w:author="Bolívar Aponte Rolón" w:date="2024-08-19T15:53:57Z">
            <w:rPr>
              <w:sz w:val="24"/>
              <w:kern w:val="0"/>
              <w:shd w:fill="auto" w:val="clear"/>
              <w:szCs w:val="24"/>
            </w:rPr>
          </w:rPrChange>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del w:id="16" w:author="Bolívar Aponte Rolón" w:date="2024-08-19T15:48:14Z">
        <w:r>
          <w:rPr>
            <w:i/>
            <w:iCs/>
          </w:rPr>
          <w:delText>E+</w:delText>
        </w:r>
      </w:del>
      <w:ins w:id="1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and non-inoculated (low FEF load, </w:t>
      </w:r>
      <w:del w:id="18" w:author="Bolívar Aponte Rolón" w:date="2024-08-19T15:47:42Z">
        <w:r>
          <w:rPr>
            <w:i/>
            <w:iCs/>
          </w:rPr>
          <w:delText>E-</w:delText>
        </w:r>
      </w:del>
      <w:ins w:id="1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0" w:author="Bolívar Aponte Rolón" w:date="2024-08-19T15:48:14Z">
        <w:r>
          <w:rPr>
            <w:i/>
            <w:iCs/>
          </w:rPr>
          <w:delText>E+</w:delText>
        </w:r>
      </w:del>
      <w:ins w:id="21" w:author="Bolívar Aponte Rolón" w:date="2024-08-19T15:48:14Z">
        <w:r>
          <w:rPr>
            <w:rFonts w:eastAsia="Cambria" w:cs="" w:cstheme="minorBidi" w:eastAsiaTheme="minorHAnsi"/>
            <w:i/>
            <w:iCs/>
            <w:color w:val="auto"/>
            <w:kern w:val="0"/>
            <w:sz w:val="24"/>
            <w:szCs w:val="24"/>
            <w:lang w:val="en-US" w:eastAsia="en-US" w:bidi="ar-SA"/>
          </w:rPr>
          <w:t>E-high</w:t>
        </w:r>
      </w:ins>
      <w:r>
        <w:rPr/>
        <w:t>) compared to their low FEF counterparts (</w:t>
      </w:r>
      <w:del w:id="22" w:author="Bolívar Aponte Rolón" w:date="2024-08-19T15:47:42Z">
        <w:r>
          <w:rPr>
            <w:i/>
            <w:iCs/>
          </w:rPr>
          <w:delText>E-</w:delText>
        </w:r>
      </w:del>
      <w:ins w:id="23" w:author="Bolívar Aponte Rolón" w:date="2024-08-19T15:47:42Z">
        <w:r>
          <w:rPr>
            <w:rFonts w:eastAsia="Cambria" w:cs="" w:cstheme="minorBidi" w:eastAsiaTheme="minorHAnsi"/>
            <w:i/>
            <w:iCs/>
            <w:color w:val="auto"/>
            <w:kern w:val="0"/>
            <w:sz w:val="24"/>
            <w:szCs w:val="24"/>
            <w:lang w:val="en-US" w:eastAsia="en-US" w:bidi="ar-SA"/>
          </w:rPr>
          <w:t>E-low</w:t>
        </w:r>
      </w:ins>
      <w:r>
        <w:rPr/>
        <w:t>); 3) Conversely, tree species with leaf functional traits of the high side of the economic spectrum (e.g., greater leaf mass per area) treated with high FEF loads (</w:t>
      </w:r>
      <w:del w:id="24" w:author="Bolívar Aponte Rolón" w:date="2024-08-19T15:48:14Z">
        <w:r>
          <w:rPr>
            <w:i/>
            <w:iCs/>
          </w:rPr>
          <w:delText>E+</w:delText>
        </w:r>
      </w:del>
      <w:ins w:id="25" w:author="Bolívar Aponte Rolón" w:date="2024-08-19T15:48:14Z">
        <w:r>
          <w:rPr>
            <w:rFonts w:eastAsia="Cambria" w:cs="" w:cstheme="minorBidi" w:eastAsiaTheme="minorHAnsi"/>
            <w:i/>
            <w:iCs/>
            <w:color w:val="auto"/>
            <w:kern w:val="0"/>
            <w:sz w:val="24"/>
            <w:szCs w:val="24"/>
            <w:lang w:val="en-US" w:eastAsia="en-US" w:bidi="ar-SA"/>
          </w:rPr>
          <w:t>E-high</w:t>
        </w:r>
      </w:ins>
      <w:r>
        <w:rPr/>
        <w:t>) would have no differences in herbivory and pathogen damage compared to their low FEF counterparts (</w:t>
      </w:r>
      <w:del w:id="26" w:author="Bolívar Aponte Rolón" w:date="2024-08-19T15:47:42Z">
        <w:r>
          <w:rPr>
            <w:i/>
            <w:iCs/>
          </w:rPr>
          <w:delText>E-</w:delText>
        </w:r>
      </w:del>
      <w:ins w:id="27" w:author="Bolívar Aponte Rolón" w:date="2024-08-19T15:47:42Z">
        <w:r>
          <w:rPr>
            <w:rFonts w:eastAsia="Cambria" w:cs="" w:cstheme="minorBidi" w:eastAsiaTheme="minorHAnsi"/>
            <w:i/>
            <w:iCs/>
            <w:color w:val="auto"/>
            <w:kern w:val="0"/>
            <w:sz w:val="24"/>
            <w:szCs w:val="24"/>
            <w:lang w:val="en-US" w:eastAsia="en-US" w:bidi="ar-SA"/>
          </w:rPr>
          <w:t>E-low</w:t>
        </w:r>
      </w:ins>
      <w:r>
        <w:rPr/>
        <w:t>). Lastly, 4) we anticipated that leaves with leaf functional traits on the high end of the economic spectrum would be experience less herbivory by leaf-cutter ants, but low FEF loads (</w:t>
      </w:r>
      <w:del w:id="28" w:author="Bolívar Aponte Rolón" w:date="2024-08-19T15:47:42Z">
        <w:r>
          <w:rPr>
            <w:i/>
            <w:iCs/>
          </w:rPr>
          <w:delText>E-</w:delText>
        </w:r>
      </w:del>
      <w:ins w:id="29" w:author="Bolívar Aponte Rolón" w:date="2024-08-19T15:47:42Z">
        <w:r>
          <w:rPr>
            <w:rFonts w:eastAsia="Cambria" w:cs="" w:cstheme="minorBidi" w:eastAsiaTheme="minorHAnsi"/>
            <w:i/>
            <w:iCs/>
            <w:color w:val="auto"/>
            <w:kern w:val="0"/>
            <w:sz w:val="24"/>
            <w:szCs w:val="24"/>
            <w:lang w:val="en-US" w:eastAsia="en-US" w:bidi="ar-SA"/>
          </w:rPr>
          <w:t>E-low</w:t>
        </w:r>
      </w:ins>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xml:space="preserve">).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w:t>
      </w:r>
      <w:del w:id="30" w:author="Bolívar Aponte Rolón" w:date="2024-08-29T14:17:29Z">
        <w:r>
          <w:rPr/>
          <w:delText>Supplementary Materials</w:delText>
        </w:r>
      </w:del>
      <w:ins w:id="31" w:author="Bolívar Aponte Rolón" w:date="2024-08-29T14:17:29Z">
        <w:r>
          <w:rPr/>
          <w:t>Appendix S1</w:t>
        </w:r>
      </w:ins>
      <w:r>
        <w:rPr/>
        <w:t xml:space="preserve">).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32" w:author="Bolívar Aponte Rolón" w:date="2024-08-19T15:50:10Z">
        <w:r>
          <w:rPr/>
          <w:t>i</w:t>
        </w:r>
      </w:ins>
      <w:r>
        <w:rPr/>
        <w:t>n plants that were not actively inoculated through our manipulations</w:t>
      </w:r>
      <w:ins w:id="33" w:author="Bolívar Aponte Rolón" w:date="2024-08-19T15:50:16Z">
        <w:r>
          <w:rPr/>
          <w:t xml:space="preserve"> </w:t>
        </w:r>
      </w:ins>
      <w:del w:id="34" w:author="Bolívar Aponte Rolón" w:date="2024-08-19T15:50:15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35" w:author="Bolívar Aponte Rolón" w:date="2024-08-29T14:17:10Z">
        <w:r>
          <w:rPr/>
          <w:delText>Supplementary Materials</w:delText>
        </w:r>
      </w:del>
      <w:ins w:id="36" w:author="Bolívar Aponte Rolón" w:date="2024-08-29T14:17:10Z">
        <w:r>
          <w:rPr>
            <w:rFonts w:eastAsia="Cambria" w:cs="" w:cstheme="minorBidi" w:eastAsiaTheme="minorHAnsi"/>
            <w:color w:val="auto"/>
            <w:kern w:val="0"/>
            <w:sz w:val="24"/>
            <w:szCs w:val="24"/>
            <w:lang w:val="en-US" w:eastAsia="en-US" w:bidi="ar-SA"/>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37" w:author="Bolívar Aponte Rolón" w:date="2024-08-19T15:48:14Z">
        <w:r>
          <w:rPr>
            <w:i/>
            <w:iCs/>
          </w:rPr>
          <w:delText>E+</w:delText>
        </w:r>
      </w:del>
      <w:ins w:id="38" w:author="Bolívar Aponte Rolón" w:date="2024-08-19T15:48:14Z">
        <w:r>
          <w:rPr>
            <w:rFonts w:eastAsia="Cambria" w:cs="" w:cstheme="minorBidi" w:eastAsiaTheme="minorHAnsi"/>
            <w:i/>
            <w:iCs/>
            <w:color w:val="auto"/>
            <w:kern w:val="0"/>
            <w:sz w:val="24"/>
            <w:szCs w:val="24"/>
            <w:lang w:val="en-US" w:eastAsia="en-US" w:bidi="ar-SA"/>
          </w:rPr>
          <w:t>E-high</w:t>
        </w:r>
      </w:ins>
      <w:r>
        <w:rPr/>
        <w:t>) and 10 plants were kept inside the greenhouse enclosure to maintain a low FEF load (</w:t>
      </w:r>
      <w:del w:id="39" w:author="Bolívar Aponte Rolón" w:date="2024-08-19T15:47:42Z">
        <w:r>
          <w:rPr>
            <w:i/>
            <w:iCs/>
          </w:rPr>
          <w:delText>E-</w:delText>
        </w:r>
      </w:del>
      <w:ins w:id="4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Plants exposed to spore fall were placed on a table near (~10 m) the forest edge at dusk (~18:00 hours) and returned to the greenhouse at dawn (~07:00 hours) (Bittleston et al., 2011). We sprayed the </w:t>
      </w:r>
      <w:del w:id="41" w:author="Bolívar Aponte Rolón" w:date="2024-08-19T15:48:14Z">
        <w:r>
          <w:rPr>
            <w:i/>
            <w:iCs/>
          </w:rPr>
          <w:delText>E+</w:delText>
        </w:r>
      </w:del>
      <w:ins w:id="4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with water to simulate rain and to promote endophyte spore germination and infection of leaves. Low FEF plants (</w:t>
      </w:r>
      <w:del w:id="43" w:author="Bolívar Aponte Rolón" w:date="2024-08-19T15:47:42Z">
        <w:r>
          <w:rPr>
            <w:i/>
            <w:iCs/>
          </w:rPr>
          <w:delText>E-</w:delText>
        </w:r>
      </w:del>
      <w:ins w:id="4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were watered only at the soil level and shuffled and moved inside the greenhouse to simulate similar treatment as </w:t>
      </w:r>
      <w:del w:id="45" w:author="Bolívar Aponte Rolón" w:date="2024-08-19T15:48:14Z">
        <w:r>
          <w:rPr>
            <w:i/>
            <w:iCs/>
          </w:rPr>
          <w:delText>E+</w:delText>
        </w:r>
      </w:del>
      <w:ins w:id="4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but without spore fall exposure.</w:t>
      </w:r>
      <w:bookmarkEnd w:id="5"/>
    </w:p>
    <w:p>
      <w:pPr>
        <w:pStyle w:val="Heading3"/>
        <w:rPr>
          <w:ins w:id="53" w:author="Bolívar Aponte Rolón" w:date="2024-08-19T16:16:44Z"/>
        </w:rPr>
      </w:pPr>
      <w:del w:id="47" w:author="Bolívar Aponte Rolón" w:date="2024-08-19T16:16:44Z">
        <w:r>
          <w:rPr/>
          <w:delText>4.0.3 Leaf trait measurements</w:delText>
        </w:r>
      </w:del>
      <w:ins w:id="48" w:author="Bolívar Aponte Rolón" w:date="2024-08-19T16:16:44Z">
        <w:bookmarkStart w:id="6" w:name="leaf-trait-measurements"/>
        <w:r>
          <w:rPr/>
          <w:t xml:space="preserve">4.0.3 Determining differences in LFTs between </w:t>
        </w:r>
      </w:ins>
      <w:ins w:id="49" w:author="Bolívar Aponte Rolón" w:date="2024-08-19T16:16:44Z">
        <w:r>
          <w:rPr>
            <w:i/>
            <w:iCs/>
          </w:rPr>
          <w:t>E-high</w:t>
        </w:r>
      </w:ins>
      <w:ins w:id="50" w:author="Bolívar Aponte Rolón" w:date="2024-08-19T16:16:44Z">
        <w:r>
          <w:rPr/>
          <w:t xml:space="preserve"> and </w:t>
        </w:r>
      </w:ins>
      <w:ins w:id="51" w:author="Bolívar Aponte Rolón" w:date="2024-08-19T16:16:44Z">
        <w:r>
          <w:rPr>
            <w:i/>
            <w:iCs/>
          </w:rPr>
          <w:t>E-low</w:t>
        </w:r>
      </w:ins>
      <w:ins w:id="52" w:author="Bolívar Aponte Rolón" w:date="2024-08-19T16:16:44Z">
        <w:r>
          <w:rPr/>
          <w:t xml:space="preserve"> treatments</w:t>
        </w:r>
      </w:ins>
    </w:p>
    <w:p>
      <w:pPr>
        <w:pStyle w:val="BodyText"/>
        <w:rPr/>
      </w:pPr>
      <w:ins w:id="54" w:author="Bolívar Aponte Rolón" w:date="2024-08-19T16:16:44Z">
        <w:r>
          <w:rPr/>
          <w:t>4.0.3.1 Leaf trait measurements</w:t>
        </w:r>
      </w:ins>
    </w:p>
    <w:p>
      <w:pPr>
        <w:pStyle w:val="FirstParagraph"/>
        <w:rPr/>
      </w:pPr>
      <w:r>
        <w:rPr/>
        <w:t>Three mature leaves were haphazardly collected 7 - 10 days after fungal inoculation from individuals in each treatment (</w:t>
      </w:r>
      <w:del w:id="55" w:author="Bolívar Aponte Rolón" w:date="2024-08-19T15:48:14Z">
        <w:r>
          <w:rPr>
            <w:i/>
            <w:iCs/>
          </w:rPr>
          <w:delText>E+</w:delText>
        </w:r>
      </w:del>
      <w:ins w:id="5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t>
      </w:r>
      <w:del w:id="57" w:author="Bolívar Aponte Rolón" w:date="2024-08-19T15:47:42Z">
        <w:r>
          <w:rPr>
            <w:i/>
            <w:iCs/>
          </w:rPr>
          <w:delText>E-</w:delText>
        </w:r>
      </w:del>
      <w:ins w:id="5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59" w:author="Bolívar Aponte Rolón" w:date="2024-08-19T15:54:51Z">
        <w:r>
          <w:rPr/>
          <w:delText xml:space="preserve">To account for leaf thickness, the ACM-200 calculates an anthocyanin content index (ACI) value from the ratio of % transmittance at 931 nm/% transmittance at 525 nm </w:delText>
        </w:r>
      </w:del>
      <w:ins w:id="60" w:author="Bolívar Aponte Rolón" w:date="2024-08-19T15:54:51Z">
        <w:r>
          <w:rPr/>
          <w:t>The ACM-200 takes into account leaf thickness when calculating an anthocyanin content index (ACI) value by computing the ratio of % transmittance at 931 nm/% transmittance at 525 nm</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63" w:author="Bolívar Aponte Rolón" w:date="2024-08-19T16:16:58Z"/>
        </w:rPr>
      </w:pPr>
      <w:del w:id="61" w:author="Bolívar Aponte Rolón" w:date="2024-08-19T16:16:58Z">
        <w:r>
          <w:rPr/>
          <w:delText>4.0.4 Leaf tissue preparation for molecular work</w:delText>
        </w:r>
      </w:del>
      <w:ins w:id="62" w:author="Bolívar Aponte Rolón" w:date="2024-08-19T16:16:58Z">
        <w:bookmarkStart w:id="7" w:name="X3c7a37fa2f4886460c6eb6a1de1f042d286b507"/>
        <w:r>
          <w:rPr/>
          <w:t>4.0.4 Determining FEF abundance, richness, diversity and community composition</w:t>
        </w:r>
      </w:ins>
    </w:p>
    <w:p>
      <w:pPr>
        <w:pStyle w:val="BodyText"/>
        <w:rPr/>
      </w:pPr>
      <w:ins w:id="64" w:author="Bolívar Aponte Rolón" w:date="2024-08-19T16:16:58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65" w:author="Bolívar Aponte Rolón" w:date="2024-08-19T15:47:42Z">
        <w:r>
          <w:rPr>
            <w:i/>
            <w:iCs/>
          </w:rPr>
          <w:delText>E-</w:delText>
        </w:r>
      </w:del>
      <w:ins w:id="6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67" w:author="Bolívar Aponte Rolón" w:date="2024-08-19T15:48:14Z">
        <w:r>
          <w:rPr>
            <w:i/>
            <w:iCs/>
          </w:rPr>
          <w:delText>E+</w:delText>
        </w:r>
      </w:del>
      <w:ins w:id="6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69" w:author="Bolívar Aponte Rolón" w:date="2024-08-19T16:18:18Z">
        <w:r>
          <w:rPr/>
          <w:t>0.4.2</w:t>
        </w:r>
      </w:ins>
      <w:del w:id="70" w:author="Bolívar Aponte Rolón" w:date="2024-08-19T16:18:08Z">
        <w:r>
          <w:rPr/>
          <w:delText>1</w:delText>
        </w:r>
      </w:del>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71" w:author="Bolívar Aponte Rolón" w:date="2024-08-19T16:18:42Z">
        <w:r>
          <w:rPr/>
          <w:t>0.4.3</w:t>
        </w:r>
      </w:ins>
      <w:del w:id="72" w:author="Bolívar Aponte Rolón" w:date="2024-08-19T16:18:51Z">
        <w:r>
          <w:rPr/>
          <w:delText>1.1</w:delText>
        </w:r>
      </w:del>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73" w:author="Bolívar Aponte Rolón" w:date="2024-08-19T16:19:02Z">
        <w:r>
          <w:rPr/>
          <w:t>0.4.4</w:t>
        </w:r>
      </w:ins>
      <w:del w:id="74" w:author="Bolívar Aponte Rolón" w:date="2024-08-19T16:19:00Z">
        <w:r>
          <w:rPr/>
          <w:delText xml:space="preserve">1.2 </w:delText>
        </w:r>
      </w:del>
      <w:r>
        <w:rPr/>
        <w:t>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75" w:author="Bolívar Aponte Rolón" w:date="2024-08-19T15:47:42Z">
        <w:r>
          <w:rPr>
            <w:i/>
            <w:iCs/>
          </w:rPr>
          <w:delText>E-</w:delText>
        </w:r>
      </w:del>
      <w:ins w:id="76" w:author="Bolívar Aponte Rolón" w:date="2024-08-19T15:47:42Z">
        <w:r>
          <w:rPr>
            <w:rFonts w:eastAsia="Cambria" w:cs="" w:cstheme="minorBidi" w:eastAsiaTheme="minorHAnsi"/>
            <w:i/>
            <w:iCs/>
            <w:color w:val="auto"/>
            <w:kern w:val="0"/>
            <w:sz w:val="24"/>
            <w:szCs w:val="24"/>
            <w:lang w:val="en-US" w:eastAsia="en-US" w:bidi="ar-SA"/>
          </w:rPr>
          <w:t>E-low</w:t>
        </w:r>
      </w:ins>
      <w:r>
        <w:rPr/>
        <w:t>) plants (</w:t>
      </w:r>
      <w:r>
        <w:rPr>
          <w:i/>
          <w:iCs/>
        </w:rPr>
        <w:t>n</w:t>
      </w:r>
      <w:r>
        <w:rPr/>
        <w:t>=78) and deemed them as artifacts resulting from greenhouse conditions. They were eliminated from treatment (</w:t>
      </w:r>
      <w:del w:id="77" w:author="Bolívar Aponte Rolón" w:date="2024-08-19T15:48:14Z">
        <w:r>
          <w:rPr>
            <w:i/>
            <w:iCs/>
          </w:rPr>
          <w:delText>E+</w:delText>
        </w:r>
      </w:del>
      <w:ins w:id="7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w:t>
      </w:r>
      <w:ins w:id="79" w:author="Bolívar Aponte Rolón" w:date="2024-08-19T16:11:02Z">
        <w:r>
          <w:rPr/>
          <w:t xml:space="preserve">(v.1.48.0, </w:t>
        </w:r>
      </w:ins>
      <w:del w:id="80" w:author="Bolívar Aponte Rolón" w:date="2024-08-19T16:11:01Z">
        <w:r>
          <w:rPr/>
          <w:delText>(</w:delText>
        </w:r>
      </w:del>
      <w:r>
        <w:rPr/>
        <w:t>McMurdie &amp; Holmes, 2013) and custom scripts (see Supplementary Material).</w:t>
      </w:r>
      <w:bookmarkEnd w:id="10"/>
    </w:p>
    <w:p>
      <w:pPr>
        <w:pStyle w:val="Heading3"/>
        <w:rPr>
          <w:ins w:id="89" w:author="Bolívar Aponte Rolón" w:date="2024-08-19T16:19:49Z"/>
        </w:rPr>
      </w:pPr>
      <w:del w:id="81" w:author="Bolívar Aponte Rolón" w:date="2024-08-19T16:19:49Z">
        <w:r>
          <w:rPr/>
          <w:delText>4.1.3 Herbivore assays</w:delText>
        </w:r>
      </w:del>
      <w:ins w:id="82" w:author="Bolívar Aponte Rolón" w:date="2024-08-19T16:19:49Z">
        <w:bookmarkStart w:id="11" w:name="herbivore-assays"/>
        <w:r>
          <w:rPr/>
          <w:t>4.0.5.</w:t>
        </w:r>
      </w:ins>
      <w:ins w:id="83" w:author="Bolívar Aponte Rolón" w:date="2024-08-19T16:19:49Z">
        <w:r>
          <w:rPr/>
          <w:t>1</w:t>
        </w:r>
      </w:ins>
      <w:ins w:id="84" w:author="Bolívar Aponte Rolón" w:date="2024-08-19T16:19:49Z">
        <w:r>
          <w:rPr/>
          <w:t xml:space="preserve"> Determining herbivore and pathogen damage to </w:t>
        </w:r>
      </w:ins>
      <w:ins w:id="85" w:author="Bolívar Aponte Rolón" w:date="2024-08-19T16:19:49Z">
        <w:r>
          <w:rPr>
            <w:i/>
            <w:iCs/>
          </w:rPr>
          <w:t>E-high</w:t>
        </w:r>
      </w:ins>
      <w:ins w:id="86" w:author="Bolívar Aponte Rolón" w:date="2024-08-19T16:19:49Z">
        <w:r>
          <w:rPr/>
          <w:t xml:space="preserve"> and </w:t>
        </w:r>
      </w:ins>
      <w:ins w:id="87" w:author="Bolívar Aponte Rolón" w:date="2024-08-19T16:19:49Z">
        <w:r>
          <w:rPr>
            <w:i/>
            <w:iCs/>
          </w:rPr>
          <w:t>E-low</w:t>
        </w:r>
      </w:ins>
      <w:ins w:id="88" w:author="Bolívar Aponte Rolón" w:date="2024-08-19T16:19:49Z">
        <w:r>
          <w:rPr/>
          <w:t xml:space="preserve"> treatments</w:t>
        </w:r>
      </w:ins>
    </w:p>
    <w:p>
      <w:pPr>
        <w:pStyle w:val="BodyText"/>
        <w:rPr/>
      </w:pPr>
      <w:ins w:id="90" w:author="Bolívar Aponte Rolón" w:date="2024-08-19T16:19:49Z">
        <w:r>
          <w:rPr/>
          <w:t>4.0.5.1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91" w:author="Bolívar Aponte Rolón" w:date="2024-08-19T15:48:14Z">
        <w:r>
          <w:rPr>
            <w:i/>
            <w:iCs/>
          </w:rPr>
          <w:delText>E+</w:delText>
        </w:r>
      </w:del>
      <w:ins w:id="9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or an </w:t>
      </w:r>
      <w:del w:id="93" w:author="Bolívar Aponte Rolón" w:date="2024-08-19T15:47:42Z">
        <w:r>
          <w:rPr>
            <w:i/>
            <w:iCs/>
          </w:rPr>
          <w:delText>E-</w:delText>
        </w:r>
      </w:del>
      <w:ins w:id="9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leaf on one disposable plastic plate next to an active nest trail. Carefully, we collected and placed debris from the trail leading up to the plate to encourage foraging in the plate. </w:t>
      </w:r>
      <w:del w:id="95" w:author="Bolívar Aponte Rolón" w:date="2024-08-19T15:55:38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96" w:author="Bolívar Aponte Rolón" w:date="2024-08-19T15:55:38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4"/>
        <w:rPr/>
      </w:pPr>
      <w:del w:id="97" w:author="Bolívar Aponte Rolón" w:date="2024-09-03T10:40:41Z">
        <w:r>
          <w:rPr/>
          <w:delText>4.1.4 Pathogen assays</w:delText>
        </w:r>
      </w:del>
      <w:bookmarkStart w:id="12" w:name="pathogen-assays"/>
      <w:r>
        <w:rPr/>
        <w:t>4.0.5.2 Pathogen assays</w:t>
      </w:r>
    </w:p>
    <w:p>
      <w:pPr>
        <w:pStyle w:val="FirstParagraph"/>
        <w:rPr/>
      </w:pPr>
      <w:ins w:id="98" w:author="Bolívar Aponte Rolón" w:date="2024-08-19T16:11:48Z">
        <w:r>
          <w:rPr/>
          <w:t xml:space="preserve">For the pathogen assays, we inoculated seedlings with </w:t>
        </w:r>
      </w:ins>
      <w:ins w:id="99" w:author="Bolívar Aponte Rolón" w:date="2024-08-19T16:11:48Z">
        <w:r>
          <w:rPr>
            <w:i/>
            <w:iCs/>
          </w:rPr>
          <w:t>Calonectria</w:t>
        </w:r>
      </w:ins>
      <w:ins w:id="100" w:author="Bolívar Aponte Rolón" w:date="2024-08-19T16:11:48Z">
        <w:r>
          <w:rPr/>
          <w:t xml:space="preserve"> sp. pathogen. </w:t>
        </w:r>
      </w:ins>
      <w:ins w:id="101" w:author="Bolívar Aponte Rolón" w:date="2024-08-19T16:11:48Z">
        <w:r>
          <w:rPr>
            <w:i/>
            <w:iCs/>
          </w:rPr>
          <w:t>Calonectria</w:t>
        </w:r>
      </w:ins>
      <w:ins w:id="102" w:author="Bolívar Aponte Rolón" w:date="2024-08-19T16:11:48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103" w:author="Bolívar Aponte Rolón" w:date="2024-08-19T16:11:48Z">
        <w:r>
          <w:rPr>
            <w:i/>
            <w:iCs/>
          </w:rPr>
          <w:t>Calonectria</w:t>
        </w:r>
      </w:ins>
      <w:ins w:id="104" w:author="Bolívar Aponte Rolón" w:date="2024-08-19T16:11:48Z">
        <w:r>
          <w:rPr/>
          <w:t xml:space="preserve"> leaf blight (CLB) which has become a primary fungal disease in commercial tree plantations (</w:t>
        </w:r>
      </w:ins>
      <w:ins w:id="105" w:author="Bolívar Aponte Rolón" w:date="2024-08-19T16:11:48Z">
        <w:r>
          <w:rPr/>
          <w:t>L</w:t>
        </w:r>
      </w:ins>
      <w:ins w:id="106" w:author="Bolívar Aponte Rolón" w:date="2024-08-19T16:11:48Z">
        <w:r>
          <w:rPr>
            <w:rFonts w:eastAsia="Cambria" w:cs="" w:cstheme="minorBidi" w:eastAsiaTheme="minorHAnsi"/>
            <w:color w:val="auto"/>
            <w:kern w:val="0"/>
            <w:sz w:val="24"/>
            <w:szCs w:val="24"/>
            <w:lang w:val="en-US" w:eastAsia="en-US" w:bidi="ar-SA"/>
          </w:rPr>
          <w:t>o</w:t>
        </w:r>
      </w:ins>
      <w:ins w:id="107" w:author="Bolívar Aponte Rolón" w:date="2024-08-19T16:11:48Z">
        <w:r>
          <w:rPr/>
          <w:t xml:space="preserve">mbard et al. 2010; </w:t>
        </w:r>
      </w:ins>
      <w:ins w:id="108" w:author="Bolívar Aponte Rolón" w:date="2024-08-19T16:11:48Z">
        <w:r>
          <w:rPr/>
          <w:t xml:space="preserve">Sanchez-Gonzalez et al., 2022). </w:t>
        </w:r>
      </w:ins>
      <w:del w:id="109" w:author="Bolívar Aponte Rolón" w:date="2024-09-03T11:18:56Z">
        <w:r>
          <w:rPr/>
          <w:delText xml:space="preserve">we introduced an agar plug inoculated with hyphae of </w:delText>
        </w:r>
      </w:del>
      <w:del w:id="110" w:author="Bolívar Aponte Rolón" w:date="2024-09-03T11:18:56Z">
        <w:r>
          <w:rPr>
            <w:i/>
            <w:iCs/>
          </w:rPr>
          <w:delText>Calonectria</w:delText>
        </w:r>
      </w:del>
      <w:del w:id="111" w:author="Bolívar Aponte Rolón" w:date="2024-09-03T11:18:56Z">
        <w:r>
          <w:rPr/>
          <w:delText xml:space="preserve"> sp. (</w:delText>
        </w:r>
      </w:del>
      <w:del w:id="112" w:author="Bolívar Aponte Rolón" w:date="2024-09-03T11:18:56Z">
        <w:r>
          <w:rPr>
            <w:i/>
            <w:iCs/>
          </w:rPr>
          <w:delText>P+</w:delText>
        </w:r>
      </w:del>
      <w:del w:id="113" w:author="Bolívar Aponte Rolón" w:date="2024-09-03T11:18:56Z">
        <w:r>
          <w:rPr/>
          <w:delText xml:space="preserve"> treatment), and an agar plug without the pathogen (</w:delText>
        </w:r>
      </w:del>
      <w:del w:id="114" w:author="Bolívar Aponte Rolón" w:date="2024-09-03T11:18:56Z">
        <w:r>
          <w:rPr>
            <w:i/>
            <w:iCs/>
          </w:rPr>
          <w:delText>P-</w:delText>
        </w:r>
      </w:del>
      <w:del w:id="115" w:author="Bolívar Aponte Rolón" w:date="2024-09-03T11:18:56Z">
        <w:r>
          <w:rPr/>
          <w:delText xml:space="preserve"> control) to similarly aged/sized leaves that were still on plants (i.e., were not harvested) within 10-14 days after</w:delText>
        </w:r>
      </w:del>
      <w:del w:id="116" w:author="Bolívar Aponte Rolón" w:date="2024-09-03T10:42:36Z">
        <w:r>
          <w:rPr/>
          <w:delText xml:space="preserve"> endophyte</w:delText>
        </w:r>
      </w:del>
      <w:del w:id="117" w:author="Bolívar Aponte Rolón" w:date="2024-09-03T11:18:56Z">
        <w:r>
          <w:rPr/>
          <w:delText xml:space="preserve"> inoculations (Gilbert &amp; Webb, 2007). </w:delText>
        </w:r>
      </w:del>
      <w:ins w:id="118" w:author="Bolívar Aponte Rolón" w:date="2024-09-03T11:18:56Z">
        <w:r>
          <w:rPr/>
          <w:t xml:space="preserve">We prepared the pathogen inoculum following Gilbert </w:t>
        </w:r>
      </w:ins>
      <w:ins w:id="119" w:author="Bolívar Aponte Rolón" w:date="2024-09-03T11:18:56Z">
        <w:r>
          <w:rPr/>
          <w:t>&amp;</w:t>
        </w:r>
      </w:ins>
      <w:ins w:id="120" w:author="Bolívar Aponte Rolón" w:date="2024-09-03T11:18:56Z">
        <w:r>
          <w:rPr/>
          <w:t xml:space="preserve"> Webb </w:t>
        </w:r>
      </w:ins>
      <w:ins w:id="121" w:author="Bolívar Aponte Rolón" w:date="2024-09-03T11:18:56Z">
        <w:r>
          <w:rPr/>
          <w:t>(2007)</w:t>
        </w:r>
      </w:ins>
      <w:ins w:id="122" w:author="Bolívar Aponte Rolón" w:date="2024-09-03T11:18:56Z">
        <w:r>
          <w:rPr/>
          <w:t xml:space="preserve"> and Tellez et al. </w:t>
        </w:r>
      </w:ins>
      <w:ins w:id="123" w:author="Bolívar Aponte Rolón" w:date="2024-09-03T11:18:56Z">
        <w:r>
          <w:rPr/>
          <w:t>(</w:t>
        </w:r>
      </w:ins>
      <w:ins w:id="124" w:author="Bolívar Aponte Rolón" w:date="2024-09-03T11:18:56Z">
        <w:r>
          <w:rPr>
            <w:rFonts w:eastAsia="Cambria" w:cs="" w:cstheme="minorBidi" w:eastAsiaTheme="minorHAnsi"/>
            <w:color w:val="auto"/>
            <w:kern w:val="0"/>
            <w:sz w:val="24"/>
            <w:szCs w:val="24"/>
            <w:lang w:val="en-US" w:eastAsia="en-US" w:bidi="ar-SA"/>
          </w:rPr>
          <w:t>2016)</w:t>
        </w:r>
      </w:ins>
      <w:ins w:id="125" w:author="Bolívar Aponte Rolón" w:date="2024-09-03T11:18:56Z">
        <w:r>
          <w:rPr/>
          <w:t xml:space="preserve">.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w:t>
        </w:r>
      </w:ins>
      <w:ins w:id="126" w:author="Bolívar Aponte Rolón" w:date="2024-09-03T11:18:56Z">
        <w:r>
          <w:rPr/>
          <w:t>(Gilbert &amp; Webb 2007)</w:t>
        </w:r>
      </w:ins>
      <w:ins w:id="127" w:author="Bolívar Aponte Rolón" w:date="2024-09-03T11:18:56Z">
        <w:r>
          <w:rPr/>
          <w:t xml:space="preserve">. Then we lightly punctured the leaf lamina with a sterile needle (95% EtOH and heat treated) and applied an agar plug inoculated with hyphae of </w:t>
        </w:r>
      </w:ins>
      <w:ins w:id="128" w:author="Bolívar Aponte Rolón" w:date="2024-09-03T11:18:56Z">
        <w:r>
          <w:rPr>
            <w:i/>
            <w:iCs/>
          </w:rPr>
          <w:t>Calonectria</w:t>
        </w:r>
      </w:ins>
      <w:ins w:id="129" w:author="Bolívar Aponte Rolón" w:date="2024-09-03T11:18:56Z">
        <w:r>
          <w:rPr/>
          <w:t xml:space="preserve"> sp. (</w:t>
        </w:r>
      </w:ins>
      <w:ins w:id="130" w:author="Bolívar Aponte Rolón" w:date="2024-09-03T11:18:56Z">
        <w:r>
          <w:rPr>
            <w:i/>
            <w:iCs/>
          </w:rPr>
          <w:t>P+</w:t>
        </w:r>
      </w:ins>
      <w:ins w:id="131" w:author="Bolívar Aponte Rolón" w:date="2024-09-03T11:18:56Z">
        <w:r>
          <w:rPr/>
          <w:t xml:space="preserve"> treatment), and in a separate leaf, an agar plug without the pathogen (</w:t>
        </w:r>
      </w:ins>
      <w:ins w:id="132" w:author="Bolívar Aponte Rolón" w:date="2024-09-03T11:18:56Z">
        <w:r>
          <w:rPr>
            <w:i/>
            <w:iCs/>
          </w:rPr>
          <w:t>P-</w:t>
        </w:r>
      </w:ins>
      <w:ins w:id="133" w:author="Bolívar Aponte Rolón" w:date="2024-09-03T11:18:56Z">
        <w:r>
          <w:rPr/>
          <w:t xml:space="preserve"> control). Agar plugs were held in place with sterile metal double prong curl clips (Sally Beaut</w:t>
        </w:r>
      </w:ins>
      <w:ins w:id="134" w:author="Bolívar Aponte Rolón" w:date="2024-09-03T11:18:56Z">
        <w:r>
          <w:rPr/>
          <w:t>y</w:t>
        </w:r>
      </w:ins>
      <w:ins w:id="135" w:author="Bolívar Aponte Rolón" w:date="2024-09-03T11:18:56Z">
        <w:r>
          <w:rPr/>
          <w:t xml:space="preserve"> LLC., Denton, Texas, USA. Item number: SBS-292507). </w:t>
        </w:r>
      </w:ins>
      <w:r>
        <w:rPr/>
        <w:t xml:space="preserve">Leaves with the </w:t>
      </w:r>
      <w:r>
        <w:rPr>
          <w:i/>
          <w:iCs/>
        </w:rPr>
        <w:t>P+</w:t>
      </w:r>
      <w:r>
        <w:rPr/>
        <w:t xml:space="preserve"> or </w:t>
      </w:r>
      <w:r>
        <w:rPr>
          <w:i/>
          <w:iCs/>
        </w:rPr>
        <w:t>P-</w:t>
      </w:r>
      <w:r>
        <w:rPr/>
        <w:t xml:space="preserve"> treatment</w:t>
      </w:r>
      <w:ins w:id="136" w:author="Bolívar Aponte Rolón" w:date="2024-09-03T11:23:36Z">
        <w:r>
          <w:rPr/>
          <w:t>s</w:t>
        </w:r>
      </w:ins>
      <w:r>
        <w:rPr/>
        <w:t xml:space="preserve">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w:t>
      </w:r>
      <w:del w:id="137" w:author="Bolívar Aponte Rolón" w:date="2024-08-19T16:20:20Z">
        <w:r>
          <w:rPr/>
          <w:delText>1.5</w:delText>
        </w:r>
      </w:del>
      <w:ins w:id="138" w:author="Bolívar Aponte Rolón" w:date="2024-08-19T16:20:20Z">
        <w:r>
          <w:rPr/>
          <w:t>0.6</w:t>
        </w:r>
      </w:ins>
      <w:r>
        <w:rPr/>
        <w:t xml:space="preserve">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ins w:id="139" w:author="Bolívar Aponte Rolón" w:date="2024-08-19T16:00:42Z">
              <w:r>
                <w:rPr>
                  <w:rFonts w:eastAsia="Tex Gyre Termes" w:cs="Tex Gyre Termes" w:ascii="Tex Gyre Termes" w:hAnsi="Tex Gyre Termes"/>
                  <w:b w:val="false"/>
                  <w:i w:val="false"/>
                  <w:color w:val="000000"/>
                  <w:sz w:val="22"/>
                  <w:szCs w:val="22"/>
                  <w:u w:val="none"/>
                </w:rPr>
                <w:t xml:space="preserve"> (LFTs)</w:t>
              </w:r>
            </w:ins>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40" w:author="Bolívar Aponte Rolón" w:date="2024-08-19T15:47:42Z">
              <w:r>
                <w:rPr>
                  <w:rFonts w:eastAsia="Tex Gyre Termes" w:cs="Tex Gyre Termes" w:ascii="Tex Gyre Termes" w:hAnsi="Tex Gyre Termes"/>
                  <w:b w:val="false"/>
                  <w:i w:val="false"/>
                  <w:color w:val="000000"/>
                  <w:sz w:val="22"/>
                  <w:szCs w:val="22"/>
                  <w:u w:val="none"/>
                </w:rPr>
                <w:delText>E-</w:delText>
              </w:r>
            </w:del>
            <w:ins w:id="141"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42" w:author="Bolívar Aponte Rolón" w:date="2024-08-19T15:48:14Z">
              <w:r>
                <w:rPr>
                  <w:rFonts w:eastAsia="Tex Gyre Termes" w:cs="Tex Gyre Termes" w:ascii="Tex Gyre Termes" w:hAnsi="Tex Gyre Termes"/>
                  <w:b w:val="false"/>
                  <w:i w:val="false"/>
                  <w:color w:val="000000"/>
                  <w:sz w:val="22"/>
                  <w:szCs w:val="22"/>
                  <w:u w:val="none"/>
                </w:rPr>
                <w:delText>E+</w:delText>
              </w:r>
            </w:del>
            <w:ins w:id="143"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44" w:author="Bolívar Aponte Rolón" w:date="2024-08-19T15:47:42Z">
              <w:r>
                <w:rPr>
                  <w:rFonts w:eastAsia="Tex Gyre Termes" w:cs="Tex Gyre Termes" w:ascii="Tex Gyre Termes" w:hAnsi="Tex Gyre Termes"/>
                  <w:b w:val="false"/>
                  <w:i w:val="false"/>
                  <w:color w:val="000000"/>
                  <w:sz w:val="22"/>
                  <w:szCs w:val="22"/>
                  <w:u w:val="none"/>
                </w:rPr>
                <w:delText>E-</w:delText>
              </w:r>
            </w:del>
            <w:ins w:id="145"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46" w:author="Bolívar Aponte Rolón" w:date="2024-08-19T15:48:14Z">
              <w:r>
                <w:rPr>
                  <w:rFonts w:eastAsia="Tex Gyre Termes" w:cs="Tex Gyre Termes" w:ascii="Tex Gyre Termes" w:hAnsi="Tex Gyre Termes"/>
                  <w:b w:val="false"/>
                  <w:i w:val="false"/>
                  <w:color w:val="000000"/>
                  <w:sz w:val="22"/>
                  <w:szCs w:val="22"/>
                  <w:u w:val="none"/>
                </w:rPr>
                <w:delText>E+</w:delText>
              </w:r>
            </w:del>
            <w:ins w:id="147"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48" w:author="Bolívar Aponte Rolón" w:date="2024-08-19T15:47:42Z">
              <w:r>
                <w:rPr>
                  <w:rFonts w:eastAsia="Tex Gyre Termes" w:cs="Tex Gyre Termes" w:ascii="Tex Gyre Termes" w:hAnsi="Tex Gyre Termes"/>
                  <w:b w:val="false"/>
                  <w:i w:val="false"/>
                  <w:color w:val="000000"/>
                  <w:sz w:val="22"/>
                  <w:szCs w:val="22"/>
                  <w:u w:val="none"/>
                </w:rPr>
                <w:delText>E-</w:delText>
              </w:r>
            </w:del>
            <w:ins w:id="149"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50" w:author="Bolívar Aponte Rolón" w:date="2024-08-19T15:48:14Z">
              <w:r>
                <w:rPr>
                  <w:rFonts w:eastAsia="Tex Gyre Termes" w:cs="Tex Gyre Termes" w:ascii="Tex Gyre Termes" w:hAnsi="Tex Gyre Termes"/>
                  <w:b w:val="false"/>
                  <w:i w:val="false"/>
                  <w:color w:val="000000"/>
                  <w:sz w:val="22"/>
                  <w:szCs w:val="22"/>
                  <w:u w:val="none"/>
                </w:rPr>
                <w:delText>E+</w:delText>
              </w:r>
            </w:del>
            <w:ins w:id="151"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w:t>
            </w:r>
            <w:del w:id="152" w:author="Bolívar Aponte Rolón" w:date="2024-08-19T15:47:42Z">
              <w:r>
                <w:rPr>
                  <w:rFonts w:eastAsia="Tex Gyre Termes" w:cs="Tex Gyre Termes" w:ascii="Tex Gyre Termes" w:hAnsi="Tex Gyre Termes"/>
                  <w:b w:val="false"/>
                  <w:i w:val="false"/>
                  <w:color w:val="000000"/>
                  <w:sz w:val="22"/>
                  <w:szCs w:val="22"/>
                  <w:u w:val="none"/>
                </w:rPr>
                <w:delText>E-</w:delText>
              </w:r>
            </w:del>
            <w:ins w:id="153"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54" w:author="Bolívar Aponte Rolón" w:date="2024-08-19T15:48:14Z">
              <w:r>
                <w:rPr>
                  <w:rFonts w:eastAsia="Tex Gyre Termes" w:cs="Tex Gyre Termes" w:ascii="Tex Gyre Termes" w:hAnsi="Tex Gyre Termes"/>
                  <w:b w:val="false"/>
                  <w:i w:val="false"/>
                  <w:color w:val="000000"/>
                  <w:sz w:val="22"/>
                  <w:szCs w:val="22"/>
                  <w:u w:val="none"/>
                </w:rPr>
                <w:delText>E+</w:delText>
              </w:r>
            </w:del>
            <w:ins w:id="155"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sub-treatment = 2 (control and pathogen) for pathogen trials, Tropical tree species = 7, Replicates per species = 5, Replicates per plant = 1</w:t>
            </w:r>
            <w:bookmarkStart w:id="13" w:name="replication-statement"/>
            <w:bookmarkEnd w:id="13"/>
          </w:p>
        </w:tc>
      </w:tr>
    </w:tbl>
    <w:p>
      <w:pPr>
        <w:pStyle w:val="Heading3"/>
        <w:rPr/>
      </w:pPr>
      <w:r>
        <w:rPr/>
        <w:t>4.</w:t>
      </w:r>
      <w:ins w:id="156" w:author="Bolívar Aponte Rolón" w:date="2024-08-19T16:20:32Z">
        <w:r>
          <w:rPr/>
          <w:t>0.7</w:t>
        </w:r>
      </w:ins>
      <w:del w:id="157" w:author="Bolívar Aponte Rolón" w:date="2024-08-19T16:20:31Z">
        <w:r>
          <w:rPr/>
          <w:delText>1.6</w:delText>
        </w:r>
      </w:del>
      <w:r>
        <w:rPr/>
        <w:t xml:space="preserve"> Statistical Analyses</w:t>
      </w:r>
    </w:p>
    <w:p>
      <w:pPr>
        <w:pStyle w:val="FirstParagraph"/>
        <w:rPr>
          <w:ins w:id="158" w:author="Bolívar Aponte Rolón" w:date="2024-08-19T16:20:44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59" w:author="Bolívar Aponte Rolón" w:date="2024-08-19T16:20:44Z">
        <w:r>
          <w:rPr/>
          <w:t xml:space="preserve">4.0.7.1 Comparison of LFTs and FEF between </w:t>
        </w:r>
      </w:ins>
      <w:ins w:id="160" w:author="Bolívar Aponte Rolón" w:date="2024-08-19T16:20:44Z">
        <w:r>
          <w:rPr>
            <w:i/>
            <w:iCs/>
          </w:rPr>
          <w:t>E-high</w:t>
        </w:r>
      </w:ins>
      <w:ins w:id="161" w:author="Bolívar Aponte Rolón" w:date="2024-08-19T16:20:44Z">
        <w:r>
          <w:rPr/>
          <w:t xml:space="preserve"> and </w:t>
        </w:r>
      </w:ins>
      <w:ins w:id="162" w:author="Bolívar Aponte Rolón" w:date="2024-08-19T16:20:44Z">
        <w:r>
          <w:rPr>
            <w:i/>
            <w:iCs/>
          </w:rPr>
          <w:t>E-low</w:t>
        </w:r>
      </w:ins>
      <w:ins w:id="163" w:author="Bolívar Aponte Rolón" w:date="2024-08-19T16:20:44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65" w:author="Bolívar Aponte Rolón" w:date="2024-08-19T16:20:55Z"/>
        </w:rPr>
      </w:pPr>
      <w:ins w:id="164" w:author="Bolívar Aponte Rolón" w:date="2024-08-19T16:20:55Z">
        <w:r>
          <w:rPr/>
          <w:t>4.0.7.2 FEF abundance, richness, diversity and community composition</w:t>
        </w:r>
      </w:ins>
    </w:p>
    <w:p>
      <w:pPr>
        <w:pStyle w:val="BodyText"/>
        <w:rPr>
          <w:ins w:id="166" w:author="Bolívar Aponte Rolón" w:date="2024-08-19T16:21:17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67" w:author="Bolívar Aponte Rolón" w:date="2024-08-19T16:21:17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r>
        <w:rPr/>
        <w:t>5. Results</w:t>
      </w:r>
    </w:p>
    <w:p>
      <w:pPr>
        <w:pStyle w:val="FirstParagraph"/>
        <w:rPr/>
      </w:pPr>
      <w:r>
        <w:rPr/>
        <w:t xml:space="preserve">Inoculation of seedlings was successful. Seedlings exposed to forest spore fall (i.e., </w:t>
      </w:r>
      <w:del w:id="168" w:author="Bolívar Aponte Rolón" w:date="2024-08-19T15:48:14Z">
        <w:r>
          <w:rPr>
            <w:i/>
            <w:iCs/>
          </w:rPr>
          <w:delText>E+</w:delText>
        </w:r>
      </w:del>
      <w:ins w:id="16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a significantly higher proportion of leaf segments colonized by FEF across all species (data from cultures, Fig. S1). Similarly, molecular data set showed that seedlings with </w:t>
      </w:r>
      <w:del w:id="170" w:author="Bolívar Aponte Rolón" w:date="2024-08-19T15:48:14Z">
        <w:r>
          <w:rPr>
            <w:i/>
            <w:iCs/>
          </w:rPr>
          <w:delText>E+</w:delText>
        </w:r>
      </w:del>
      <w:ins w:id="17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172" w:author="Bolívar Aponte Rolón" w:date="2024-08-19T15:47:42Z">
        <w:r>
          <w:rPr>
            <w:i/>
            <w:iCs/>
          </w:rPr>
          <w:delText>E-</w:delText>
        </w:r>
      </w:del>
      <w:ins w:id="17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del w:id="174" w:author="Bolívar Aponte Rolón" w:date="2024-08-19T15:47:42Z">
        <w:r>
          <w:rPr>
            <w:i/>
            <w:iCs/>
          </w:rPr>
          <w:delText>E-</w:delText>
        </w:r>
      </w:del>
      <w:ins w:id="17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76" w:author="Bolívar Aponte Rolón" w:date="2024-08-19T15:48:14Z">
        <w:r>
          <w:rPr>
            <w:i/>
            <w:iCs/>
          </w:rPr>
          <w:delText>E+</w:delText>
        </w:r>
      </w:del>
      <w:ins w:id="17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when we combined all host species (Fig. S2a and Fig. S4a respectively). For LT and LMA we saw significant differences between </w:t>
      </w:r>
      <w:del w:id="178" w:author="Bolívar Aponte Rolón" w:date="2024-08-19T15:47:42Z">
        <w:r>
          <w:rPr>
            <w:i/>
            <w:iCs/>
          </w:rPr>
          <w:delText>E-</w:delText>
        </w:r>
      </w:del>
      <w:ins w:id="17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80" w:author="Bolívar Aponte Rolón" w:date="2024-08-19T15:48:14Z">
        <w:r>
          <w:rPr>
            <w:i/>
            <w:iCs/>
          </w:rPr>
          <w:delText>E+</w:delText>
        </w:r>
      </w:del>
      <w:ins w:id="18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when we combined all host species (Fig S3a and Fig. S5a, respectively). As predicted, we did observe lower herbivory in the </w:t>
      </w:r>
      <w:del w:id="182" w:author="Bolívar Aponte Rolón" w:date="2024-08-19T15:48:14Z">
        <w:r>
          <w:rPr>
            <w:i/>
            <w:iCs/>
          </w:rPr>
          <w:delText>E+</w:delText>
        </w:r>
      </w:del>
      <w:ins w:id="18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compared to the </w:t>
      </w:r>
      <w:del w:id="184" w:author="Bolívar Aponte Rolón" w:date="2024-08-19T15:47:42Z">
        <w:r>
          <w:rPr>
            <w:i/>
            <w:iCs/>
          </w:rPr>
          <w:delText>E-</w:delText>
        </w:r>
      </w:del>
      <w:ins w:id="18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del w:id="186" w:author="Bolívar Aponte Rolón" w:date="2024-08-19T15:47:42Z">
        <w:r>
          <w:rPr>
            <w:i/>
            <w:iCs/>
          </w:rPr>
          <w:delText>E-</w:delText>
        </w:r>
      </w:del>
      <w:ins w:id="187"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88" w:author="Bolívar Aponte Rolón" w:date="2024-08-19T15:48:14Z">
        <w:r>
          <w:rPr>
            <w:i/>
            <w:iCs/>
          </w:rPr>
          <w:delText>E+</w:delText>
        </w:r>
      </w:del>
      <w:ins w:id="18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when we combined all host species (Fig. 2b). However, within the </w:t>
      </w:r>
      <w:del w:id="190" w:author="Bolívar Aponte Rolón" w:date="2024-08-19T15:47:42Z">
        <w:r>
          <w:rPr>
            <w:i/>
            <w:iCs/>
          </w:rPr>
          <w:delText>E-</w:delText>
        </w:r>
      </w:del>
      <w:ins w:id="19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del w:id="192" w:author="Bolívar Aponte Rolón" w:date="2024-08-19T15:48:14Z">
        <w:r>
          <w:rPr>
            <w:i/>
            <w:iCs/>
          </w:rPr>
          <w:delText>E+</w:delText>
        </w:r>
      </w:del>
      <w:ins w:id="19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All leaf functional traits are significantly correlated with FEF community composition (Fig.</w:t>
      </w:r>
      <w:ins w:id="194" w:author="Bolívar Aponte Rolón" w:date="2024-09-03T12:51:22Z">
        <w:r>
          <w:rPr/>
          <w:t xml:space="preserve"> </w:t>
        </w:r>
      </w:ins>
      <w:r>
        <w:rPr/>
        <w:t>3</w:t>
      </w:r>
      <w:ins w:id="195" w:author="Bolívar Aponte Rolón" w:date="2024-09-03T12:51:24Z">
        <w:r>
          <w:rPr/>
          <w:t xml:space="preserve"> </w:t>
        </w:r>
      </w:ins>
      <w:ins w:id="196" w:author="Bolívar Aponte Rolón" w:date="2024-09-03T12:51:24Z">
        <w:r>
          <w:rPr/>
          <w:t>and Table 2</w:t>
        </w:r>
      </w:ins>
      <w:r>
        <w:rPr/>
        <w:t xml:space="preserve">).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xml:space="preserve">, emphasizing a distinct composition of FEF OTUs within the subspace of FEF identified. Other host species showed greater variation in FEF composition. Our PERMDISP analyses showed no significant differences in host species group </w:t>
      </w:r>
      <w:r>
        <w:rPr>
          <w:rFonts w:eastAsia="Cambria" w:cs="" w:cstheme="minorBidi" w:eastAsiaTheme="minorHAnsi"/>
          <w:shd w:fill="auto" w:val="clear"/>
        </w:rPr>
        <w:t>dispersion (</w:t>
      </w:r>
      <w:r>
        <w:rPr>
          <w:rFonts w:eastAsia="Cambria" w:cs="" w:cstheme="minorBidi" w:eastAsiaTheme="minorHAnsi"/>
          <w:i/>
          <w:iCs/>
          <w:shd w:fill="auto" w:val="clear"/>
        </w:rPr>
        <w:t>F</w:t>
      </w:r>
      <w:r>
        <w:rPr>
          <w:rFonts w:eastAsia="Cambria" w:cs="" w:cstheme="minorBidi" w:eastAsiaTheme="minorHAnsi"/>
          <w:shd w:fill="auto" w:val="clear"/>
        </w:rPr>
        <w:t xml:space="preserve">~6, 149~ = 0.717, </w:t>
      </w:r>
      <w:r>
        <w:rPr>
          <w:rFonts w:eastAsia="Cambria" w:cs="" w:cstheme="minorBidi" w:eastAsiaTheme="minorHAnsi"/>
          <w:i/>
          <w:iCs/>
          <w:shd w:fill="auto" w:val="clear"/>
        </w:rPr>
        <w:t>p</w:t>
      </w:r>
      <w:r>
        <w:rPr>
          <w:rFonts w:eastAsia="Cambria" w:cs="" w:cstheme="minorBidi" w:eastAsiaTheme="minorHAnsi"/>
          <w:shd w:fill="auto" w:val="clear"/>
        </w:rPr>
        <w:t xml:space="preserve"> &lt; .63), observed differences were to location. Unsurprisingly, the dispersion for </w:t>
      </w:r>
      <w:r>
        <w:rPr>
          <w:rFonts w:eastAsia="Cambria" w:cs="" w:cstheme="minorBidi" w:eastAsiaTheme="minorHAnsi"/>
          <w:i/>
          <w:iCs/>
          <w:color w:val="000000"/>
          <w:kern w:val="0"/>
          <w:sz w:val="24"/>
          <w:szCs w:val="24"/>
          <w:shd w:fill="auto" w:val="clear"/>
          <w:lang w:val="en-US" w:eastAsia="en-US" w:bidi="ar-SA"/>
        </w:rPr>
        <w:t>E-low</w:t>
      </w:r>
      <w:r>
        <w:rPr>
          <w:rFonts w:eastAsia="Cambria" w:cs="" w:cstheme="minorBidi" w:eastAsiaTheme="minorHAnsi"/>
          <w:shd w:fill="auto" w:val="clear"/>
        </w:rPr>
        <w:t xml:space="preserve"> and </w:t>
      </w:r>
      <w:r>
        <w:rPr>
          <w:rFonts w:eastAsia="Cambria" w:cs="" w:cstheme="minorBidi" w:eastAsiaTheme="minorHAnsi"/>
          <w:i/>
          <w:iCs/>
          <w:color w:val="000000"/>
          <w:kern w:val="0"/>
          <w:sz w:val="24"/>
          <w:szCs w:val="24"/>
          <w:shd w:fill="auto" w:val="clear"/>
          <w:lang w:val="en-US" w:eastAsia="en-US" w:bidi="ar-SA"/>
        </w:rPr>
        <w:t>E-high</w:t>
      </w:r>
      <w:r>
        <w:rPr>
          <w:rFonts w:eastAsia="Cambria" w:cs="" w:cstheme="minorBidi" w:eastAsiaTheme="minorHAnsi"/>
          <w:shd w:fill="auto" w:val="clear"/>
        </w:rPr>
        <w:t xml:space="preserve"> treatment groups was significantly different (</w:t>
      </w:r>
      <w:r>
        <w:rPr>
          <w:rFonts w:eastAsia="Cambria" w:cs="" w:cstheme="minorBidi" w:eastAsiaTheme="minorHAnsi"/>
          <w:i/>
          <w:iCs/>
          <w:shd w:fill="auto" w:val="clear"/>
        </w:rPr>
        <w:t>F</w:t>
      </w:r>
      <w:r>
        <w:rPr>
          <w:rFonts w:eastAsia="Cambria" w:cs="" w:cstheme="minorBidi" w:eastAsiaTheme="minorHAnsi"/>
          <w:shd w:fill="auto" w:val="clear"/>
        </w:rPr>
        <w:t xml:space="preserve">~1, 154~ = 5.09, </w:t>
      </w:r>
      <w:r>
        <w:rPr>
          <w:rFonts w:eastAsia="Cambria" w:cs="" w:cstheme="minorBidi" w:eastAsiaTheme="minorHAnsi"/>
          <w:i/>
          <w:iCs/>
          <w:shd w:fill="auto" w:val="clear"/>
        </w:rPr>
        <w:t>p</w:t>
      </w:r>
      <w:r>
        <w:rPr>
          <w:rFonts w:eastAsia="Cambria" w:cs="" w:cstheme="minorBidi" w:eastAsiaTheme="minorHAnsi"/>
          <w:shd w:fill="auto" w:val="clear"/>
        </w:rPr>
        <w:t xml:space="preserve"> = .03). T</w:t>
      </w:r>
      <w:r>
        <w:rPr/>
        <w:t>he post Tukey tests revealed dispersion of host species were not significantly different at the α &lt; .05 level, while treatment group dispersions were.</w:t>
      </w:r>
    </w:p>
    <w:p>
      <w:pPr>
        <w:pStyle w:val="BodyText"/>
        <w:rPr/>
      </w:pPr>
      <w:del w:id="197" w:author="Bolívar Aponte Rolón" w:date="2024-08-19T16:24:18Z">
        <w:r>
          <w:rPr/>
          <w:delText>There was a core set of OTUs that significantly associated with host tree species or particular treatments. In summary, 72 out of 569 Ascomycota OTUs were significantly associated with all host tree species (Table S5).</w:delText>
        </w:r>
      </w:del>
      <w:ins w:id="198" w:author="Bolívar Aponte Rolón" w:date="2024-08-19T16:24:18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199" w:author="Bolívar Aponte Rolón" w:date="2024-08-19T15:47:42Z">
        <w:r>
          <w:rPr>
            <w:i/>
            <w:iCs/>
          </w:rPr>
          <w:delText>E-</w:delText>
        </w:r>
      </w:del>
      <w:ins w:id="20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01" w:author="Bolívar Aponte Rolón" w:date="2024-08-19T15:48:14Z">
        <w:r>
          <w:rPr>
            <w:i/>
            <w:iCs/>
          </w:rPr>
          <w:delText>E+</w:delText>
        </w:r>
      </w:del>
      <w:ins w:id="20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S6). We detected 11 OTUs significantly associated with seedlings that experienced high (&gt;30%) pathogen damage in </w:t>
      </w:r>
      <w:del w:id="203" w:author="Bolívar Aponte Rolón" w:date="2024-08-19T15:47:42Z">
        <w:r>
          <w:rPr>
            <w:i/>
            <w:iCs/>
          </w:rPr>
          <w:delText>E-</w:delText>
        </w:r>
      </w:del>
      <w:ins w:id="20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05" w:author="Bolívar Aponte Rolón" w:date="2024-08-19T15:48:14Z">
        <w:r>
          <w:rPr>
            <w:i/>
            <w:iCs/>
          </w:rPr>
          <w:delText>E+</w:delText>
        </w:r>
      </w:del>
      <w:ins w:id="20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207" w:author="Bolívar Aponte Rolón" w:date="2024-08-19T15:48:14Z">
        <w:r>
          <w:rPr>
            <w:i/>
            <w:iCs/>
          </w:rPr>
          <w:delText>E+</w:delText>
        </w:r>
      </w:del>
      <w:ins w:id="20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ins w:id="209" w:author="Bolívar Aponte Rolón" w:date="2024-08-19T16:22:34Z"/>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t>
      </w:r>
    </w:p>
    <w:p>
      <w:pPr>
        <w:pStyle w:val="BodyText"/>
        <w:rPr>
          <w:ins w:id="216" w:author="Bolívar Aponte Rolón" w:date="2024-08-19T16:23:05Z"/>
        </w:rPr>
      </w:pPr>
      <w:r>
        <w:rPr/>
        <w:t xml:space="preserve">We </w:t>
      </w:r>
      <w:del w:id="210" w:author="Bolívar Aponte Rolón" w:date="2024-08-19T16:22:40Z">
        <w:r>
          <w:rPr/>
          <w:delText>uncovered</w:delText>
        </w:r>
      </w:del>
      <w:ins w:id="211" w:author="Bolívar Aponte Rolón" w:date="2024-08-19T16:22:40Z">
        <w:r>
          <w:rPr/>
          <w:t>observed</w:t>
        </w:r>
      </w:ins>
      <w:r>
        <w:rPr/>
        <w:t xml:space="preserve">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del w:id="212" w:author="Bolívar Aponte Rolón" w:date="2024-08-19T15:47:42Z">
        <w:r>
          <w:rPr>
            <w:i/>
            <w:iCs/>
          </w:rPr>
          <w:delText>E-</w:delText>
        </w:r>
      </w:del>
      <w:ins w:id="21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del w:id="214" w:author="Bolívar Aponte Rolón" w:date="2024-08-19T15:48:14Z">
        <w:r>
          <w:rPr>
            <w:i/>
            <w:iCs/>
          </w:rPr>
          <w:delText>E+</w:delText>
        </w:r>
      </w:del>
      <w:ins w:id="21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t>
      </w:r>
    </w:p>
    <w:p>
      <w:pPr>
        <w:pStyle w:val="BodyText"/>
        <w:rPr/>
      </w:pPr>
      <w:r>
        <w:rPr/>
        <w:t xml:space="preserve">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del w:id="217" w:author="Bolívar Aponte Rolón" w:date="2024-08-19T15:47:42Z">
        <w:r>
          <w:rPr>
            <w:i/>
            <w:iCs/>
          </w:rPr>
          <w:delText>E-</w:delText>
        </w:r>
      </w:del>
      <w:ins w:id="21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19" w:author="Bolívar Aponte Rolón" w:date="2024-08-19T15:48:14Z">
        <w:r>
          <w:rPr>
            <w:i/>
            <w:iCs/>
          </w:rPr>
          <w:delText>E+</w:delText>
        </w:r>
      </w:del>
      <w:ins w:id="22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del w:id="221" w:author="Bolívar Aponte Rolón" w:date="2024-08-19T15:48:14Z">
        <w:r>
          <w:rPr>
            <w:i/>
            <w:iCs/>
          </w:rPr>
          <w:delText>E+</w:delText>
        </w:r>
      </w:del>
      <w:ins w:id="22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del w:id="223" w:author="Bolívar Aponte Rolón" w:date="2024-08-19T15:48:14Z">
        <w:r>
          <w:rPr>
            <w:i/>
            <w:iCs/>
          </w:rPr>
          <w:delText>E+</w:delText>
        </w:r>
      </w:del>
      <w:ins w:id="22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del w:id="225" w:author="Bolívar Aponte Rolón" w:date="2024-08-19T15:48:14Z">
        <w:r>
          <w:rPr>
            <w:i/>
            <w:iCs/>
          </w:rPr>
          <w:delText>E+</w:delText>
        </w:r>
      </w:del>
      <w:ins w:id="22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4"/>
    </w:p>
    <w:p>
      <w:pPr>
        <w:pStyle w:val="Heading1"/>
        <w:rPr/>
      </w:pPr>
      <w:bookmarkStart w:id="15"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del w:id="227" w:author="Bolívar Aponte Rolón" w:date="2024-08-19T16:03:46Z">
        <w:r>
          <w:rPr/>
          <w:delText xml:space="preserve"> improve and leaf traits </w:delText>
        </w:r>
      </w:del>
      <w:r>
        <w:rPr/>
        <w:t xml:space="preserve">work to improve leaf defenses against generalist herbivores and pathogens in tropical trees. Across all host species, we saw that the </w:t>
      </w:r>
      <w:del w:id="228" w:author="Bolívar Aponte Rolón" w:date="2024-08-19T15:48:14Z">
        <w:r>
          <w:rPr>
            <w:i/>
            <w:iCs/>
          </w:rPr>
          <w:delText>E+</w:delText>
        </w:r>
      </w:del>
      <w:ins w:id="22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exhibited lower herbivory damage than the </w:t>
      </w:r>
      <w:del w:id="230" w:author="Bolívar Aponte Rolón" w:date="2024-08-19T15:47:42Z">
        <w:r>
          <w:rPr>
            <w:i/>
            <w:iCs/>
          </w:rPr>
          <w:delText>E-</w:delText>
        </w:r>
      </w:del>
      <w:ins w:id="23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At the host species level, we saw that </w:t>
      </w:r>
      <w:del w:id="232" w:author="Bolívar Aponte Rolón" w:date="2024-08-19T15:48:14Z">
        <w:r>
          <w:rPr>
            <w:i/>
            <w:iCs/>
          </w:rPr>
          <w:delText>E+</w:delText>
        </w:r>
      </w:del>
      <w:ins w:id="23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del w:id="234" w:author="Bolívar Aponte Rolón" w:date="2024-08-19T15:48:14Z">
        <w:r>
          <w:rPr>
            <w:i/>
            <w:iCs/>
          </w:rPr>
          <w:delText>E+</w:delText>
        </w:r>
      </w:del>
      <w:ins w:id="23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del w:id="236" w:author="Bolívar Aponte Rolón" w:date="2024-08-19T15:48:14Z">
        <w:r>
          <w:rPr>
            <w:i/>
            <w:iCs/>
          </w:rPr>
          <w:delText>E+</w:delText>
        </w:r>
      </w:del>
      <w:ins w:id="23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positively correlating to herbivory and </w:t>
      </w:r>
      <w:del w:id="238" w:author="Bolívar Aponte Rolón" w:date="2024-08-19T15:47:42Z">
        <w:r>
          <w:rPr>
            <w:i/>
            <w:iCs/>
          </w:rPr>
          <w:delText>E-</w:delText>
        </w:r>
      </w:del>
      <w:ins w:id="23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del w:id="240" w:author="Bolívar Aponte Rolón" w:date="2024-08-19T15:48:14Z">
        <w:r>
          <w:rPr>
            <w:i/>
            <w:iCs/>
          </w:rPr>
          <w:delText>E+</w:delText>
        </w:r>
      </w:del>
      <w:ins w:id="24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del w:id="242" w:author="Bolívar Aponte Rolón" w:date="2024-08-19T15:48:14Z">
        <w:r>
          <w:rPr>
            <w:i/>
            <w:iCs/>
          </w:rPr>
          <w:delText>E+</w:delText>
        </w:r>
      </w:del>
      <w:ins w:id="24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had equal or slightly higher pathogen damage than the </w:t>
      </w:r>
      <w:del w:id="244" w:author="Bolívar Aponte Rolón" w:date="2024-08-19T15:47:42Z">
        <w:r>
          <w:rPr>
            <w:i/>
            <w:iCs/>
          </w:rPr>
          <w:delText>E-</w:delText>
        </w:r>
      </w:del>
      <w:ins w:id="24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del w:id="246" w:author="Bolívar Aponte Rolón" w:date="2024-08-19T15:48:14Z">
        <w:r>
          <w:rPr>
            <w:i/>
            <w:iCs/>
          </w:rPr>
          <w:delText>E+</w:delText>
        </w:r>
      </w:del>
      <w:ins w:id="24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as Shannon diversity increased, but the </w:t>
      </w:r>
      <w:del w:id="248" w:author="Bolívar Aponte Rolón" w:date="2024-08-19T15:47:42Z">
        <w:r>
          <w:rPr>
            <w:i/>
            <w:iCs/>
          </w:rPr>
          <w:delText>E-</w:delText>
        </w:r>
      </w:del>
      <w:ins w:id="24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5"/>
    </w:p>
    <w:p>
      <w:pPr>
        <w:pStyle w:val="Heading1"/>
        <w:rPr/>
      </w:pPr>
      <w:r>
        <w:rPr/>
        <w:t>7. Conclusion</w:t>
      </w:r>
    </w:p>
    <w:p>
      <w:pPr>
        <w:pStyle w:val="FirstParagraph"/>
        <w:rPr/>
      </w:pPr>
      <w:bookmarkStart w:id="16"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6"/>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FirstParagraph"/>
        <w:rPr/>
      </w:pPr>
      <w:bookmarkStart w:id="17"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7"/>
    </w:p>
    <w:p>
      <w:pPr>
        <w:pStyle w:val="Heading1"/>
        <w:rPr/>
      </w:pPr>
      <w:r>
        <w:rPr/>
        <w:t>10. Conflict of Interest Statement</w:t>
      </w:r>
    </w:p>
    <w:p>
      <w:pPr>
        <w:pStyle w:val="FirstParagraph"/>
        <w:rPr/>
      </w:pPr>
      <w:bookmarkStart w:id="18" w:name="conflict-of-interest-statement"/>
      <w:r>
        <w:rPr/>
        <w:t>The authors declare no competing interests.</w:t>
      </w:r>
      <w:bookmarkEnd w:id="18"/>
    </w:p>
    <w:p>
      <w:pPr>
        <w:pStyle w:val="Heading1"/>
        <w:rPr/>
      </w:pPr>
      <w:bookmarkStart w:id="19" w:name="data-availability-statement"/>
      <w:r>
        <w:rPr/>
        <w:t>11. Data Availability Statement</w:t>
      </w:r>
      <w:bookmarkEnd w:id="19"/>
    </w:p>
    <w:p>
      <w:pPr>
        <w:pStyle w:val="BodyText"/>
        <w:rPr/>
      </w:pPr>
      <w:r>
        <w:rPr/>
        <w:t>The genomic data that support the findings of this study will be submited to NCBI-GenBank upon acceptance of this manuscript. The manuscript and code for reproducibility is available from corresponding author's GitHub.</w:t>
      </w:r>
    </w:p>
    <w:p>
      <w:pPr>
        <w:pStyle w:val="Heading1"/>
        <w:rPr/>
      </w:pPr>
      <w:bookmarkStart w:id="20" w:name="references"/>
      <w:r>
        <w:rPr/>
        <w:t>12. References</w:t>
      </w:r>
    </w:p>
    <w:p>
      <w:pPr>
        <w:pStyle w:val="Bibliography"/>
        <w:rPr/>
      </w:pPr>
      <w:bookmarkStart w:id="21" w:name="refs"/>
      <w:bookmarkStart w:id="22"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2"/>
    </w:p>
    <w:p>
      <w:pPr>
        <w:pStyle w:val="Bibliography"/>
        <w:rPr/>
      </w:pPr>
      <w:bookmarkStart w:id="23" w:name="ref-anderson2017"/>
      <w:r>
        <w:rPr/>
        <w:t xml:space="preserve">Anderson, M. J. (2017). Permutational Multivariate Analysis of Variance ( PERMANOVA ). In </w:t>
      </w:r>
      <w:r>
        <w:rPr>
          <w:i/>
          <w:iCs/>
        </w:rPr>
        <w:t>Wiley StatsRef: Statistics Reference Online</w:t>
      </w:r>
      <w:r>
        <w:rPr/>
        <w:t xml:space="preserve"> (pp. 1–15). Wiley. </w:t>
      </w:r>
      <w:hyperlink r:id="rId3">
        <w:r>
          <w:rPr>
            <w:rStyle w:val="Hyperlink"/>
          </w:rPr>
          <w:t>https://doi.org/10.1002/9781118445112.stat07841</w:t>
        </w:r>
      </w:hyperlink>
      <w:bookmarkEnd w:id="23"/>
    </w:p>
    <w:p>
      <w:pPr>
        <w:pStyle w:val="Bibliography"/>
        <w:rPr/>
      </w:pPr>
      <w:bookmarkStart w:id="24"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4"/>
    </w:p>
    <w:p>
      <w:pPr>
        <w:pStyle w:val="Bibliography"/>
        <w:rPr/>
      </w:pPr>
      <w:bookmarkStart w:id="25"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5"/>
    </w:p>
    <w:p>
      <w:pPr>
        <w:pStyle w:val="Bibliography"/>
        <w:rPr/>
      </w:pPr>
      <w:bookmarkStart w:id="26"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6"/>
    </w:p>
    <w:p>
      <w:pPr>
        <w:pStyle w:val="Bibliography"/>
        <w:rPr/>
      </w:pPr>
      <w:bookmarkStart w:id="27"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7"/>
    </w:p>
    <w:p>
      <w:pPr>
        <w:pStyle w:val="Bibliography"/>
        <w:rPr/>
      </w:pPr>
      <w:bookmarkStart w:id="28"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8"/>
    </w:p>
    <w:p>
      <w:pPr>
        <w:pStyle w:val="Bibliography"/>
        <w:rPr/>
      </w:pPr>
      <w:bookmarkStart w:id="29"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29"/>
    </w:p>
    <w:p>
      <w:pPr>
        <w:pStyle w:val="Bibliography"/>
        <w:rPr/>
      </w:pPr>
      <w:bookmarkStart w:id="30"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0"/>
    </w:p>
    <w:p>
      <w:pPr>
        <w:pStyle w:val="Bibliography"/>
        <w:rPr/>
      </w:pPr>
      <w:bookmarkStart w:id="31"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0">
        <w:r>
          <w:rPr>
            <w:rStyle w:val="Hyperlink"/>
          </w:rPr>
          <w:t>https://doi.org/10.1890/07-0986.1</w:t>
        </w:r>
      </w:hyperlink>
      <w:bookmarkEnd w:id="31"/>
    </w:p>
    <w:p>
      <w:pPr>
        <w:pStyle w:val="Bibliography"/>
        <w:rPr/>
      </w:pPr>
      <w:bookmarkStart w:id="32"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2"/>
    </w:p>
    <w:p>
      <w:pPr>
        <w:pStyle w:val="Bibliography"/>
        <w:rPr/>
      </w:pPr>
      <w:bookmarkStart w:id="33"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3"/>
    </w:p>
    <w:p>
      <w:pPr>
        <w:pStyle w:val="Bibliography"/>
        <w:rPr/>
      </w:pPr>
      <w:bookmarkStart w:id="34"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4"/>
    </w:p>
    <w:p>
      <w:pPr>
        <w:pStyle w:val="Bibliography"/>
        <w:rPr/>
      </w:pPr>
      <w:bookmarkStart w:id="35"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5"/>
    </w:p>
    <w:p>
      <w:pPr>
        <w:pStyle w:val="Bibliography"/>
        <w:rPr/>
      </w:pPr>
      <w:bookmarkStart w:id="36"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6"/>
    </w:p>
    <w:p>
      <w:pPr>
        <w:pStyle w:val="Bibliography"/>
        <w:rPr/>
      </w:pPr>
      <w:bookmarkStart w:id="37"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7"/>
    </w:p>
    <w:p>
      <w:pPr>
        <w:pStyle w:val="Bibliography"/>
        <w:rPr>
          <w:ins w:id="260" w:author="Bolívar Aponte Rolón" w:date="2024-08-19T16:13:09Z"/>
        </w:rPr>
      </w:pPr>
      <w:ins w:id="250" w:author="Bolívar Aponte Rolón" w:date="2024-08-19T16:13:09Z">
        <w:bookmarkStart w:id="38" w:name="ref-crous2006"/>
        <w:r>
          <w:rPr/>
          <w:t xml:space="preserve">Crous, P. W., Groenewald, J. Z., Risède, J.-M., Simoneau, P., &amp; Hyde, K. D. (2006). </w:t>
        </w:r>
      </w:ins>
      <w:ins w:id="251" w:author="Bolívar Aponte Rolón" w:date="2024-08-19T16:13:09Z">
        <w:r>
          <w:rPr>
            <w:i/>
            <w:iCs/>
          </w:rPr>
          <w:t>Calonectria</w:t>
        </w:r>
      </w:ins>
      <w:ins w:id="252" w:author="Bolívar Aponte Rolón" w:date="2024-08-19T16:13:09Z">
        <w:r>
          <w:rPr/>
          <w:t xml:space="preserve"> species and their </w:t>
        </w:r>
      </w:ins>
      <w:ins w:id="253" w:author="Bolívar Aponte Rolón" w:date="2024-08-19T16:13:09Z">
        <w:r>
          <w:rPr>
            <w:i/>
            <w:iCs/>
          </w:rPr>
          <w:t>Cylindrocladium</w:t>
        </w:r>
      </w:ins>
      <w:ins w:id="254" w:author="Bolívar Aponte Rolón" w:date="2024-08-19T16:13:09Z">
        <w:r>
          <w:rPr/>
          <w:t xml:space="preserve"> anamorphs: species with clavate vesicles. </w:t>
        </w:r>
      </w:ins>
      <w:ins w:id="255" w:author="Bolívar Aponte Rolón" w:date="2024-08-19T16:13:09Z">
        <w:r>
          <w:rPr>
            <w:i/>
            <w:iCs/>
          </w:rPr>
          <w:t>Studies in Mycology</w:t>
        </w:r>
      </w:ins>
      <w:ins w:id="256" w:author="Bolívar Aponte Rolón" w:date="2024-08-19T16:13:09Z">
        <w:r>
          <w:rPr/>
          <w:t xml:space="preserve">, </w:t>
        </w:r>
      </w:ins>
      <w:ins w:id="257" w:author="Bolívar Aponte Rolón" w:date="2024-08-19T16:13:09Z">
        <w:r>
          <w:rPr>
            <w:i/>
            <w:iCs/>
          </w:rPr>
          <w:t>55</w:t>
        </w:r>
      </w:ins>
      <w:ins w:id="258" w:author="Bolívar Aponte Rolón" w:date="2024-08-19T16:13:09Z">
        <w:r>
          <w:rPr/>
          <w:t xml:space="preserve">, 213–226. </w:t>
        </w:r>
      </w:ins>
      <w:hyperlink r:id="rId17">
        <w:ins w:id="259" w:author="Bolívar Aponte Rolón" w:date="2024-08-19T16:13:09Z">
          <w:r>
            <w:rPr>
              <w:rStyle w:val="Hyperlink"/>
            </w:rPr>
            <w:t>https://doi.org/10.3114/sim.55.1.213</w:t>
          </w:r>
        </w:ins>
      </w:hyperlink>
      <w:bookmarkEnd w:id="38"/>
    </w:p>
    <w:p>
      <w:pPr>
        <w:pStyle w:val="Bibliography"/>
        <w:rPr/>
      </w:pPr>
      <w:bookmarkStart w:id="39"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39"/>
    </w:p>
    <w:p>
      <w:pPr>
        <w:pStyle w:val="Bibliography"/>
        <w:rPr/>
      </w:pPr>
      <w:bookmarkStart w:id="40"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0"/>
    </w:p>
    <w:p>
      <w:pPr>
        <w:pStyle w:val="Bibliography"/>
        <w:rPr/>
      </w:pPr>
      <w:bookmarkStart w:id="41"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1"/>
    </w:p>
    <w:p>
      <w:pPr>
        <w:pStyle w:val="Bibliography"/>
        <w:rPr/>
      </w:pPr>
      <w:bookmarkStart w:id="42"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2"/>
    </w:p>
    <w:p>
      <w:pPr>
        <w:pStyle w:val="Bibliography"/>
        <w:rPr/>
      </w:pPr>
      <w:bookmarkStart w:id="43"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3"/>
    </w:p>
    <w:p>
      <w:pPr>
        <w:pStyle w:val="Bibliography"/>
        <w:rPr/>
      </w:pPr>
      <w:bookmarkStart w:id="44"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4"/>
    </w:p>
    <w:p>
      <w:pPr>
        <w:pStyle w:val="Bibliography"/>
        <w:rPr/>
      </w:pPr>
      <w:bookmarkStart w:id="45"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5"/>
    </w:p>
    <w:p>
      <w:pPr>
        <w:pStyle w:val="Bibliography"/>
        <w:rPr/>
      </w:pPr>
      <w:bookmarkStart w:id="46"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6"/>
    </w:p>
    <w:p>
      <w:pPr>
        <w:pStyle w:val="Bibliography"/>
        <w:rPr/>
      </w:pPr>
      <w:bookmarkStart w:id="47"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47"/>
    </w:p>
    <w:p>
      <w:pPr>
        <w:pStyle w:val="Bibliography"/>
        <w:rPr/>
      </w:pPr>
      <w:bookmarkStart w:id="48"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48"/>
    </w:p>
    <w:p>
      <w:pPr>
        <w:pStyle w:val="Bibliography"/>
        <w:rPr/>
      </w:pPr>
      <w:bookmarkStart w:id="49"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49"/>
    </w:p>
    <w:p>
      <w:pPr>
        <w:pStyle w:val="Bibliography"/>
        <w:rPr/>
      </w:pPr>
      <w:bookmarkStart w:id="50"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50"/>
    </w:p>
    <w:p>
      <w:pPr>
        <w:pStyle w:val="Bibliography"/>
        <w:rPr/>
      </w:pPr>
      <w:bookmarkStart w:id="51"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0">
        <w:r>
          <w:rPr>
            <w:rStyle w:val="Hyperlink"/>
          </w:rPr>
          <w:t>https://doi.org/10.1086/651300</w:t>
        </w:r>
      </w:hyperlink>
      <w:bookmarkEnd w:id="51"/>
    </w:p>
    <w:p>
      <w:pPr>
        <w:pStyle w:val="Bibliography"/>
        <w:rPr/>
      </w:pPr>
      <w:bookmarkStart w:id="52"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52"/>
    </w:p>
    <w:p>
      <w:pPr>
        <w:pStyle w:val="Bibliography"/>
        <w:rPr/>
      </w:pPr>
      <w:bookmarkStart w:id="53"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53"/>
    </w:p>
    <w:p>
      <w:pPr>
        <w:pStyle w:val="Bibliography"/>
        <w:rPr/>
      </w:pPr>
      <w:bookmarkStart w:id="54"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54"/>
    </w:p>
    <w:p>
      <w:pPr>
        <w:pStyle w:val="Bibliography"/>
        <w:rPr/>
      </w:pPr>
      <w:bookmarkStart w:id="55"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55"/>
    </w:p>
    <w:p>
      <w:pPr>
        <w:pStyle w:val="Bibliography"/>
        <w:rPr/>
      </w:pPr>
      <w:bookmarkStart w:id="56"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56"/>
    </w:p>
    <w:p>
      <w:pPr>
        <w:pStyle w:val="Bibliography"/>
        <w:rPr/>
      </w:pPr>
      <w:bookmarkStart w:id="57"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57"/>
    </w:p>
    <w:p>
      <w:pPr>
        <w:pStyle w:val="Bibliography"/>
        <w:rPr/>
      </w:pPr>
      <w:bookmarkStart w:id="58" w:name="ref-legendre2012"/>
      <w:r>
        <w:rPr/>
        <w:t xml:space="preserve">Legendre, P., &amp; Legendre, L. (2012). </w:t>
      </w:r>
      <w:r>
        <w:rPr>
          <w:i/>
          <w:iCs/>
        </w:rPr>
        <w:t>Numerical ecology</w:t>
      </w:r>
      <w:r>
        <w:rPr/>
        <w:t xml:space="preserve"> (3d English edition). Elsevier.</w:t>
      </w:r>
      <w:bookmarkEnd w:id="58"/>
    </w:p>
    <w:p>
      <w:pPr>
        <w:pStyle w:val="Bibliography"/>
        <w:rPr/>
      </w:pPr>
      <w:bookmarkStart w:id="59"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59"/>
    </w:p>
    <w:p>
      <w:pPr>
        <w:pStyle w:val="Bibliography"/>
        <w:rPr>
          <w:ins w:id="261" w:author="Bolívar Aponte Rolón" w:date="2024-08-19T16:12:38Z"/>
        </w:rPr>
      </w:pPr>
      <w:bookmarkStart w:id="60"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0"/>
    </w:p>
    <w:p>
      <w:pPr>
        <w:pStyle w:val="Bibliography"/>
        <w:rPr/>
      </w:pPr>
      <w:ins w:id="262" w:author="Bolívar Aponte Rolón" w:date="2024-08-19T16:12:38Z">
        <w:bookmarkStart w:id="61" w:name="ref-li2022"/>
        <w:r>
          <w:rPr/>
          <w:t xml:space="preserve">Li, J., Wingfield, M. J., Barnes, I., &amp; Chen, S. (2022). </w:t>
        </w:r>
      </w:ins>
      <w:ins w:id="263" w:author="Bolívar Aponte Rolón" w:date="2024-08-19T16:12:38Z">
        <w:r>
          <w:rPr>
            <w:i/>
            <w:iCs/>
          </w:rPr>
          <w:t>Calonectria</w:t>
        </w:r>
      </w:ins>
      <w:ins w:id="264" w:author="Bolívar Aponte Rolón" w:date="2024-08-19T16:12:38Z">
        <w:r>
          <w:rPr/>
          <w:t xml:space="preserve"> in the age of genes and genomes: Towards understanding an important but relatively unknown group of pathogens. </w:t>
        </w:r>
      </w:ins>
      <w:ins w:id="265" w:author="Bolívar Aponte Rolón" w:date="2024-08-19T16:12:38Z">
        <w:r>
          <w:rPr>
            <w:i/>
            <w:iCs/>
          </w:rPr>
          <w:t>Molecular Plant Pathology</w:t>
        </w:r>
      </w:ins>
      <w:ins w:id="266" w:author="Bolívar Aponte Rolón" w:date="2024-08-19T16:12:38Z">
        <w:r>
          <w:rPr/>
          <w:t xml:space="preserve">, </w:t>
        </w:r>
      </w:ins>
      <w:ins w:id="267" w:author="Bolívar Aponte Rolón" w:date="2024-08-19T16:12:38Z">
        <w:r>
          <w:rPr>
            <w:i/>
            <w:iCs/>
          </w:rPr>
          <w:t>23</w:t>
        </w:r>
      </w:ins>
      <w:ins w:id="268" w:author="Bolívar Aponte Rolón" w:date="2024-08-19T16:12:38Z">
        <w:r>
          <w:rPr/>
          <w:t xml:space="preserve">(7), 1060–1072. </w:t>
        </w:r>
      </w:ins>
      <w:hyperlink r:id="rId38">
        <w:ins w:id="269" w:author="Bolívar Aponte Rolón" w:date="2024-08-19T16:12:38Z">
          <w:r>
            <w:rPr>
              <w:rStyle w:val="Hyperlink"/>
            </w:rPr>
            <w:t>https://doi.org/10.1111/mpp.13209</w:t>
          </w:r>
        </w:ins>
      </w:hyperlink>
      <w:bookmarkEnd w:id="61"/>
    </w:p>
    <w:p>
      <w:pPr>
        <w:pStyle w:val="Bibliography"/>
        <w:rPr>
          <w:ins w:id="276" w:author="Bolívar Aponte Rolón" w:date="2024-09-03T11:56:43Z"/>
        </w:rPr>
      </w:pPr>
      <w:ins w:id="270" w:author="Bolívar Aponte Rolón" w:date="2024-09-03T11:56:43Z">
        <w:bookmarkStart w:id="62" w:name="ref-lombard2010"/>
        <w:r>
          <w:rPr/>
          <w:t xml:space="preserve">Lombard, L., Crous, P. W., Wingfield, B. D., &amp; Wingfield, M. J. (2010). Species concepts in Calonectria (Cylindrocladium). </w:t>
        </w:r>
      </w:ins>
      <w:ins w:id="271" w:author="Bolívar Aponte Rolón" w:date="2024-09-03T11:56:43Z">
        <w:r>
          <w:rPr>
            <w:i/>
            <w:iCs/>
          </w:rPr>
          <w:t>Studies in Mycology</w:t>
        </w:r>
      </w:ins>
      <w:ins w:id="272" w:author="Bolívar Aponte Rolón" w:date="2024-09-03T11:56:43Z">
        <w:r>
          <w:rPr/>
          <w:t xml:space="preserve">, </w:t>
        </w:r>
      </w:ins>
      <w:ins w:id="273" w:author="Bolívar Aponte Rolón" w:date="2024-09-03T11:56:43Z">
        <w:r>
          <w:rPr>
            <w:i/>
            <w:iCs/>
          </w:rPr>
          <w:t>66</w:t>
        </w:r>
      </w:ins>
      <w:ins w:id="274" w:author="Bolívar Aponte Rolón" w:date="2024-09-03T11:56:43Z">
        <w:r>
          <w:rPr/>
          <w:t xml:space="preserve">, 1–13. </w:t>
        </w:r>
      </w:ins>
      <w:hyperlink r:id="rId39">
        <w:ins w:id="275" w:author="Bolívar Aponte Rolón" w:date="2024-09-03T11:56:43Z">
          <w:r>
            <w:rPr>
              <w:rStyle w:val="Hyperlink"/>
            </w:rPr>
            <w:t>https://doi.org/10.3114/sim.2010.66.01</w:t>
          </w:r>
        </w:ins>
      </w:hyperlink>
      <w:bookmarkEnd w:id="62"/>
    </w:p>
    <w:p>
      <w:pPr>
        <w:pStyle w:val="Bibliography"/>
        <w:rPr/>
      </w:pPr>
      <w:bookmarkStart w:id="63"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0">
        <w:r>
          <w:rPr>
            <w:rStyle w:val="Hyperlink"/>
          </w:rPr>
          <w:t>https://doi.org/10.1007/s00442-014-3177-2</w:t>
        </w:r>
      </w:hyperlink>
      <w:bookmarkEnd w:id="63"/>
    </w:p>
    <w:p>
      <w:pPr>
        <w:pStyle w:val="Bibliography"/>
        <w:rPr/>
      </w:pPr>
      <w:bookmarkStart w:id="64" w:name="ref-mcardle2001"/>
      <w:r>
        <w:rPr/>
        <w:t>McArdle, B. H., &amp; Anderson, M. J. (2001). Fi</w:t>
      </w:r>
      <w:r>
        <w:rPr>
          <w:rFonts w:eastAsia="Cambria" w:cs="" w:cstheme="minorBidi" w:eastAsiaTheme="minorHAnsi"/>
          <w:color w:val="auto"/>
          <w:kern w:val="0"/>
          <w:sz w:val="24"/>
          <w:szCs w:val="24"/>
          <w:lang w:val="en-US" w:eastAsia="en-US" w:bidi="ar-SA"/>
        </w:rPr>
        <w:t>tting</w:t>
      </w:r>
      <w:r>
        <w:rPr/>
        <w:t xml:space="preserve"> </w:t>
      </w:r>
      <w:r>
        <w:rPr>
          <w:rFonts w:eastAsia="Cambria" w:cs="" w:cstheme="minorBidi" w:eastAsiaTheme="minorHAnsi"/>
          <w:color w:val="auto"/>
          <w:kern w:val="0"/>
          <w:sz w:val="24"/>
          <w:szCs w:val="24"/>
          <w:lang w:val="en-US" w:eastAsia="en-US" w:bidi="ar-SA"/>
        </w:rPr>
        <w:t>Multivariate</w:t>
      </w:r>
      <w:r>
        <w:rPr/>
        <w:t xml:space="preserve"> </w:t>
      </w:r>
      <w:r>
        <w:rPr>
          <w:rFonts w:eastAsia="Cambria" w:cs="" w:cstheme="minorBidi" w:eastAsiaTheme="minorHAnsi"/>
          <w:color w:val="auto"/>
          <w:kern w:val="0"/>
          <w:sz w:val="24"/>
          <w:szCs w:val="24"/>
          <w:lang w:val="en-US" w:eastAsia="en-US" w:bidi="ar-SA"/>
        </w:rPr>
        <w:t>Models</w:t>
      </w:r>
      <w:r>
        <w:rPr/>
        <w:t xml:space="preserve"> </w:t>
      </w:r>
      <w:r>
        <w:rPr>
          <w:rFonts w:eastAsia="Cambria" w:cs="" w:cstheme="minorBidi" w:eastAsiaTheme="minorHAnsi"/>
          <w:color w:val="auto"/>
          <w:kern w:val="0"/>
          <w:sz w:val="24"/>
          <w:szCs w:val="24"/>
          <w:lang w:val="en-US" w:eastAsia="en-US" w:bidi="ar-SA"/>
        </w:rPr>
        <w:t>To</w:t>
      </w:r>
      <w:r>
        <w:rPr/>
        <w:t xml:space="preserve"> </w:t>
      </w:r>
      <w:r>
        <w:rPr>
          <w:rFonts w:eastAsia="Cambria" w:cs="" w:cstheme="minorBidi" w:eastAsiaTheme="minorHAnsi"/>
          <w:color w:val="auto"/>
          <w:kern w:val="0"/>
          <w:sz w:val="24"/>
          <w:szCs w:val="24"/>
          <w:lang w:val="en-US" w:eastAsia="en-US" w:bidi="ar-SA"/>
        </w:rPr>
        <w:t>Community</w:t>
      </w:r>
      <w:r>
        <w:rPr/>
        <w:t xml:space="preserve"> </w:t>
      </w:r>
      <w:r>
        <w:rPr>
          <w:rFonts w:eastAsia="Cambria" w:cs="" w:cstheme="minorBidi" w:eastAsiaTheme="minorHAnsi"/>
          <w:color w:val="auto"/>
          <w:kern w:val="0"/>
          <w:sz w:val="24"/>
          <w:szCs w:val="24"/>
          <w:lang w:val="en-US" w:eastAsia="en-US" w:bidi="ar-SA"/>
        </w:rPr>
        <w:t>Data</w:t>
      </w:r>
      <w:r>
        <w:rPr/>
        <w:t xml:space="preserve">: A </w:t>
      </w:r>
      <w:r>
        <w:rPr>
          <w:rFonts w:eastAsia="Cambria" w:cs="" w:cstheme="minorBidi" w:eastAsiaTheme="minorHAnsi"/>
          <w:color w:val="auto"/>
          <w:kern w:val="0"/>
          <w:sz w:val="24"/>
          <w:szCs w:val="24"/>
          <w:lang w:val="en-US" w:eastAsia="en-US" w:bidi="ar-SA"/>
        </w:rPr>
        <w:t>Comment</w:t>
      </w:r>
      <w:r>
        <w:rPr/>
        <w:t xml:space="preserve"> </w:t>
      </w:r>
      <w:r>
        <w:rPr>
          <w:rFonts w:eastAsia="Cambria" w:cs="" w:cstheme="minorBidi" w:eastAsiaTheme="minorHAnsi"/>
          <w:color w:val="auto"/>
          <w:kern w:val="0"/>
          <w:sz w:val="24"/>
          <w:szCs w:val="24"/>
          <w:lang w:val="en-US" w:eastAsia="en-US" w:bidi="ar-SA"/>
        </w:rPr>
        <w:t>On</w:t>
      </w:r>
      <w:r>
        <w:rPr/>
        <w:t xml:space="preserve"> </w:t>
      </w:r>
      <w:r>
        <w:rPr>
          <w:rFonts w:eastAsia="Cambria" w:cs="" w:cstheme="minorBidi" w:eastAsiaTheme="minorHAnsi"/>
          <w:color w:val="auto"/>
          <w:kern w:val="0"/>
          <w:sz w:val="24"/>
          <w:szCs w:val="24"/>
          <w:lang w:val="en-US" w:eastAsia="en-US" w:bidi="ar-SA"/>
        </w:rPr>
        <w:t>Distance</w:t>
      </w:r>
      <w:r>
        <w:rPr/>
        <w:t>-</w:t>
      </w:r>
      <w:r>
        <w:rPr>
          <w:rFonts w:eastAsia="Cambria" w:cs="" w:cstheme="minorBidi" w:eastAsiaTheme="minorHAnsi"/>
          <w:color w:val="auto"/>
          <w:kern w:val="0"/>
          <w:sz w:val="24"/>
          <w:szCs w:val="24"/>
          <w:lang w:val="en-US" w:eastAsia="en-US" w:bidi="ar-SA"/>
        </w:rPr>
        <w:t>Based</w:t>
      </w:r>
      <w:r>
        <w:rPr/>
        <w:t xml:space="preserve"> </w:t>
      </w:r>
      <w:r>
        <w:rPr>
          <w:rFonts w:eastAsia="Cambria" w:cs="" w:cstheme="minorBidi" w:eastAsiaTheme="minorHAnsi"/>
          <w:color w:val="auto"/>
          <w:kern w:val="0"/>
          <w:sz w:val="24"/>
          <w:szCs w:val="24"/>
          <w:lang w:val="en-US" w:eastAsia="en-US" w:bidi="ar-SA"/>
        </w:rPr>
        <w:t>Redundancy</w:t>
      </w:r>
      <w:r>
        <w:rPr/>
        <w:t xml:space="preserve"> </w:t>
      </w:r>
      <w:r>
        <w:rPr>
          <w:rFonts w:eastAsia="Cambria" w:cs="" w:cstheme="minorBidi" w:eastAsiaTheme="minorHAnsi"/>
          <w:color w:val="auto"/>
          <w:kern w:val="0"/>
          <w:sz w:val="24"/>
          <w:szCs w:val="24"/>
          <w:lang w:val="en-US" w:eastAsia="en-US" w:bidi="ar-SA"/>
        </w:rPr>
        <w:t>Analysis</w:t>
      </w:r>
      <w:r>
        <w:rPr/>
        <w:t xml:space="preserve">. </w:t>
      </w:r>
      <w:r>
        <w:rPr>
          <w:i/>
          <w:iCs/>
        </w:rPr>
        <w:t>Ecology</w:t>
      </w:r>
      <w:r>
        <w:rPr/>
        <w:t xml:space="preserve">, </w:t>
      </w:r>
      <w:r>
        <w:rPr>
          <w:i/>
          <w:iCs/>
        </w:rPr>
        <w:t>82</w:t>
      </w:r>
      <w:r>
        <w:rPr/>
        <w:t xml:space="preserve">(1), 290–297. </w:t>
      </w:r>
      <w:hyperlink r:id="rId41">
        <w:r>
          <w:rPr>
            <w:rStyle w:val="Hyperlink"/>
          </w:rPr>
          <w:t>https://doi.org/10.1890/0012-9658(2001)082[0290:FMMTCD]2.0.CO;2</w:t>
        </w:r>
      </w:hyperlink>
      <w:bookmarkEnd w:id="64"/>
    </w:p>
    <w:p>
      <w:pPr>
        <w:pStyle w:val="Bibliography"/>
        <w:rPr/>
      </w:pPr>
      <w:bookmarkStart w:id="65" w:name="ref-mcgill2006"/>
      <w:r>
        <w:rPr/>
        <w:t xml:space="preserve">McGill, B. J., Enquist, B. J., Weiher, E., &amp; Westoby, M. (2006). Rebuilding community ecology from functional traits. </w:t>
      </w:r>
      <w:r>
        <w:rPr>
          <w:i/>
          <w:iCs/>
        </w:rPr>
        <w:t>Trends in Ecology and Evolution</w:t>
      </w:r>
      <w:r>
        <w:rPr/>
        <w:t xml:space="preserve">. </w:t>
      </w:r>
      <w:hyperlink r:id="rId42">
        <w:r>
          <w:rPr>
            <w:rStyle w:val="Hyperlink"/>
          </w:rPr>
          <w:t>https://doi.org/10.1016/j.tree.2006.02.002</w:t>
        </w:r>
      </w:hyperlink>
      <w:bookmarkEnd w:id="65"/>
    </w:p>
    <w:p>
      <w:pPr>
        <w:pStyle w:val="Bibliography"/>
        <w:rPr/>
      </w:pPr>
      <w:bookmarkStart w:id="66"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3">
        <w:r>
          <w:rPr>
            <w:rStyle w:val="Hyperlink"/>
          </w:rPr>
          <w:t>https://doi.org/10.1371/journal.pone.0061217</w:t>
        </w:r>
      </w:hyperlink>
      <w:bookmarkEnd w:id="66"/>
    </w:p>
    <w:p>
      <w:pPr>
        <w:pStyle w:val="Bibliography"/>
        <w:rPr/>
      </w:pPr>
      <w:bookmarkStart w:id="67"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4">
        <w:r>
          <w:rPr>
            <w:rStyle w:val="Hyperlink"/>
          </w:rPr>
          <w:t>https://doi.org/10.3389/fmicb.2014.00479</w:t>
        </w:r>
      </w:hyperlink>
      <w:bookmarkEnd w:id="67"/>
    </w:p>
    <w:p>
      <w:pPr>
        <w:pStyle w:val="Bibliography"/>
        <w:rPr/>
      </w:pPr>
      <w:bookmarkStart w:id="68"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5">
        <w:r>
          <w:rPr>
            <w:rStyle w:val="Hyperlink"/>
          </w:rPr>
          <w:t>https://doi.org/10.1016/j.biocontrol.2008.01.012</w:t>
        </w:r>
      </w:hyperlink>
      <w:bookmarkEnd w:id="68"/>
    </w:p>
    <w:p>
      <w:pPr>
        <w:pStyle w:val="Bibliography"/>
        <w:rPr/>
      </w:pPr>
      <w:bookmarkStart w:id="69"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6">
        <w:r>
          <w:rPr>
            <w:rStyle w:val="Hyperlink"/>
          </w:rPr>
          <w:t>https://doi.org/10.3389/fpls.2023.1169558</w:t>
        </w:r>
      </w:hyperlink>
      <w:bookmarkEnd w:id="69"/>
    </w:p>
    <w:p>
      <w:pPr>
        <w:pStyle w:val="Bibliography"/>
        <w:rPr/>
      </w:pPr>
      <w:bookmarkStart w:id="70"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7">
        <w:r>
          <w:rPr>
            <w:rStyle w:val="Hyperlink"/>
          </w:rPr>
          <w:t>https://doi.org/10.1038/s42003-021-01826-7</w:t>
        </w:r>
      </w:hyperlink>
      <w:bookmarkEnd w:id="70"/>
    </w:p>
    <w:p>
      <w:pPr>
        <w:pStyle w:val="Bibliography"/>
        <w:rPr/>
      </w:pPr>
      <w:bookmarkStart w:id="71"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8">
        <w:r>
          <w:rPr>
            <w:rStyle w:val="Hyperlink"/>
          </w:rPr>
          <w:t>https://github.com/vegandevs/vegan</w:t>
        </w:r>
      </w:hyperlink>
      <w:bookmarkEnd w:id="71"/>
    </w:p>
    <w:p>
      <w:pPr>
        <w:pStyle w:val="Bibliography"/>
        <w:rPr/>
      </w:pPr>
      <w:bookmarkStart w:id="72" w:name="ref-pinheiro2000"/>
      <w:r>
        <w:rPr/>
        <w:t xml:space="preserve">Pinheiro, J. C., &amp; Bates, D. M. (2000). </w:t>
      </w:r>
      <w:r>
        <w:rPr>
          <w:i/>
          <w:iCs/>
        </w:rPr>
        <w:t>Mixed-Effects Models in S and S-PLUS</w:t>
      </w:r>
      <w:r>
        <w:rPr/>
        <w:t xml:space="preserve">. Springer. </w:t>
      </w:r>
      <w:hyperlink r:id="rId49">
        <w:r>
          <w:rPr>
            <w:rStyle w:val="Hyperlink"/>
          </w:rPr>
          <w:t>https://doi.org/10.1007/b98882</w:t>
        </w:r>
      </w:hyperlink>
      <w:bookmarkEnd w:id="72"/>
    </w:p>
    <w:p>
      <w:pPr>
        <w:pStyle w:val="Bibliography"/>
        <w:rPr/>
      </w:pPr>
      <w:bookmarkStart w:id="73" w:name="ref-pinheiro2023"/>
      <w:r>
        <w:rPr/>
        <w:t xml:space="preserve">Pinheiro, J., Bates, D., &amp; R Core Team. (2023). </w:t>
      </w:r>
      <w:r>
        <w:rPr>
          <w:i/>
          <w:iCs/>
        </w:rPr>
        <w:t>Nlme: Linear and nonlinear mixed effects models</w:t>
      </w:r>
      <w:r>
        <w:rPr/>
        <w:t xml:space="preserve"> [Manual]. </w:t>
      </w:r>
      <w:hyperlink r:id="rId50">
        <w:r>
          <w:rPr>
            <w:rStyle w:val="Hyperlink"/>
          </w:rPr>
          <w:t>https://CRAN.R-project.org/package=nlme</w:t>
        </w:r>
      </w:hyperlink>
      <w:bookmarkEnd w:id="73"/>
    </w:p>
    <w:p>
      <w:pPr>
        <w:pStyle w:val="Bibliography"/>
        <w:rPr/>
      </w:pPr>
      <w:bookmarkStart w:id="74" w:name="ref-poorter2006"/>
      <w:r>
        <w:rPr/>
        <w:t xml:space="preserve">Poorter, L., &amp; Bongers, F. (2006). </w:t>
      </w:r>
      <w:r>
        <w:rPr>
          <w:rFonts w:eastAsia="Cambria" w:cs="" w:cstheme="minorBidi" w:eastAsiaTheme="minorHAnsi"/>
          <w:color w:val="auto"/>
          <w:kern w:val="0"/>
          <w:sz w:val="24"/>
          <w:szCs w:val="24"/>
          <w:lang w:val="en-US" w:eastAsia="en-US" w:bidi="ar-SA"/>
        </w:rPr>
        <w:t>Leaf</w:t>
      </w:r>
      <w:r>
        <w:rPr/>
        <w:t xml:space="preserve"> </w:t>
      </w:r>
      <w:r>
        <w:rPr>
          <w:rFonts w:eastAsia="Cambria" w:cs="" w:cstheme="minorBidi" w:eastAsiaTheme="minorHAnsi"/>
          <w:color w:val="auto"/>
          <w:kern w:val="0"/>
          <w:sz w:val="24"/>
          <w:szCs w:val="24"/>
          <w:lang w:val="en-US" w:eastAsia="en-US" w:bidi="ar-SA"/>
        </w:rPr>
        <w:t>Traits</w:t>
      </w:r>
      <w:r>
        <w:rPr/>
        <w:t xml:space="preserve"> </w:t>
      </w:r>
      <w:r>
        <w:rPr>
          <w:rFonts w:eastAsia="Cambria" w:cs="" w:cstheme="minorBidi" w:eastAsiaTheme="minorHAnsi"/>
          <w:color w:val="auto"/>
          <w:kern w:val="0"/>
          <w:sz w:val="24"/>
          <w:szCs w:val="24"/>
          <w:lang w:val="en-US" w:eastAsia="en-US" w:bidi="ar-SA"/>
        </w:rPr>
        <w:t>Are</w:t>
      </w:r>
      <w:r>
        <w:rPr/>
        <w:t xml:space="preserve"> </w:t>
      </w:r>
      <w:r>
        <w:rPr>
          <w:rFonts w:eastAsia="Cambria" w:cs="" w:cstheme="minorBidi" w:eastAsiaTheme="minorHAnsi"/>
          <w:color w:val="auto"/>
          <w:kern w:val="0"/>
          <w:sz w:val="24"/>
          <w:szCs w:val="24"/>
          <w:lang w:val="en-US" w:eastAsia="en-US" w:bidi="ar-SA"/>
        </w:rPr>
        <w:t>Good</w:t>
      </w:r>
      <w:r>
        <w:rPr/>
        <w:t xml:space="preserve"> </w:t>
      </w:r>
      <w:r>
        <w:rPr>
          <w:rFonts w:eastAsia="Cambria" w:cs="" w:cstheme="minorBidi" w:eastAsiaTheme="minorHAnsi"/>
          <w:color w:val="auto"/>
          <w:kern w:val="0"/>
          <w:sz w:val="24"/>
          <w:szCs w:val="24"/>
          <w:lang w:val="en-US" w:eastAsia="en-US" w:bidi="ar-SA"/>
        </w:rPr>
        <w:t>Predictors</w:t>
      </w:r>
      <w:r>
        <w:rPr/>
        <w:t xml:space="preserve"> </w:t>
      </w:r>
      <w:r>
        <w:rPr>
          <w:rFonts w:eastAsia="Cambria" w:cs="" w:cstheme="minorBidi" w:eastAsiaTheme="minorHAnsi"/>
          <w:color w:val="auto"/>
          <w:kern w:val="0"/>
          <w:sz w:val="24"/>
          <w:szCs w:val="24"/>
          <w:lang w:val="en-US" w:eastAsia="en-US" w:bidi="ar-SA"/>
        </w:rPr>
        <w:t>Of</w:t>
      </w:r>
      <w:r>
        <w:rPr/>
        <w:t xml:space="preserve"> </w:t>
      </w:r>
      <w:r>
        <w:rPr>
          <w:rFonts w:eastAsia="Cambria" w:cs="" w:cstheme="minorBidi" w:eastAsiaTheme="minorHAnsi"/>
          <w:color w:val="auto"/>
          <w:kern w:val="0"/>
          <w:sz w:val="24"/>
          <w:szCs w:val="24"/>
          <w:lang w:val="en-US" w:eastAsia="en-US" w:bidi="ar-SA"/>
        </w:rPr>
        <w:t>Plant</w:t>
      </w:r>
      <w:r>
        <w:rPr/>
        <w:t xml:space="preserve"> </w:t>
      </w:r>
      <w:r>
        <w:rPr>
          <w:rFonts w:eastAsia="Cambria" w:cs="" w:cstheme="minorBidi" w:eastAsiaTheme="minorHAnsi"/>
          <w:color w:val="auto"/>
          <w:kern w:val="0"/>
          <w:sz w:val="24"/>
          <w:szCs w:val="24"/>
          <w:lang w:val="en-US" w:eastAsia="en-US" w:bidi="ar-SA"/>
        </w:rPr>
        <w:t>Performance</w:t>
      </w:r>
      <w:r>
        <w:rPr/>
        <w:t xml:space="preserve"> </w:t>
      </w:r>
      <w:r>
        <w:rPr>
          <w:rFonts w:eastAsia="Cambria" w:cs="" w:cstheme="minorBidi" w:eastAsiaTheme="minorHAnsi"/>
          <w:color w:val="auto"/>
          <w:kern w:val="0"/>
          <w:sz w:val="24"/>
          <w:szCs w:val="24"/>
          <w:lang w:val="en-US" w:eastAsia="en-US" w:bidi="ar-SA"/>
        </w:rPr>
        <w:t>Across</w:t>
      </w:r>
      <w:r>
        <w:rPr/>
        <w:t xml:space="preserve"> 53 </w:t>
      </w:r>
      <w:r>
        <w:rPr>
          <w:rFonts w:eastAsia="Cambria" w:cs="" w:cstheme="minorBidi" w:eastAsiaTheme="minorHAnsi"/>
          <w:color w:val="auto"/>
          <w:kern w:val="0"/>
          <w:sz w:val="24"/>
          <w:szCs w:val="24"/>
          <w:lang w:val="en-US" w:eastAsia="en-US" w:bidi="ar-SA"/>
        </w:rPr>
        <w:t>Rain</w:t>
      </w:r>
      <w:r>
        <w:rPr/>
        <w:t xml:space="preserve"> </w:t>
      </w:r>
      <w:r>
        <w:rPr>
          <w:rFonts w:eastAsia="Cambria" w:cs="" w:cstheme="minorBidi" w:eastAsiaTheme="minorHAnsi"/>
          <w:color w:val="auto"/>
          <w:kern w:val="0"/>
          <w:sz w:val="24"/>
          <w:szCs w:val="24"/>
          <w:lang w:val="en-US" w:eastAsia="en-US" w:bidi="ar-SA"/>
        </w:rPr>
        <w:t>Forest</w:t>
      </w:r>
      <w:r>
        <w:rPr/>
        <w:t xml:space="preserve"> </w:t>
      </w:r>
      <w:r>
        <w:rPr>
          <w:rFonts w:eastAsia="Cambria" w:cs="" w:cstheme="minorBidi" w:eastAsiaTheme="minorHAnsi"/>
          <w:color w:val="auto"/>
          <w:kern w:val="0"/>
          <w:sz w:val="24"/>
          <w:szCs w:val="24"/>
          <w:lang w:val="en-US" w:eastAsia="en-US" w:bidi="ar-SA"/>
        </w:rPr>
        <w:t>Species</w:t>
      </w:r>
      <w:r>
        <w:rPr/>
        <w:t xml:space="preserve">. </w:t>
      </w:r>
      <w:r>
        <w:rPr>
          <w:i/>
          <w:iCs/>
        </w:rPr>
        <w:t>Ecology</w:t>
      </w:r>
      <w:r>
        <w:rPr/>
        <w:t xml:space="preserve">, </w:t>
      </w:r>
      <w:r>
        <w:rPr>
          <w:i/>
          <w:iCs/>
        </w:rPr>
        <w:t>87</w:t>
      </w:r>
      <w:r>
        <w:rPr/>
        <w:t xml:space="preserve">(7), 1733–1743. </w:t>
      </w:r>
      <w:hyperlink r:id="rId51">
        <w:r>
          <w:rPr>
            <w:rStyle w:val="Hyperlink"/>
          </w:rPr>
          <w:t>https://doi.org/10.1890/0012-9658(2006)87[1733:LTAGPO]2.0.CO;2</w:t>
        </w:r>
      </w:hyperlink>
      <w:bookmarkEnd w:id="74"/>
    </w:p>
    <w:p>
      <w:pPr>
        <w:pStyle w:val="Bibliography"/>
        <w:rPr/>
      </w:pPr>
      <w:bookmarkStart w:id="75"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2">
        <w:r>
          <w:rPr>
            <w:rStyle w:val="Hyperlink"/>
          </w:rPr>
          <w:t>https://doi.org/10.1146/annurev-phyto-080508-081831</w:t>
        </w:r>
      </w:hyperlink>
      <w:bookmarkEnd w:id="75"/>
    </w:p>
    <w:p>
      <w:pPr>
        <w:pStyle w:val="Bibliography"/>
        <w:rPr/>
      </w:pPr>
      <w:bookmarkStart w:id="76" w:name="ref-rcoreteam2024"/>
      <w:r>
        <w:rPr/>
        <w:t xml:space="preserve">R Core Team. (2024). </w:t>
      </w:r>
      <w:r>
        <w:rPr>
          <w:i/>
          <w:iCs/>
        </w:rPr>
        <w:t>R: A language and environment for statistical computing</w:t>
      </w:r>
      <w:r>
        <w:rPr/>
        <w:t xml:space="preserve"> [Manual]. R Foundation for Statistical Computing. </w:t>
      </w:r>
      <w:hyperlink r:id="rId53">
        <w:r>
          <w:rPr>
            <w:rStyle w:val="Hyperlink"/>
          </w:rPr>
          <w:t>https://www.R-project.org/</w:t>
        </w:r>
      </w:hyperlink>
      <w:bookmarkEnd w:id="76"/>
    </w:p>
    <w:p>
      <w:pPr>
        <w:pStyle w:val="Bibliography"/>
        <w:rPr/>
      </w:pPr>
      <w:bookmarkStart w:id="77"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4">
        <w:r>
          <w:rPr>
            <w:rStyle w:val="Hyperlink"/>
          </w:rPr>
          <w:t>https://doi.org/10.1098/rsos.160628</w:t>
        </w:r>
      </w:hyperlink>
      <w:bookmarkEnd w:id="77"/>
    </w:p>
    <w:p>
      <w:pPr>
        <w:pStyle w:val="Bibliography"/>
        <w:rPr/>
      </w:pPr>
      <w:bookmarkStart w:id="78"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5">
        <w:r>
          <w:rPr>
            <w:rStyle w:val="Hyperlink"/>
          </w:rPr>
          <w:t>https://doi.org/10.1111/j.1469-8137.2009.02773.x</w:t>
        </w:r>
      </w:hyperlink>
      <w:bookmarkEnd w:id="78"/>
    </w:p>
    <w:p>
      <w:pPr>
        <w:pStyle w:val="Bibliography"/>
        <w:rPr/>
      </w:pPr>
      <w:bookmarkStart w:id="79"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6">
        <w:r>
          <w:rPr>
            <w:rStyle w:val="Hyperlink"/>
          </w:rPr>
          <w:t>https://doi.org/10.7717/peerj.2584</w:t>
        </w:r>
      </w:hyperlink>
      <w:bookmarkEnd w:id="79"/>
    </w:p>
    <w:p>
      <w:pPr>
        <w:pStyle w:val="Bibliography"/>
        <w:rPr>
          <w:ins w:id="285" w:author="Bolívar Aponte Rolón" w:date="2024-08-19T16:13:48Z"/>
        </w:rPr>
      </w:pPr>
      <w:ins w:id="277" w:author="Bolívar Aponte Rolón" w:date="2024-08-19T16:13:48Z">
        <w:bookmarkStart w:id="80" w:name="ref-sanchez-gonzalez2022"/>
        <w:r>
          <w:rPr/>
          <w:t xml:space="preserve">Sanchez-Gonzalez, E. I., Soares, T. D. P. F., Zarpelon, T. G., Zauza, E. A. V., Mafia, R. G., &amp; Ferreira, M. A. (2022). Two new species of </w:t>
        </w:r>
      </w:ins>
      <w:ins w:id="278" w:author="Bolívar Aponte Rolón" w:date="2024-08-19T16:13:48Z">
        <w:r>
          <w:rPr>
            <w:i/>
            <w:iCs/>
          </w:rPr>
          <w:t>Calonectria</w:t>
        </w:r>
      </w:ins>
      <w:ins w:id="279" w:author="Bolívar Aponte Rolón" w:date="2024-08-19T16:13:48Z">
        <w:r>
          <w:rPr/>
          <w:t xml:space="preserve"> (Hypocreales, Nectriaceae) causing Eucalyptus leaf blight in Brazil. </w:t>
        </w:r>
      </w:ins>
      <w:ins w:id="280" w:author="Bolívar Aponte Rolón" w:date="2024-08-19T16:13:48Z">
        <w:r>
          <w:rPr>
            <w:i/>
            <w:iCs/>
          </w:rPr>
          <w:t>MycoKeys</w:t>
        </w:r>
      </w:ins>
      <w:ins w:id="281" w:author="Bolívar Aponte Rolón" w:date="2024-08-19T16:13:48Z">
        <w:r>
          <w:rPr/>
          <w:t xml:space="preserve">, </w:t>
        </w:r>
      </w:ins>
      <w:ins w:id="282" w:author="Bolívar Aponte Rolón" w:date="2024-08-19T16:13:48Z">
        <w:r>
          <w:rPr>
            <w:i/>
            <w:iCs/>
          </w:rPr>
          <w:t>91</w:t>
        </w:r>
      </w:ins>
      <w:ins w:id="283" w:author="Bolívar Aponte Rolón" w:date="2024-08-19T16:13:48Z">
        <w:r>
          <w:rPr/>
          <w:t xml:space="preserve">, 169–197. </w:t>
        </w:r>
      </w:ins>
      <w:hyperlink r:id="rId57">
        <w:ins w:id="284" w:author="Bolívar Aponte Rolón" w:date="2024-08-19T16:13:48Z">
          <w:r>
            <w:rPr>
              <w:rStyle w:val="Hyperlink"/>
            </w:rPr>
            <w:t>https://doi.org/10.3897/mycokeys.91.84896</w:t>
          </w:r>
        </w:ins>
      </w:hyperlink>
      <w:bookmarkEnd w:id="80"/>
    </w:p>
    <w:p>
      <w:pPr>
        <w:pStyle w:val="Bibliography"/>
        <w:rPr/>
      </w:pPr>
      <w:bookmarkStart w:id="81"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8">
        <w:r>
          <w:rPr>
            <w:rStyle w:val="Hyperlink"/>
          </w:rPr>
          <w:t>https://doi.org/10.1073/pnas.1706324114</w:t>
        </w:r>
      </w:hyperlink>
      <w:bookmarkEnd w:id="81"/>
    </w:p>
    <w:p>
      <w:pPr>
        <w:pStyle w:val="Bibliography"/>
        <w:rPr/>
      </w:pPr>
      <w:bookmarkStart w:id="82"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9">
        <w:r>
          <w:rPr>
            <w:rStyle w:val="Hyperlink"/>
          </w:rPr>
          <w:t>https://doi.org/10.1111/j.1752-4571.2010.00141.x</w:t>
        </w:r>
      </w:hyperlink>
      <w:bookmarkEnd w:id="82"/>
    </w:p>
    <w:p>
      <w:pPr>
        <w:pStyle w:val="Bibliography"/>
        <w:rPr/>
      </w:pPr>
      <w:bookmarkStart w:id="83"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0">
        <w:r>
          <w:rPr>
            <w:rStyle w:val="Hyperlink"/>
          </w:rPr>
          <w:t>https://doi.org/10.1038/nmeth.2089</w:t>
        </w:r>
      </w:hyperlink>
      <w:bookmarkEnd w:id="83"/>
    </w:p>
    <w:p>
      <w:pPr>
        <w:pStyle w:val="Bibliography"/>
        <w:rPr/>
      </w:pPr>
      <w:bookmarkStart w:id="84"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1">
        <w:r>
          <w:rPr>
            <w:rStyle w:val="Hyperlink"/>
          </w:rPr>
          <w:t>https://doi.org/10.1086/367580</w:t>
        </w:r>
      </w:hyperlink>
      <w:bookmarkEnd w:id="84"/>
    </w:p>
    <w:p>
      <w:pPr>
        <w:pStyle w:val="Bibliography"/>
        <w:rPr/>
      </w:pPr>
      <w:bookmarkStart w:id="85"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2">
        <w:r>
          <w:rPr>
            <w:rStyle w:val="Hyperlink"/>
          </w:rPr>
          <w:t>https://doi.org/lutzoni</w:t>
        </w:r>
      </w:hyperlink>
      <w:bookmarkEnd w:id="85"/>
    </w:p>
    <w:p>
      <w:pPr>
        <w:pStyle w:val="Bibliography"/>
        <w:rPr/>
      </w:pPr>
      <w:bookmarkStart w:id="86"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3">
        <w:r>
          <w:rPr>
            <w:rStyle w:val="Hyperlink"/>
          </w:rPr>
          <w:t>https://doi.org/10.1111/btp.12303</w:t>
        </w:r>
      </w:hyperlink>
      <w:bookmarkEnd w:id="86"/>
    </w:p>
    <w:p>
      <w:pPr>
        <w:pStyle w:val="Bibliography"/>
        <w:rPr/>
      </w:pPr>
      <w:bookmarkStart w:id="87" w:name="ref-teoh2016"/>
      <w:r>
        <w:rPr/>
        <w:t xml:space="preserve">Teoh, E. S. (2016). Secondary Metabolites of Plants. In E. S. Teoh, </w:t>
      </w:r>
      <w:r>
        <w:rPr>
          <w:i/>
          <w:iCs/>
        </w:rPr>
        <w:t>Medicinal Orchids of Asia</w:t>
      </w:r>
      <w:r>
        <w:rPr/>
        <w:t xml:space="preserve"> (pp. 59–73). Springer International Publishing. </w:t>
      </w:r>
      <w:hyperlink r:id="rId64">
        <w:r>
          <w:rPr>
            <w:rStyle w:val="Hyperlink"/>
          </w:rPr>
          <w:t>https://doi.org/10.1007/978-3-319-24274-3_5</w:t>
        </w:r>
      </w:hyperlink>
      <w:bookmarkEnd w:id="87"/>
    </w:p>
    <w:p>
      <w:pPr>
        <w:pStyle w:val="Bibliography"/>
        <w:rPr/>
      </w:pPr>
      <w:bookmarkStart w:id="88" w:name="ref-uren2017"/>
      <w:r>
        <w:rPr/>
        <w:t xml:space="preserve">U’Ren, J. M., &amp; Arnold, A. E. (2017). 96 well DNA Extraction Protocol for Plant and Lichen Tissue Stored in CTAB. </w:t>
      </w:r>
      <w:r>
        <w:rPr>
          <w:i/>
          <w:iCs/>
        </w:rPr>
        <w:t>Protocols.io</w:t>
      </w:r>
      <w:r>
        <w:rPr/>
        <w:t xml:space="preserve">, 1–5. </w:t>
      </w:r>
      <w:hyperlink r:id="rId65">
        <w:r>
          <w:rPr>
            <w:rStyle w:val="Hyperlink"/>
          </w:rPr>
          <w:t>https://doi.org/dx.doi.org/10.17504/protocols.io.fscbnaw</w:t>
        </w:r>
      </w:hyperlink>
      <w:bookmarkEnd w:id="88"/>
    </w:p>
    <w:p>
      <w:pPr>
        <w:pStyle w:val="Bibliography"/>
        <w:rPr/>
      </w:pPr>
      <w:bookmarkStart w:id="89"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6">
        <w:r>
          <w:rPr>
            <w:rStyle w:val="Hyperlink"/>
          </w:rPr>
          <w:t>https://doi.org/10.1038/s41559-019-0975-2</w:t>
        </w:r>
      </w:hyperlink>
      <w:bookmarkEnd w:id="89"/>
    </w:p>
    <w:p>
      <w:pPr>
        <w:pStyle w:val="Bibliography"/>
        <w:rPr/>
      </w:pPr>
      <w:bookmarkStart w:id="90"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7">
        <w:r>
          <w:rPr>
            <w:rStyle w:val="Hyperlink"/>
          </w:rPr>
          <w:t>https://doi.org/10.1186/s40168-017-0237-y</w:t>
        </w:r>
      </w:hyperlink>
      <w:bookmarkEnd w:id="90"/>
    </w:p>
    <w:p>
      <w:pPr>
        <w:pStyle w:val="Bibliography"/>
        <w:rPr/>
      </w:pPr>
      <w:bookmarkStart w:id="91"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8">
        <w:r>
          <w:rPr>
            <w:rStyle w:val="Hyperlink"/>
          </w:rPr>
          <w:t>https://doi.org/10.1111/j.1469-8137.2005.01349.x</w:t>
        </w:r>
      </w:hyperlink>
      <w:bookmarkEnd w:id="91"/>
    </w:p>
    <w:p>
      <w:pPr>
        <w:pStyle w:val="Bibliography"/>
        <w:rPr/>
      </w:pPr>
      <w:bookmarkStart w:id="92"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9">
        <w:r>
          <w:rPr>
            <w:rStyle w:val="Hyperlink"/>
          </w:rPr>
          <w:t>https://doi.org/10.1038/nature02403</w:t>
        </w:r>
      </w:hyperlink>
      <w:bookmarkEnd w:id="20"/>
      <w:bookmarkEnd w:id="21"/>
      <w:bookmarkEnd w:id="92"/>
    </w:p>
    <w:p>
      <w:pPr>
        <w:pStyle w:val="Heading1"/>
        <w:spacing w:before="480" w:after="0"/>
        <w:rPr/>
      </w:pPr>
      <w:bookmarkStart w:id="93" w:name="figures"/>
      <w:r>
        <w:rPr/>
        <w:t>13. Figures</w:t>
      </w:r>
    </w:p>
    <w:p>
      <w:pPr>
        <w:pStyle w:val="Heading2"/>
        <w:rPr/>
      </w:pPr>
      <w:bookmarkStart w:id="94"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5943600" cy="477964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286" w:author="Bolívar Aponte Rolón" w:date="2024-08-19T15:47:42Z">
        <w:r>
          <w:rPr>
            <w:i/>
            <w:iCs/>
          </w:rPr>
          <w:delText>E-</w:delText>
        </w:r>
      </w:del>
      <w:ins w:id="287" w:author="Bolívar Aponte Rolón" w:date="2024-08-19T15:47:42Z">
        <w:r>
          <w:rPr>
            <w:rFonts w:eastAsia="Cambria" w:cs="" w:cstheme="minorBidi" w:eastAsiaTheme="minorHAnsi"/>
            <w:i/>
            <w:iCs/>
            <w:color w:val="auto"/>
            <w:kern w:val="0"/>
            <w:sz w:val="24"/>
            <w:szCs w:val="24"/>
            <w:lang w:val="en-US" w:eastAsia="en-US" w:bidi="ar-SA"/>
          </w:rPr>
          <w:t>E-low</w:t>
        </w:r>
      </w:ins>
      <w:r>
        <w:rPr/>
        <w:t>) treatment and yellow filled represent high endophyte (</w:t>
      </w:r>
      <w:del w:id="288" w:author="Bolívar Aponte Rolón" w:date="2024-08-19T15:48:14Z">
        <w:r>
          <w:rPr>
            <w:i/>
            <w:iCs/>
          </w:rPr>
          <w:delText>E+</w:delText>
        </w:r>
      </w:del>
      <w:ins w:id="28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Relative abundance is the percentage of endophyte colonization within individuals of the same species. </w:t>
      </w:r>
      <w:bookmarkEnd w:id="94"/>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5"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1"/>
                    <a:stretch>
                      <a:fillRect/>
                    </a:stretch>
                  </pic:blipFill>
                  <pic:spPr bwMode="auto">
                    <a:xfrm>
                      <a:off x="0" y="0"/>
                      <a:ext cx="4759325" cy="4759325"/>
                    </a:xfrm>
                    <a:prstGeom prst="rect">
                      <a:avLst/>
                    </a:prstGeom>
                    <a:noFill/>
                  </pic:spPr>
                </pic:pic>
              </a:graphicData>
            </a:graphic>
          </wp:inline>
        </w:drawing>
      </w:r>
    </w:p>
    <w:p>
      <w:pPr>
        <w:pStyle w:val="ImageCaption"/>
        <w:rPr/>
      </w:pPr>
      <w:r>
        <w:rPr/>
        <w:t>Distribution</w:t>
      </w:r>
      <w:del w:id="290" w:author="Bolívar Aponte Rolón" w:date="2024-08-29T17:40:47Z">
        <w:r>
          <w:rPr/>
          <w:delText>s</w:delText>
        </w:r>
      </w:del>
      <w:r>
        <w:rPr/>
        <w:t xml:space="preserve"> of values </w:t>
      </w:r>
      <w:del w:id="291" w:author="Bolívar Aponte Rolón" w:date="2024-08-29T17:40:50Z">
        <w:r>
          <w:rPr/>
          <w:delText xml:space="preserve">and means </w:delText>
        </w:r>
      </w:del>
      <w:r>
        <w:rPr/>
        <w:t xml:space="preserve">of herbivory (%) damage caused by </w:t>
      </w:r>
      <w:r>
        <w:rPr>
          <w:i/>
          <w:iCs/>
        </w:rPr>
        <w:t>Atta colombica</w:t>
      </w:r>
      <w:r>
        <w:rPr/>
        <w:t xml:space="preserve"> in treatment groups (</w:t>
      </w:r>
      <w:del w:id="292" w:author="Bolívar Aponte Rolón" w:date="2024-08-19T15:47:42Z">
        <w:r>
          <w:rPr>
            <w:i/>
            <w:iCs/>
          </w:rPr>
          <w:delText>E-</w:delText>
        </w:r>
      </w:del>
      <w:ins w:id="29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94" w:author="Bolívar Aponte Rolón" w:date="2024-08-19T15:48:14Z">
        <w:r>
          <w:rPr>
            <w:i/>
            <w:iCs/>
          </w:rPr>
          <w:delText>E+</w:delText>
        </w:r>
      </w:del>
      <w:ins w:id="29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and </w:t>
      </w:r>
      <w:ins w:id="296" w:author="Bolívar Aponte Rolón" w:date="2024-08-29T17:41:26Z">
        <w:r>
          <w:rPr>
            <w:rFonts w:ascii="Arial;Helvetica Neue;sans-serif" w:hAnsi="Arial;Helvetica Neue;sans-serif"/>
            <w:b w:val="false"/>
            <w:i w:val="false"/>
            <w:caps w:val="false"/>
            <w:smallCaps w:val="false"/>
            <w:color w:val="606060"/>
            <w:spacing w:val="0"/>
            <w:sz w:val="21"/>
          </w:rPr>
          <w:t>pathogen damage cause by </w:t>
        </w:r>
      </w:ins>
      <w:ins w:id="297" w:author="Bolívar Aponte Rolón" w:date="2024-08-29T17:41:26Z">
        <w:r>
          <w:rPr>
            <w:rFonts w:ascii="Arial;Helvetica Neue;sans-serif" w:hAnsi="Arial;Helvetica Neue;sans-serif"/>
            <w:b w:val="false"/>
            <w:i/>
            <w:color w:val="606060"/>
            <w:spacing w:val="0"/>
            <w:sz w:val="21"/>
          </w:rPr>
          <w:t>Calonectria</w:t>
        </w:r>
      </w:ins>
      <w:ins w:id="298" w:author="Bolívar Aponte Rolón" w:date="2024-08-29T17:41:26Z">
        <w:r>
          <w:rPr>
            <w:caps w:val="false"/>
            <w:smallCaps w:val="false"/>
            <w:color w:val="606060"/>
            <w:spacing w:val="0"/>
          </w:rPr>
          <w:t> </w:t>
        </w:r>
      </w:ins>
      <w:ins w:id="299" w:author="Bolívar Aponte Rolón" w:date="2024-08-29T17:41:26Z">
        <w:r>
          <w:rPr>
            <w:rFonts w:ascii="Arial;Helvetica Neue;sans-serif" w:hAnsi="Arial;Helvetica Neue;sans-serif"/>
            <w:b w:val="false"/>
            <w:i w:val="false"/>
            <w:caps w:val="false"/>
            <w:smallCaps w:val="false"/>
            <w:color w:val="606060"/>
            <w:spacing w:val="0"/>
            <w:sz w:val="21"/>
          </w:rPr>
          <w:t>sp. tree species</w:t>
        </w:r>
      </w:ins>
      <w:del w:id="300" w:author="Bolívar Aponte Rolón" w:date="2024-08-29T17:41:31Z">
        <w:r>
          <w:rPr>
            <w:rFonts w:ascii="Arial;Helvetica Neue;sans-serif" w:hAnsi="Arial;Helvetica Neue;sans-serif"/>
            <w:b w:val="false"/>
            <w:i w:val="false"/>
            <w:caps w:val="false"/>
            <w:smallCaps w:val="false"/>
            <w:color w:val="606060"/>
            <w:spacing w:val="0"/>
            <w:sz w:val="21"/>
          </w:rPr>
          <w:delText>tree species</w:delText>
        </w:r>
      </w:del>
      <w:r>
        <w:rPr/>
        <w:t xml:space="preserve">. a) Comparison of herbivory (%) means between treatment groups across individuals of all species. </w:t>
      </w:r>
      <w:del w:id="301" w:author="Bolívar Aponte Rolón" w:date="2024-08-29T17:41:48Z">
        <w:r>
          <w:rPr/>
          <w:delText>outlined box plots represent low FEF group (</w:delText>
        </w:r>
      </w:del>
      <w:del w:id="302" w:author="Bolívar Aponte Rolón" w:date="2024-08-19T15:47:42Z">
        <w:r>
          <w:rPr>
            <w:i/>
            <w:iCs/>
          </w:rPr>
          <w:delText>E-</w:delText>
        </w:r>
      </w:del>
      <w:del w:id="303" w:author="Bolívar Aponte Rolón" w:date="2024-08-29T17:41:48Z">
        <w:r>
          <w:rPr>
            <w:i/>
            <w:iCs/>
          </w:rPr>
          <w:delText>) and yellow outlined box plots represent high FEF group (</w:delText>
        </w:r>
      </w:del>
      <w:del w:id="304" w:author="Bolívar Aponte Rolón" w:date="2024-08-19T15:48:14Z">
        <w:r>
          <w:rPr>
            <w:i/>
            <w:iCs/>
          </w:rPr>
          <w:delText>E+</w:delText>
        </w:r>
      </w:del>
      <w:del w:id="305" w:author="Bolívar Aponte Rolón" w:date="2024-08-29T17:41:48Z">
        <w:r>
          <w:rPr>
            <w:i/>
            <w:iCs/>
          </w:rPr>
          <w:delText>).</w:delText>
        </w:r>
      </w:del>
      <w:r>
        <w:rPr/>
        <w:t xml:space="preserve"> b) </w:t>
      </w:r>
      <w:del w:id="306" w:author="Bolívar Aponte Rolón" w:date="2024-08-29T17:42:38Z">
        <w:r>
          <w:rPr/>
          <w:delText xml:space="preserve">Comparison of pathogen (%) means between treatment groups across individuals of all species. Maroon filled violins represent control leaves and blue filled violins represent pathogen treated leaves. </w:delText>
        </w:r>
      </w:del>
      <w:ins w:id="307" w:author="Bolívar Aponte Rolón" w:date="2024-08-29T17:42:39Z">
        <w:r>
          <w:rPr>
            <w:b w:val="false"/>
            <w:i w:val="false"/>
            <w:caps w:val="false"/>
            <w:smallCaps w:val="false"/>
            <w:color w:val="606060"/>
            <w:spacing w:val="0"/>
            <w:sz w:val="24"/>
            <w:szCs w:val="24"/>
          </w:rPr>
          <w:t>Comparison of the absolute pathogen damage (%) means between treatment groups across individuals of all species (values from 'control' treated leaves were substracted from 'pathogen' treated leaves). Pink represents low FEF group (</w:t>
        </w:r>
      </w:ins>
      <w:ins w:id="308" w:author="Bolívar Aponte Rolón" w:date="2024-08-29T17:42:39Z">
        <w:r>
          <w:rPr>
            <w:b w:val="false"/>
            <w:i/>
            <w:color w:val="606060"/>
            <w:spacing w:val="0"/>
            <w:sz w:val="24"/>
            <w:szCs w:val="24"/>
          </w:rPr>
          <w:t>E-low</w:t>
        </w:r>
      </w:ins>
      <w:ins w:id="309" w:author="Bolívar Aponte Rolón" w:date="2024-08-29T17:42:39Z">
        <w:r>
          <w:rPr>
            <w:b w:val="false"/>
            <w:i w:val="false"/>
            <w:caps w:val="false"/>
            <w:smallCaps w:val="false"/>
            <w:color w:val="606060"/>
            <w:spacing w:val="0"/>
            <w:sz w:val="24"/>
            <w:szCs w:val="24"/>
          </w:rPr>
          <w:t>) and yellow outlined box plots represent high FEF group (</w:t>
        </w:r>
      </w:ins>
      <w:ins w:id="310" w:author="Bolívar Aponte Rolón" w:date="2024-08-29T17:42:39Z">
        <w:r>
          <w:rPr>
            <w:b w:val="false"/>
            <w:i/>
            <w:color w:val="606060"/>
            <w:spacing w:val="0"/>
            <w:sz w:val="24"/>
            <w:szCs w:val="24"/>
          </w:rPr>
          <w:t>E-high</w:t>
        </w:r>
      </w:ins>
      <w:ins w:id="311" w:author="Bolívar Aponte Rolón" w:date="2024-08-29T17:42:39Z">
        <w:r>
          <w:rPr>
            <w:b w:val="false"/>
            <w:i w:val="false"/>
            <w:caps w:val="false"/>
            <w:smallCaps w:val="false"/>
            <w:color w:val="606060"/>
            <w:spacing w:val="0"/>
            <w:sz w:val="24"/>
            <w:szCs w:val="24"/>
          </w:rPr>
          <w:t xml:space="preserve">). </w:t>
        </w:r>
      </w:ins>
      <w:r>
        <w:rPr/>
        <w:t xml:space="preserve">Statistical significance was calculated using a two-sided Student’s t-Test. </w:t>
      </w:r>
      <w:bookmarkEnd w:id="95"/>
      <w:r>
        <w:rPr/>
        <w:t xml:space="preserve">Significance levels are represented by </w:t>
      </w:r>
      <w:r>
        <w:rPr>
          <w:i/>
          <w:iCs/>
        </w:rPr>
        <w:t>ns</w:t>
      </w:r>
      <w:r>
        <w:rPr/>
        <w:t xml:space="preserve"> (not significant) and asterisks [</w:t>
      </w:r>
      <w:r>
        <w:rPr>
          <w:i/>
          <w:iCs/>
        </w:rPr>
        <w:t>p</w:t>
      </w:r>
      <w:r>
        <w:rPr/>
        <w:t xml:space="preserve"> &lt;  .05 (*), </w:t>
      </w:r>
      <w:r>
        <w:rPr>
          <w:i/>
          <w:iCs/>
        </w:rPr>
        <w:t>p</w:t>
      </w:r>
      <w:r>
        <w:rPr/>
        <w:t xml:space="preserve"> &lt; 0.01 </w:t>
      </w:r>
      <w:r>
        <w:rPr>
          <w:i w:val="false"/>
          <w:iCs w:val="false"/>
        </w:rPr>
        <w:t>(**),</w:t>
      </w:r>
      <w:r>
        <w:rPr/>
        <w:t xml:space="preserve"> p &lt;  .001 (***)</w:t>
      </w:r>
      <w:r>
        <w:rPr>
          <w:i/>
          <w:iCs/>
        </w:rPr>
        <w:t xml:space="preserve">, p =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6"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FEF community composition was associated with leaf functional traits from the leaf economic spectrum (genomic data set). </w:t>
      </w:r>
      <w:ins w:id="312" w:author="Bolívar Aponte Rolón" w:date="2024-08-19T15:49:40Z">
        <w:r>
          <w:rPr/>
          <w:t>V</w:t>
        </w:r>
      </w:ins>
      <w:del w:id="313" w:author="Bolívar Aponte Rolón" w:date="2024-08-19T15:49:39Z">
        <w:r>
          <w:rPr/>
          <w:delText>v</w:delText>
        </w:r>
      </w:del>
      <w:r>
        <w:rPr/>
        <w:t>ariation in FEF community composition within and between host species (</w:t>
      </w:r>
      <w:r>
        <w:rPr>
          <w:i/>
          <w:iCs/>
        </w:rPr>
        <w:t>n</w:t>
      </w:r>
      <w:r>
        <w:rPr/>
        <w:t xml:space="preserve"> = 7) and treatment groups (</w:t>
      </w:r>
      <w:del w:id="314" w:author="Bolívar Aponte Rolón" w:date="2024-08-19T15:47:42Z">
        <w:r>
          <w:rPr>
            <w:i/>
            <w:iCs/>
          </w:rPr>
          <w:delText>E</w:delText>
        </w:r>
      </w:del>
      <w:del w:id="315" w:author="Bolívar Aponte Rolón" w:date="2024-08-19T15:47:42Z">
        <w:r>
          <w:rPr/>
          <w:delText>-</w:delText>
        </w:r>
      </w:del>
      <w:ins w:id="31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t>
      </w:r>
      <w:del w:id="317" w:author="Bolívar Aponte Rolón" w:date="2024-08-19T15:48:14Z">
        <w:r>
          <w:rPr>
            <w:i/>
            <w:iCs/>
          </w:rPr>
          <w:delText>E</w:delText>
        </w:r>
      </w:del>
      <w:del w:id="318" w:author="Bolívar Aponte Rolón" w:date="2024-08-19T15:48:14Z">
        <w:r>
          <w:rPr/>
          <w:delText>+</w:delText>
        </w:r>
      </w:del>
      <w:ins w:id="319" w:author="Bolívar Aponte Rolón" w:date="2024-08-19T15:48:14Z">
        <w:r>
          <w:rPr>
            <w:rFonts w:eastAsia="Cambria" w:cs="" w:cstheme="minorBidi" w:eastAsiaTheme="minorHAnsi"/>
            <w:i/>
            <w:iCs/>
            <w:color w:val="auto"/>
            <w:kern w:val="0"/>
            <w:sz w:val="24"/>
            <w:szCs w:val="24"/>
            <w:lang w:val="en-US" w:eastAsia="en-US" w:bidi="ar-SA"/>
          </w:rPr>
          <w:t>E-high</w:t>
        </w:r>
      </w:ins>
      <w:r>
        <w:rPr/>
        <w:t>) from distan</w:t>
      </w:r>
      <w:del w:id="320" w:author="Bolívar Aponte Rolón" w:date="2024-08-19T15:49:31Z">
        <w:r>
          <w:rPr/>
          <w:delText>m</w:delText>
        </w:r>
      </w:del>
      <w:r>
        <w:rPr/>
        <w:t xml:space="preserve">ce-based redundancy analyses (dbRDA). Solid </w:t>
      </w:r>
      <w:ins w:id="321" w:author="Bolívar Aponte Rolón" w:date="2024-09-03T12:53:45Z">
        <w:r>
          <w:rPr/>
          <w:t xml:space="preserve">black </w:t>
        </w:r>
      </w:ins>
      <w:r>
        <w:rPr/>
        <w:t>arrows represent statistically si</w:t>
      </w:r>
      <w:del w:id="322" w:author="Bolívar Aponte Rolón" w:date="2024-08-19T15:49:27Z">
        <w:r>
          <w:rPr/>
          <w:delText>s</w:delText>
        </w:r>
      </w:del>
      <w:r>
        <w:rPr/>
        <w:t>gnificant associations (</w:t>
      </w:r>
      <w:r>
        <w:rPr>
          <w:i/>
          <w:iCs/>
        </w:rPr>
        <w:t>p</w:t>
      </w:r>
      <w:r>
        <w:rPr/>
        <w:t xml:space="preserve"> &lt; .0</w:t>
      </w:r>
      <w:ins w:id="323" w:author="Bolívar Aponte Rolón" w:date="2024-08-19T15:53:09Z">
        <w:r>
          <w:rPr/>
          <w:t>1</w:t>
        </w:r>
      </w:ins>
      <w:del w:id="324" w:author="Bolívar Aponte Rolón" w:date="2024-08-19T15:53:08Z">
        <w:r>
          <w:rPr/>
          <w:delText>5</w:delText>
        </w:r>
      </w:del>
      <w:r>
        <w:rPr/>
        <w:t>). Each point represent a FEF community samples from one host tree species per treatment group; colors represent host tree species. Circles and filled triangles represent low (</w:t>
      </w:r>
      <w:del w:id="325" w:author="Bolívar Aponte Rolón" w:date="2024-08-19T15:47:42Z">
        <w:r>
          <w:rPr>
            <w:i/>
            <w:iCs/>
          </w:rPr>
          <w:delText>E</w:delText>
        </w:r>
      </w:del>
      <w:del w:id="326" w:author="Bolívar Aponte Rolón" w:date="2024-08-19T15:47:42Z">
        <w:r>
          <w:rPr/>
          <w:delText>-</w:delText>
        </w:r>
      </w:del>
      <w:ins w:id="327"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328" w:author="Bolívar Aponte Rolón" w:date="2024-08-19T15:48:14Z">
        <w:r>
          <w:rPr>
            <w:i/>
            <w:iCs/>
          </w:rPr>
          <w:delText>E</w:delText>
        </w:r>
      </w:del>
      <w:del w:id="329" w:author="Bolívar Aponte Rolón" w:date="2024-08-19T15:48:14Z">
        <w:r>
          <w:rPr/>
          <w:delText>+</w:delText>
        </w:r>
      </w:del>
      <w:ins w:id="330"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w:t>
      </w:r>
      <w:bookmarkEnd w:id="96"/>
    </w:p>
    <w:p>
      <w:pPr>
        <w:pStyle w:val="Heading2"/>
        <w:rPr/>
      </w:pPr>
      <w:bookmarkStart w:id="97"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3"/>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331" w:author="Bolívar Aponte Rolón" w:date="2024-08-19T15:47:42Z">
        <w:r>
          <w:rPr>
            <w:i/>
            <w:iCs/>
          </w:rPr>
          <w:delText>E-</w:delText>
        </w:r>
      </w:del>
      <w:ins w:id="33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333" w:author="Bolívar Aponte Rolón" w:date="2024-08-19T15:48:14Z">
        <w:r>
          <w:rPr>
            <w:i/>
            <w:iCs/>
          </w:rPr>
          <w:delText>E+</w:delText>
        </w:r>
      </w:del>
      <w:ins w:id="33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335" w:author="Bolívar Aponte Rolón" w:date="2024-08-19T15:47:42Z">
        <w:r>
          <w:rPr>
            <w:i/>
            <w:iCs/>
          </w:rPr>
          <w:delText>E-</w:delText>
        </w:r>
      </w:del>
      <w:ins w:id="336"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337" w:author="Bolívar Aponte Rolón" w:date="2024-08-19T15:48:14Z">
        <w:r>
          <w:rPr>
            <w:i/>
            <w:iCs/>
          </w:rPr>
          <w:delText>E+</w:delText>
        </w:r>
      </w:del>
      <w:ins w:id="338"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 Colored ellipses correspond to tree species and represent 95% confidence intervals.</w:t>
      </w:r>
      <w:bookmarkEnd w:id="97"/>
    </w:p>
    <w:p>
      <w:pPr>
        <w:pStyle w:val="Heading2"/>
        <w:rPr/>
      </w:pPr>
      <w:bookmarkStart w:id="98"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4"/>
                    <a:stretch>
                      <a:fillRect/>
                    </a:stretch>
                  </pic:blipFill>
                  <pic:spPr bwMode="auto">
                    <a:xfrm>
                      <a:off x="0" y="0"/>
                      <a:ext cx="5943600" cy="5943600"/>
                    </a:xfrm>
                    <a:prstGeom prst="rect">
                      <a:avLst/>
                    </a:prstGeom>
                    <a:noFill/>
                  </pic:spPr>
                </pic:pic>
              </a:graphicData>
            </a:graphic>
          </wp:inline>
        </w:drawing>
      </w:r>
    </w:p>
    <w:p>
      <w:pPr>
        <w:pStyle w:val="ImageCaption"/>
        <w:bidi w:val="0"/>
        <w:spacing w:before="480" w:after="0"/>
        <w:jc w:val="left"/>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.447); b) percent herbivory damage and PC2 axis (R</w:t>
      </w:r>
      <w:r>
        <w:rPr>
          <w:vertAlign w:val="superscript"/>
        </w:rPr>
        <w:t>2</w:t>
      </w:r>
      <w:r>
        <w:rPr/>
        <w:t xml:space="preserve">-adjusted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(R</w:t>
      </w:r>
      <w:r>
        <w:rPr>
          <w:vertAlign w:val="superscript"/>
        </w:rPr>
        <w:t>2</w:t>
      </w:r>
      <w:r>
        <w:rPr/>
        <w:t xml:space="preserve">-adjusted = 0.0016, </w:t>
      </w:r>
      <w:r>
        <w:rPr>
          <w:i/>
          <w:iCs/>
        </w:rPr>
        <w:t>p</w:t>
      </w:r>
      <w:r>
        <w:rPr/>
        <w:t xml:space="preserve"> =  .207). Colors represent individual species. Circle and triangles represent </w:t>
      </w:r>
      <w:del w:id="339" w:author="Bolívar Aponte Rolón" w:date="2024-08-19T15:47:42Z">
        <w:r>
          <w:rPr>
            <w:i/>
            <w:iCs/>
          </w:rPr>
          <w:delText>E-</w:delText>
        </w:r>
      </w:del>
      <w:ins w:id="34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341" w:author="Bolívar Aponte Rolón" w:date="2024-08-19T15:48:14Z">
        <w:r>
          <w:rPr>
            <w:i/>
            <w:iCs/>
          </w:rPr>
          <w:delText>E+</w:delText>
        </w:r>
      </w:del>
      <w:ins w:id="34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respectively.</w:t>
      </w:r>
      <w:bookmarkEnd w:id="93"/>
      <w:bookmarkEnd w:id="98"/>
    </w:p>
    <w:p>
      <w:pPr>
        <w:pStyle w:val="Heading1"/>
        <w:rPr/>
      </w:pPr>
      <w:bookmarkStart w:id="99" w:name="tables"/>
      <w:bookmarkEnd w:id="99"/>
      <w:r>
        <w:rPr/>
        <w:t>14. Tables</w:t>
      </w:r>
    </w:p>
    <w:p>
      <w:pPr>
        <w:pStyle w:val="Heading2"/>
        <w:bidi w:val="0"/>
        <w:spacing w:before="200" w:after="0"/>
        <w:jc w:val="left"/>
        <w:rPr/>
      </w:pPr>
      <w:bookmarkStart w:id="100" w:name="table-2_Copy_1"/>
      <w:r>
        <w:rPr/>
        <w:t xml:space="preserve">14.1 Table </w:t>
      </w:r>
      <w:bookmarkEnd w:id="100"/>
      <w:r>
        <w:rPr/>
        <w:t>1</w:t>
      </w:r>
    </w:p>
    <w:p>
      <w:pPr>
        <w:pStyle w:val="BodyText"/>
        <w:bidi w:val="0"/>
        <w:spacing w:before="0" w:after="0"/>
        <w:jc w:val="left"/>
        <w:rPr/>
      </w:pPr>
      <w:r>
        <w:rPr>
          <w:b/>
          <w:bCs/>
        </w:rPr>
        <w:t>Table 1: Summary statistics for the leaf functional traits</w:t>
      </w:r>
    </w:p>
    <w:tbl>
      <w:tblPr>
        <w:tblStyle w:val="Table"/>
        <w:tblW w:w="936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798"/>
        <w:gridCol w:w="1083"/>
        <w:gridCol w:w="1080"/>
        <w:gridCol w:w="1080"/>
        <w:gridCol w:w="1077"/>
        <w:gridCol w:w="1080"/>
        <w:gridCol w:w="1080"/>
        <w:gridCol w:w="1081"/>
      </w:tblGrid>
      <w:tr>
        <w:trPr>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3"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A. membranacea, n = 83</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alliodora, n = 100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cainito, n = 150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77"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Dipteryx sp., n = 288</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H. concinna, n = 132</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L. panamensis, n = 185</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1"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T. cacao, n = 176</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r>
      <w:tr>
        <w:trPr>
          <w:trHeight w:val="574" w:hRule="atLeast"/>
        </w:trPr>
        <w:tc>
          <w:tcPr>
            <w:tcW w:w="1798"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iCs w:val="false"/>
                <w:strike w:val="false"/>
                <w:dstrike w:val="false"/>
                <w:outline w:val="false"/>
                <w:shadow w:val="false"/>
                <w:color w:val="000000"/>
                <w:kern w:val="0"/>
                <w:sz w:val="22"/>
                <w:szCs w:val="22"/>
                <w:u w:val="none"/>
                <w:lang w:val="en-US" w:eastAsia="en-US" w:bidi="ar-SA"/>
              </w:rPr>
              <w:t>Treatment</w:t>
            </w:r>
          </w:p>
        </w:tc>
        <w:tc>
          <w:tcPr>
            <w:tcW w:w="1083"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77"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1"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343"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344"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E-low</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570)</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95</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89</w:t>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345"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346"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E-high</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544)</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Anthocyanins (ACI)</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5.35 ± 1.06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3.47 ± 0.43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8.21 ± 1.41</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6.34 ± 1.15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6.77 ± 2.86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5.91 ± 1.30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4.18 ± 0.77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Thickness (LT) (µm)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270 ± 45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207 ± 37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205 ± 30</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148 ± 13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214 ± 42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245 ± 18</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200 ± 43</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Punch Strength (LPS) (N mm/1)</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0.22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0.21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0.53 ± 0.09</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0.43 ± 0.06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0.77 ± 0.23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0.33 ± 0.04</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0.38 ± 0.06</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Mass per Area (LMA) (mg/mm)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0.0007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0.0015 ± 0.0002</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0.0017 ± 0.0004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0.0014 ± 0.0002</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0.0009 ± 0.0001</w:t>
            </w:r>
          </w:p>
        </w:tc>
      </w:tr>
      <w:tr>
        <w:trPr>
          <w:trHeight w:val="360" w:hRule="atLeast"/>
        </w:trPr>
        <w:tc>
          <w:tcPr>
            <w:tcW w:w="9359" w:type="dxa"/>
            <w:gridSpan w:val="8"/>
            <w:tcBorders>
              <w:top w:val="single" w:sz="6" w:space="0" w:color="000000"/>
              <w:bottom w:val="single" w:sz="6" w:space="0" w:color="000000"/>
            </w:tcBorders>
            <w:tcMar>
              <w:top w:w="55" w:type="dxa"/>
              <w:left w:w="55" w:type="dxa"/>
              <w:bottom w:w="55" w:type="dxa"/>
              <w:right w:w="55" w:type="dxa"/>
            </w:tcMar>
            <w:vAlign w:val="cente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0"/>
                <w:szCs w:val="20"/>
                <w:u w:val="none"/>
              </w:rPr>
            </w:pPr>
            <w:r>
              <w:rPr>
                <w:rFonts w:eastAsia="TeX Gyre Termes" w:cs="TeX Gyre Termes"/>
                <w:b w:val="false"/>
                <w:bCs w:val="false"/>
                <w:i w:val="false"/>
                <w:iCs w:val="false"/>
                <w:strike w:val="false"/>
                <w:dstrike w:val="false"/>
                <w:outline w:val="false"/>
                <w:shadow w:val="false"/>
                <w:color w:val="000000"/>
                <w:kern w:val="0"/>
                <w:sz w:val="20"/>
                <w:szCs w:val="20"/>
                <w:u w:val="none"/>
                <w:vertAlign w:val="superscript"/>
                <w:lang w:val="en-US" w:eastAsia="en-US" w:bidi="ar-SA"/>
              </w:rPr>
              <w:t>1</w:t>
            </w:r>
            <w:r>
              <w:rPr>
                <w:rFonts w:eastAsia="TeX Gyre Termes" w:cs="TeX Gyre Termes"/>
                <w:b w:val="false"/>
                <w:bCs w:val="false"/>
                <w:i w:val="false"/>
                <w:iCs w:val="false"/>
                <w:strike w:val="false"/>
                <w:dstrike w:val="false"/>
                <w:outline w:val="false"/>
                <w:shadow w:val="false"/>
                <w:color w:val="000000"/>
                <w:kern w:val="0"/>
                <w:sz w:val="20"/>
                <w:szCs w:val="20"/>
                <w:u w:val="none"/>
                <w:lang w:val="en-US" w:eastAsia="en-US" w:bidi="ar-SA"/>
              </w:rPr>
              <w:t>n = observations ; Mean ± SD</w:t>
            </w:r>
            <w:bookmarkStart w:id="101" w:name="tables_Copy_1"/>
            <w:bookmarkStart w:id="102" w:name="table-2_Copy_1_Copy_1"/>
            <w:bookmarkEnd w:id="101"/>
            <w:bookmarkEnd w:id="102"/>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pPr>
      <w:r>
        <w:rPr>
          <w:b/>
          <w:bCs/>
          <w:i w:val="false"/>
          <w:iCs w:val="false"/>
        </w:rPr>
        <w:t>Table 2: Generalized linear mixed models (GLMMs) for predicting leaf herbivory and pathogen damage</w:t>
      </w:r>
      <w:bookmarkStart w:id="103" w:name="supplementary-materials"/>
      <w:bookmarkEnd w:id="103"/>
    </w:p>
    <w:tbl>
      <w:tblPr>
        <w:tblW w:w="9511"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898"/>
        <w:gridCol w:w="1824"/>
        <w:gridCol w:w="1981"/>
        <w:gridCol w:w="1908"/>
      </w:tblGrid>
      <w:tr>
        <w:trPr>
          <w:ins w:id="347" w:author="Bolívar Aponte Rolón" w:date="2024-08-29T14:04:16Z"/>
          <w:trHeight w:val="360" w:hRule="atLeast"/>
        </w:trPr>
        <w:tc>
          <w:tcPr>
            <w:tcW w:w="1900" w:type="dxa"/>
            <w:tcBorders>
              <w:top w:val="single" w:sz="16" w:space="0" w:color="000000"/>
            </w:tcBorders>
            <w:shd w:color="auto" w:fill="FFFFFF" w:val="clear"/>
          </w:tcPr>
          <w:p>
            <w:pPr>
              <w:pStyle w:val="Normal"/>
              <w:spacing w:lineRule="exact" w:line="240" w:before="0" w:after="80"/>
              <w:ind w:hanging="0" w:left="0" w:right="80"/>
              <w:jc w:val="center"/>
              <w:rPr>
                <w:rFonts w:ascii="TeX Gyre Termes" w:hAnsi="TeX Gyre Termes"/>
                <w:sz w:val="22"/>
                <w:szCs w:val="22"/>
              </w:rPr>
            </w:pPr>
            <w:r>
              <w:rPr>
                <w:sz w:val="22"/>
                <w:szCs w:val="22"/>
              </w:rPr>
            </w:r>
          </w:p>
        </w:tc>
        <w:tc>
          <w:tcPr>
            <w:tcW w:w="3722"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rPr>
            </w:pPr>
            <w:ins w:id="348" w:author="Bolívar Aponte Rolón" w:date="2024-08-29T14:04:16Z">
              <w:r>
                <w:rPr>
                  <w:rFonts w:eastAsia="Tex Gyre Termes" w:cs="Tex Gyre Termes"/>
                  <w:b/>
                  <w:i w:val="false"/>
                  <w:color w:val="000000"/>
                  <w:sz w:val="22"/>
                  <w:szCs w:val="22"/>
                  <w:u w:val="none"/>
                </w:rPr>
                <w:t>Herbivory model</w:t>
              </w:r>
            </w:ins>
          </w:p>
        </w:tc>
        <w:tc>
          <w:tcPr>
            <w:tcW w:w="3889"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rPr>
            </w:pPr>
            <w:ins w:id="349" w:author="Bolívar Aponte Rolón" w:date="2024-08-29T14:04:16Z">
              <w:r>
                <w:rPr>
                  <w:rFonts w:eastAsia="Tex Gyre Termes" w:cs="Tex Gyre Termes"/>
                  <w:b/>
                  <w:i w:val="false"/>
                  <w:color w:val="000000"/>
                  <w:sz w:val="22"/>
                  <w:szCs w:val="22"/>
                  <w:u w:val="none"/>
                </w:rPr>
                <w:t>Pathogen damage model</w:t>
              </w:r>
            </w:ins>
          </w:p>
        </w:tc>
      </w:tr>
      <w:tr>
        <w:trPr>
          <w:ins w:id="350" w:author="Bolívar Aponte Rolón" w:date="2024-08-29T14:04:16Z"/>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rFonts w:ascii="TeX Gyre Termes" w:hAnsi="TeX Gyre Termes"/>
                <w:sz w:val="22"/>
                <w:szCs w:val="22"/>
              </w:rPr>
            </w:pPr>
            <w:ins w:id="351" w:author="Bolívar Aponte Rolón" w:date="2024-08-29T14:04:16Z">
              <w:r>
                <w:rPr>
                  <w:rFonts w:eastAsia="Tex Gyre Termes" w:cs="Tex Gyre Termes"/>
                  <w:b/>
                  <w:i w:val="false"/>
                  <w:color w:val="000000"/>
                  <w:sz w:val="22"/>
                  <w:szCs w:val="22"/>
                  <w:u w:val="none"/>
                </w:rPr>
                <w:t>Predictors</w:t>
              </w:r>
            </w:ins>
          </w:p>
        </w:tc>
        <w:tc>
          <w:tcPr>
            <w:tcW w:w="1898"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52" w:author="Bolívar Aponte Rolón" w:date="2024-08-29T14:04:16Z">
              <w:r>
                <w:rPr>
                  <w:rFonts w:eastAsia="Tex Gyre Termes" w:cs="Tex Gyre Termes"/>
                  <w:b/>
                  <w:i w:val="false"/>
                  <w:color w:val="000000"/>
                  <w:sz w:val="22"/>
                  <w:szCs w:val="22"/>
                  <w:u w:val="none"/>
                </w:rPr>
                <w:t>Estimate</w:t>
              </w:r>
            </w:ins>
          </w:p>
        </w:tc>
        <w:tc>
          <w:tcPr>
            <w:tcW w:w="1824"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53" w:author="Bolívar Aponte Rolón" w:date="2024-08-29T14:04:16Z">
              <w:r>
                <w:rPr>
                  <w:rFonts w:eastAsia="Tex Gyre Termes" w:cs="Tex Gyre Termes"/>
                  <w:b/>
                  <w:i w:val="false"/>
                  <w:color w:val="000000"/>
                  <w:sz w:val="22"/>
                  <w:szCs w:val="22"/>
                  <w:u w:val="none"/>
                </w:rPr>
                <w:t>CI [t-statistic]</w:t>
              </w:r>
            </w:ins>
          </w:p>
        </w:tc>
        <w:tc>
          <w:tcPr>
            <w:tcW w:w="198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54" w:author="Bolívar Aponte Rolón" w:date="2024-08-29T14:04:16Z">
              <w:r>
                <w:rPr>
                  <w:rFonts w:eastAsia="Tex Gyre Termes" w:cs="Tex Gyre Termes"/>
                  <w:b/>
                  <w:i w:val="false"/>
                  <w:color w:val="000000"/>
                  <w:sz w:val="22"/>
                  <w:szCs w:val="22"/>
                  <w:u w:val="none"/>
                </w:rPr>
                <w:t>Estimate</w:t>
              </w:r>
            </w:ins>
          </w:p>
        </w:tc>
        <w:tc>
          <w:tcPr>
            <w:tcW w:w="1908"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55" w:author="Bolívar Aponte Rolón" w:date="2024-08-29T14:04:16Z">
              <w:r>
                <w:rPr>
                  <w:rFonts w:eastAsia="Tex Gyre Termes" w:cs="Tex Gyre Termes"/>
                  <w:b/>
                  <w:i w:val="false"/>
                  <w:color w:val="000000"/>
                  <w:sz w:val="22"/>
                  <w:szCs w:val="22"/>
                  <w:u w:val="none"/>
                </w:rPr>
                <w:t>CI [t-statistic]</w:t>
              </w:r>
            </w:ins>
          </w:p>
        </w:tc>
      </w:tr>
      <w:tr>
        <w:trPr>
          <w:ins w:id="356" w:author="Bolívar Aponte Rolón" w:date="2024-08-29T14:04:16Z"/>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rFonts w:ascii="TeX Gyre Termes" w:hAnsi="TeX Gyre Termes"/>
                <w:b/>
                <w:bCs/>
                <w:i/>
                <w:i/>
                <w:iCs/>
                <w:sz w:val="22"/>
                <w:szCs w:val="22"/>
              </w:rPr>
            </w:pPr>
            <w:ins w:id="357" w:author="Bolívar Aponte Rolón" w:date="2024-08-29T14:04:16Z">
              <w:r>
                <w:rPr>
                  <w:b/>
                  <w:bCs/>
                  <w:i/>
                  <w:iCs/>
                  <w:sz w:val="22"/>
                  <w:szCs w:val="22"/>
                </w:rPr>
                <w:t>Fixed effects</w:t>
              </w:r>
            </w:ins>
          </w:p>
        </w:tc>
        <w:tc>
          <w:tcPr>
            <w:tcW w:w="1898"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824"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1"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08" w:type="dxa"/>
            <w:tcBorders>
              <w:top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58"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59" w:author="Bolívar Aponte Rolón" w:date="2024-08-29T14:04:16Z">
              <w:r>
                <w:rPr>
                  <w:rFonts w:eastAsia="Tex Gyre Termes" w:cs="Tex Gyre Termes"/>
                  <w:b w:val="false"/>
                  <w:i w:val="false"/>
                  <w:color w:val="000000"/>
                  <w:sz w:val="22"/>
                  <w:szCs w:val="22"/>
                  <w:u w:val="none"/>
                </w:rPr>
                <w:t>Intercept</w:t>
              </w:r>
            </w:ins>
          </w:p>
        </w:tc>
        <w:tc>
          <w:tcPr>
            <w:tcW w:w="1898"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60" w:author="Bolívar Aponte Rolón" w:date="2024-08-29T14:04:16Z">
              <w:r>
                <w:rPr>
                  <w:rFonts w:eastAsia="Tex Gyre Termes" w:cs="Tex Gyre Termes"/>
                  <w:b w:val="false"/>
                  <w:i w:val="false"/>
                  <w:color w:val="000000"/>
                  <w:sz w:val="22"/>
                  <w:szCs w:val="22"/>
                  <w:u w:val="none"/>
                </w:rPr>
                <w:t>-0.328</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61" w:author="Bolívar Aponte Rolón" w:date="2024-08-29T14:04:16Z">
              <w:r>
                <w:rPr>
                  <w:rFonts w:eastAsia="Tex Gyre Termes" w:cs="Tex Gyre Termes"/>
                  <w:b w:val="false"/>
                  <w:i w:val="false"/>
                  <w:color w:val="000000"/>
                  <w:sz w:val="22"/>
                  <w:szCs w:val="22"/>
                  <w:u w:val="none"/>
                </w:rPr>
                <w:t>(-2.204 - 1.548 ) [-0.345]</w:t>
              </w:r>
            </w:ins>
          </w:p>
        </w:tc>
        <w:tc>
          <w:tcPr>
            <w:tcW w:w="1981"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62" w:author="Bolívar Aponte Rolón" w:date="2024-08-29T14:04:16Z">
              <w:r>
                <w:rPr>
                  <w:rFonts w:eastAsia="Tex Gyre Termes" w:cs="Tex Gyre Termes"/>
                  <w:b/>
                  <w:i w:val="false"/>
                  <w:color w:val="000000"/>
                  <w:sz w:val="22"/>
                  <w:szCs w:val="22"/>
                  <w:u w:val="none"/>
                </w:rPr>
                <w:t>-2.828 ***</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63" w:author="Bolívar Aponte Rolón" w:date="2024-08-29T14:04:16Z">
              <w:r>
                <w:rPr>
                  <w:rFonts w:eastAsia="Tex Gyre Termes" w:cs="Tex Gyre Termes"/>
                  <w:b/>
                  <w:i w:val="false"/>
                  <w:color w:val="000000"/>
                  <w:sz w:val="22"/>
                  <w:szCs w:val="22"/>
                  <w:u w:val="none"/>
                </w:rPr>
                <w:t>(-3.726 - -1.930 ) [-6.194]</w:t>
              </w:r>
            </w:ins>
          </w:p>
        </w:tc>
      </w:tr>
      <w:tr>
        <w:trPr>
          <w:ins w:id="364"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65" w:author="Bolívar Aponte Rolón" w:date="2024-08-29T14:04:16Z">
              <w:r>
                <w:rPr>
                  <w:rFonts w:eastAsia="Tex Gyre Termes" w:cs="Tex Gyre Termes"/>
                  <w:b w:val="false"/>
                  <w:i w:val="false"/>
                  <w:color w:val="000000"/>
                  <w:sz w:val="22"/>
                  <w:szCs w:val="22"/>
                  <w:u w:val="none"/>
                </w:rPr>
                <w:t>Thickness</w:t>
              </w:r>
            </w:ins>
          </w:p>
        </w:tc>
        <w:tc>
          <w:tcPr>
            <w:tcW w:w="1898"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66" w:author="Bolívar Aponte Rolón" w:date="2024-08-29T14:04:16Z">
              <w:r>
                <w:rPr>
                  <w:rFonts w:eastAsia="Tex Gyre Termes" w:cs="Tex Gyre Termes"/>
                  <w:b/>
                  <w:i w:val="false"/>
                  <w:color w:val="000000"/>
                  <w:sz w:val="22"/>
                  <w:szCs w:val="22"/>
                  <w:u w:val="none"/>
                </w:rPr>
                <w:t>-0.009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67" w:author="Bolívar Aponte Rolón" w:date="2024-08-29T14:04:16Z">
              <w:r>
                <w:rPr>
                  <w:rFonts w:eastAsia="Tex Gyre Termes" w:cs="Tex Gyre Termes"/>
                  <w:b/>
                  <w:i w:val="false"/>
                  <w:color w:val="000000"/>
                  <w:sz w:val="22"/>
                  <w:szCs w:val="22"/>
                  <w:u w:val="none"/>
                </w:rPr>
                <w:t>(-0.014 - -0.003 ) [-3.162]</w:t>
              </w:r>
            </w:ins>
          </w:p>
        </w:tc>
        <w:tc>
          <w:tcPr>
            <w:tcW w:w="1981"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68" w:author="Bolívar Aponte Rolón" w:date="2024-08-29T14:04:16Z">
              <w:r>
                <w:rPr>
                  <w:rFonts w:eastAsia="Tex Gyre Termes" w:cs="Tex Gyre Termes"/>
                  <w:b w:val="false"/>
                  <w:i w:val="false"/>
                  <w:color w:val="000000"/>
                  <w:sz w:val="22"/>
                  <w:szCs w:val="22"/>
                  <w:u w:val="none"/>
                </w:rPr>
                <w:t>-0.000</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69" w:author="Bolívar Aponte Rolón" w:date="2024-08-29T14:04:16Z">
              <w:r>
                <w:rPr>
                  <w:rFonts w:eastAsia="Tex Gyre Termes" w:cs="Tex Gyre Termes"/>
                  <w:b w:val="false"/>
                  <w:i w:val="false"/>
                  <w:color w:val="000000"/>
                  <w:sz w:val="22"/>
                  <w:szCs w:val="22"/>
                  <w:u w:val="none"/>
                </w:rPr>
                <w:t>(-0.003 - 0.003 ) [-0.007]</w:t>
              </w:r>
            </w:ins>
          </w:p>
        </w:tc>
      </w:tr>
      <w:tr>
        <w:trPr>
          <w:ins w:id="370"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71" w:author="Bolívar Aponte Rolón" w:date="2024-08-29T14:04:16Z">
              <w:r>
                <w:rPr>
                  <w:rFonts w:eastAsia="Tex Gyre Termes" w:cs="Tex Gyre Termes"/>
                  <w:b w:val="false"/>
                  <w:i w:val="false"/>
                  <w:color w:val="000000"/>
                  <w:sz w:val="22"/>
                  <w:szCs w:val="22"/>
                  <w:u w:val="none"/>
                </w:rPr>
                <w:t>LMA</w:t>
              </w:r>
            </w:ins>
          </w:p>
        </w:tc>
        <w:tc>
          <w:tcPr>
            <w:tcW w:w="1898"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2" w:author="Bolívar Aponte Rolón" w:date="2024-08-29T14:04:16Z">
              <w:r>
                <w:rPr>
                  <w:rFonts w:eastAsia="Tex Gyre Termes" w:cs="Tex Gyre Termes"/>
                  <w:b/>
                  <w:i w:val="false"/>
                  <w:color w:val="000000"/>
                  <w:sz w:val="22"/>
                  <w:szCs w:val="22"/>
                  <w:u w:val="none"/>
                </w:rPr>
                <w:t>823.601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3" w:author="Bolívar Aponte Rolón" w:date="2024-08-29T14:04:16Z">
              <w:r>
                <w:rPr>
                  <w:rFonts w:eastAsia="Tex Gyre Termes" w:cs="Tex Gyre Termes"/>
                  <w:b/>
                  <w:i w:val="false"/>
                  <w:color w:val="000000"/>
                  <w:sz w:val="22"/>
                  <w:szCs w:val="22"/>
                  <w:u w:val="none"/>
                </w:rPr>
                <w:t>(210.417 - 1436.785 ) [2.649]</w:t>
              </w:r>
            </w:ins>
          </w:p>
        </w:tc>
        <w:tc>
          <w:tcPr>
            <w:tcW w:w="1981"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4" w:author="Bolívar Aponte Rolón" w:date="2024-08-29T14:04:16Z">
              <w:r>
                <w:rPr>
                  <w:rFonts w:eastAsia="Tex Gyre Termes" w:cs="Tex Gyre Termes"/>
                  <w:b w:val="false"/>
                  <w:i w:val="false"/>
                  <w:color w:val="000000"/>
                  <w:sz w:val="22"/>
                  <w:szCs w:val="22"/>
                  <w:u w:val="none"/>
                </w:rPr>
                <w:t>225.616</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75" w:author="Bolívar Aponte Rolón" w:date="2024-08-29T14:04:16Z">
              <w:r>
                <w:rPr>
                  <w:rFonts w:eastAsia="Tex Gyre Termes" w:cs="Tex Gyre Termes"/>
                  <w:b w:val="false"/>
                  <w:i w:val="false"/>
                  <w:color w:val="000000"/>
                  <w:sz w:val="22"/>
                  <w:szCs w:val="22"/>
                  <w:u w:val="none"/>
                </w:rPr>
                <w:t>(-156.557 - 607.790 ) [1.161]</w:t>
              </w:r>
            </w:ins>
          </w:p>
        </w:tc>
      </w:tr>
      <w:tr>
        <w:trPr>
          <w:ins w:id="376"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77" w:author="Bolívar Aponte Rolón" w:date="2024-08-29T14:04:16Z">
              <w:r>
                <w:rPr>
                  <w:rFonts w:eastAsia="Tex Gyre Termes" w:cs="Tex Gyre Termes"/>
                  <w:b w:val="false"/>
                  <w:i w:val="false"/>
                  <w:color w:val="000000"/>
                  <w:sz w:val="22"/>
                  <w:szCs w:val="22"/>
                  <w:u w:val="none"/>
                </w:rPr>
                <w:t>Endophyte load (E+)</w:t>
              </w:r>
            </w:ins>
          </w:p>
        </w:tc>
        <w:tc>
          <w:tcPr>
            <w:tcW w:w="1898"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8" w:author="Bolívar Aponte Rolón" w:date="2024-08-29T14:04:16Z">
              <w:r>
                <w:rPr>
                  <w:rFonts w:eastAsia="Tex Gyre Termes" w:cs="Tex Gyre Termes"/>
                  <w:b/>
                  <w:i w:val="false"/>
                  <w:color w:val="000000"/>
                  <w:sz w:val="22"/>
                  <w:szCs w:val="22"/>
                  <w:u w:val="none"/>
                </w:rPr>
                <w:t>-0.747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9" w:author="Bolívar Aponte Rolón" w:date="2024-08-29T14:04:16Z">
              <w:r>
                <w:rPr>
                  <w:rFonts w:eastAsia="Tex Gyre Termes" w:cs="Tex Gyre Termes"/>
                  <w:b/>
                  <w:i w:val="false"/>
                  <w:color w:val="000000"/>
                  <w:sz w:val="22"/>
                  <w:szCs w:val="22"/>
                  <w:u w:val="none"/>
                </w:rPr>
                <w:t>(-0.986 - -0.509 ) [-6.175]</w:t>
              </w:r>
            </w:ins>
          </w:p>
        </w:tc>
        <w:tc>
          <w:tcPr>
            <w:tcW w:w="1981"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80"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left"/>
              <w:rPr>
                <w:rFonts w:ascii="TeX Gyre Termes" w:hAnsi="TeX Gyre Termes"/>
                <w:sz w:val="22"/>
                <w:szCs w:val="22"/>
              </w:rPr>
            </w:pPr>
            <w:ins w:id="381" w:author="Bolívar Aponte Rolón" w:date="2024-08-29T14:04:16Z">
              <w:r>
                <w:rPr>
                  <w:rFonts w:eastAsia="Tex Gyre Termes" w:cs="Tex Gyre Termes"/>
                  <w:b/>
                  <w:i/>
                  <w:color w:val="000000"/>
                  <w:sz w:val="22"/>
                  <w:szCs w:val="22"/>
                  <w:u w:val="none"/>
                </w:rPr>
                <w:t>Random effects</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82"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83" w:author="Bolívar Aponte Rolón" w:date="2024-08-29T14:04:16Z">
              <w:r>
                <w:rPr>
                  <w:rFonts w:eastAsia="Tex Gyre Termes" w:cs="Tex Gyre Termes"/>
                  <w:b w:val="false"/>
                  <w:i w:val="false"/>
                  <w:color w:val="000000"/>
                  <w:sz w:val="22"/>
                  <w:szCs w:val="22"/>
                  <w:u w:val="none"/>
                </w:rPr>
                <w:t>Intercept</w:t>
              </w:r>
            </w:ins>
          </w:p>
        </w:tc>
        <w:tc>
          <w:tcPr>
            <w:tcW w:w="1898" w:type="dxa"/>
            <w:tcBorders/>
            <w:shd w:color="auto" w:fill="FFFFFF" w:val="clear"/>
            <w:tcMar>
              <w:top w:w="55" w:type="dxa"/>
              <w:left w:w="55" w:type="dxa"/>
              <w:bottom w:w="55" w:type="dxa"/>
              <w:right w:w="55" w:type="dxa"/>
            </w:tcMar>
          </w:tcPr>
          <w:p>
            <w:pPr>
              <w:pStyle w:val="PreformattedText"/>
              <w:spacing w:lineRule="exact" w:line="240" w:before="80" w:after="80"/>
              <w:ind w:hanging="0" w:left="80" w:right="80"/>
              <w:jc w:val="center"/>
              <w:rPr>
                <w:rFonts w:ascii="TeX Gyre Termes" w:hAnsi="TeX Gyre Termes"/>
                <w:sz w:val="22"/>
                <w:szCs w:val="22"/>
              </w:rPr>
            </w:pPr>
            <w:ins w:id="384" w:author="Bolívar Aponte Rolón" w:date="2024-08-29T14:04:16Z">
              <w:bookmarkStart w:id="104" w:name="rstudio_console_output"/>
              <w:bookmarkEnd w:id="104"/>
              <w:r>
                <w:rPr>
                  <w:rFonts w:eastAsia="Tex Gyre Termes" w:cs="Tex Gyre Termes" w:ascii="TeX Gyre Termes" w:hAnsi="TeX Gyre Termes"/>
                  <w:b w:val="false"/>
                  <w:i w:val="false"/>
                  <w:caps w:val="false"/>
                  <w:smallCaps w:val="false"/>
                  <w:color w:val="000000"/>
                  <w:spacing w:val="0"/>
                  <w:sz w:val="22"/>
                  <w:szCs w:val="22"/>
                  <w:u w:val="none"/>
                </w:rPr>
                <w:t>1.76</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eastAsia="Tex Gyre Termes" w:cs="Tex Gyre Termes"/>
                <w:b w:val="false"/>
                <w:i w:val="false"/>
                <w:i w:val="false"/>
                <w:color w:val="000000"/>
                <w:u w:val="none"/>
              </w:rPr>
            </w:pPr>
            <w:r>
              <w:rPr>
                <w:rFonts w:eastAsia="Tex Gyre Termes" w:cs="Tex Gyre Termes"/>
                <w:b w:val="false"/>
                <w:i w:val="false"/>
                <w:color w:val="000000"/>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ins w:id="385" w:author="Bolívar Aponte Rolón" w:date="2024-08-29T14:04:16Z">
              <w:r>
                <w:rPr>
                  <w:rFonts w:eastAsia="Tex Gyre Termes" w:cs="Tex Gyre Termes" w:ascii="Tex Gyre Termes" w:hAnsi="Tex Gyre Termes"/>
                  <w:b w:val="false"/>
                  <w:i w:val="false"/>
                  <w:color w:val="000000"/>
                  <w:sz w:val="22"/>
                  <w:szCs w:val="22"/>
                  <w:u w:val="none"/>
                </w:rPr>
                <w:t>0.99</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86"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87" w:author="Bolívar Aponte Rolón" w:date="2024-08-29T14:04:16Z">
              <w:r>
                <w:rPr>
                  <w:rFonts w:eastAsia="Tex Gyre Termes" w:cs="Tex Gyre Termes"/>
                  <w:b w:val="false"/>
                  <w:i w:val="false"/>
                  <w:color w:val="000000"/>
                  <w:sz w:val="22"/>
                  <w:szCs w:val="22"/>
                  <w:u w:val="none"/>
                </w:rPr>
                <w:t>Observations (residuals)</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88" w:author="Bolívar Aponte Rolón" w:date="2024-08-29T14:04:16Z">
              <w:r>
                <w:rPr>
                  <w:rFonts w:eastAsia="Tex Gyre Termes" w:cs="Tex Gyre Termes"/>
                  <w:b w:val="false"/>
                  <w:i w:val="false"/>
                  <w:color w:val="000000"/>
                  <w:sz w:val="22"/>
                  <w:szCs w:val="22"/>
                  <w:u w:val="none"/>
                </w:rPr>
                <w:t>1.30</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ins w:id="389" w:author="Bolívar Aponte Rolón" w:date="2024-08-29T14:04:16Z">
              <w:r>
                <w:rPr>
                  <w:rFonts w:eastAsia="Tex Gyre Termes" w:cs="Tex Gyre Termes" w:ascii="Tex Gyre Termes" w:hAnsi="Tex Gyre Termes"/>
                  <w:b w:val="false"/>
                  <w:i w:val="false"/>
                  <w:color w:val="000000"/>
                  <w:sz w:val="22"/>
                  <w:szCs w:val="22"/>
                  <w:u w:val="none"/>
                </w:rPr>
                <w:t>0.74</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90"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91" w:author="Bolívar Aponte Rolón" w:date="2024-08-29T14:04:16Z">
              <w:r>
                <w:rPr>
                  <w:rFonts w:eastAsia="Tex Gyre Termes" w:cs="Tex Gyre Termes"/>
                  <w:b w:val="false"/>
                  <w:i/>
                  <w:color w:val="000000"/>
                  <w:sz w:val="22"/>
                  <w:szCs w:val="22"/>
                  <w:u w:val="none"/>
                </w:rPr>
                <w:t>A. membranacea</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92" w:author="Bolívar Aponte Rolón" w:date="2024-08-29T14:04:16Z">
              <w:r>
                <w:rPr>
                  <w:rFonts w:eastAsia="Tex Gyre Termes" w:cs="Tex Gyre Termes"/>
                  <w:b w:val="false"/>
                  <w:i w:val="false"/>
                  <w:color w:val="000000"/>
                  <w:sz w:val="22"/>
                  <w:szCs w:val="22"/>
                  <w:u w:val="none"/>
                </w:rPr>
                <w:t>1.15</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93" w:author="Bolívar Aponte Rolón" w:date="2024-08-29T14:04:16Z">
              <w:r>
                <w:rPr>
                  <w:rFonts w:eastAsia="Tex Gyre Termes" w:cs="Tex Gyre Termes"/>
                  <w:b w:val="false"/>
                  <w:i w:val="false"/>
                  <w:color w:val="000000"/>
                  <w:sz w:val="22"/>
                  <w:szCs w:val="22"/>
                  <w:u w:val="none"/>
                </w:rPr>
                <w:t>0.407</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94"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95" w:author="Bolívar Aponte Rolón" w:date="2024-08-29T14:04:16Z">
              <w:r>
                <w:rPr>
                  <w:rFonts w:eastAsia="Tex Gyre Termes" w:cs="Tex Gyre Termes"/>
                  <w:b w:val="false"/>
                  <w:i/>
                  <w:color w:val="000000"/>
                  <w:sz w:val="22"/>
                  <w:szCs w:val="22"/>
                  <w:u w:val="none"/>
                </w:rPr>
                <w:t>C. cainito</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96" w:author="Bolívar Aponte Rolón" w:date="2024-08-29T14:04:16Z">
              <w:r>
                <w:rPr>
                  <w:rFonts w:eastAsia="Tex Gyre Termes" w:cs="Tex Gyre Termes"/>
                  <w:b w:val="false"/>
                  <w:i w:val="false"/>
                  <w:color w:val="000000"/>
                  <w:sz w:val="22"/>
                  <w:szCs w:val="22"/>
                  <w:u w:val="none"/>
                </w:rPr>
                <w:t>-1.66</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97" w:author="Bolívar Aponte Rolón" w:date="2024-08-29T14:04:16Z">
              <w:r>
                <w:rPr>
                  <w:rFonts w:eastAsia="Tex Gyre Termes" w:cs="Tex Gyre Termes"/>
                  <w:b w:val="false"/>
                  <w:i w:val="false"/>
                  <w:color w:val="000000"/>
                  <w:sz w:val="22"/>
                  <w:szCs w:val="22"/>
                  <w:u w:val="none"/>
                </w:rPr>
                <w:t>-0.531</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98"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99" w:author="Bolívar Aponte Rolón" w:date="2024-08-29T14:04:16Z">
              <w:r>
                <w:rPr>
                  <w:rFonts w:eastAsia="Tex Gyre Termes" w:cs="Tex Gyre Termes"/>
                  <w:b w:val="false"/>
                  <w:i/>
                  <w:color w:val="000000"/>
                  <w:sz w:val="22"/>
                  <w:szCs w:val="22"/>
                  <w:u w:val="none"/>
                </w:rPr>
                <w:t>C. alliodora</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00" w:author="Bolívar Aponte Rolón" w:date="2024-08-29T14:04:16Z">
              <w:r>
                <w:rPr>
                  <w:rFonts w:eastAsia="Tex Gyre Termes" w:cs="Tex Gyre Termes"/>
                  <w:b w:val="false"/>
                  <w:i w:val="false"/>
                  <w:color w:val="000000"/>
                  <w:sz w:val="22"/>
                  <w:szCs w:val="22"/>
                  <w:u w:val="none"/>
                </w:rPr>
                <w:t>1.17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01" w:author="Bolívar Aponte Rolón" w:date="2024-08-29T14:04:16Z">
              <w:r>
                <w:rPr>
                  <w:rFonts w:eastAsia="Tex Gyre Termes" w:cs="Tex Gyre Termes"/>
                  <w:b w:val="false"/>
                  <w:i w:val="false"/>
                  <w:color w:val="000000"/>
                  <w:sz w:val="22"/>
                  <w:szCs w:val="22"/>
                  <w:u w:val="none"/>
                </w:rPr>
                <w:t>0.215</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402" w:author="Bolívar Aponte Rolón" w:date="2024-08-29T14:04:16Z"/>
          <w:trHeight w:val="348"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403" w:author="Bolívar Aponte Rolón" w:date="2024-08-29T14:04:16Z">
              <w:r>
                <w:rPr>
                  <w:rFonts w:eastAsia="Tex Gyre Termes" w:cs="Tex Gyre Termes"/>
                  <w:b w:val="false"/>
                  <w:i/>
                  <w:color w:val="000000"/>
                  <w:sz w:val="22"/>
                  <w:szCs w:val="22"/>
                  <w:u w:val="none"/>
                </w:rPr>
                <w:t xml:space="preserve">Dipteryx </w:t>
              </w:r>
            </w:ins>
            <w:ins w:id="404" w:author="Bolívar Aponte Rolón" w:date="2024-08-29T14:04:16Z">
              <w:r>
                <w:rPr>
                  <w:rFonts w:eastAsia="Tex Gyre Termes" w:cs="Tex Gyre Termes"/>
                  <w:b w:val="false"/>
                  <w:i w:val="false"/>
                  <w:iCs w:val="false"/>
                  <w:color w:val="000000"/>
                  <w:sz w:val="22"/>
                  <w:szCs w:val="22"/>
                  <w:u w:val="none"/>
                </w:rPr>
                <w:t>sp.</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05" w:author="Bolívar Aponte Rolón" w:date="2024-08-29T14:04:16Z">
              <w:r>
                <w:rPr>
                  <w:rFonts w:eastAsia="Tex Gyre Termes" w:cs="Tex Gyre Termes"/>
                  <w:b w:val="false"/>
                  <w:i w:val="false"/>
                  <w:color w:val="000000"/>
                  <w:sz w:val="22"/>
                  <w:szCs w:val="22"/>
                  <w:u w:val="none"/>
                </w:rPr>
                <w:t>-0.967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06" w:author="Bolívar Aponte Rolón" w:date="2024-08-29T14:04:16Z">
              <w:r>
                <w:rPr>
                  <w:rFonts w:eastAsia="Tex Gyre Termes" w:cs="Tex Gyre Termes"/>
                  <w:b w:val="false"/>
                  <w:i w:val="false"/>
                  <w:color w:val="000000"/>
                  <w:sz w:val="22"/>
                  <w:szCs w:val="22"/>
                  <w:u w:val="none"/>
                </w:rPr>
                <w:t>0.434</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407"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408" w:author="Bolívar Aponte Rolón" w:date="2024-08-29T14:04:16Z">
              <w:r>
                <w:rPr>
                  <w:rFonts w:eastAsia="Tex Gyre Termes" w:cs="Tex Gyre Termes"/>
                  <w:b w:val="false"/>
                  <w:i/>
                  <w:color w:val="000000"/>
                  <w:sz w:val="22"/>
                  <w:szCs w:val="22"/>
                  <w:u w:val="none"/>
                </w:rPr>
                <w:t>H. concinna</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09" w:author="Bolívar Aponte Rolón" w:date="2024-08-29T14:04:16Z">
              <w:r>
                <w:rPr>
                  <w:rFonts w:eastAsia="Tex Gyre Termes" w:cs="Tex Gyre Termes"/>
                  <w:b w:val="false"/>
                  <w:i w:val="false"/>
                  <w:color w:val="000000"/>
                  <w:sz w:val="22"/>
                  <w:szCs w:val="22"/>
                  <w:u w:val="none"/>
                </w:rPr>
                <w:t>-1.88</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10" w:author="Bolívar Aponte Rolón" w:date="2024-08-29T14:04:16Z">
              <w:r>
                <w:rPr>
                  <w:rFonts w:eastAsia="Tex Gyre Termes" w:cs="Tex Gyre Termes"/>
                  <w:b w:val="false"/>
                  <w:i w:val="false"/>
                  <w:color w:val="000000"/>
                  <w:sz w:val="22"/>
                  <w:szCs w:val="22"/>
                  <w:u w:val="none"/>
                </w:rPr>
                <w:t>-0.443</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411"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412" w:author="Bolívar Aponte Rolón" w:date="2024-08-29T14:04:16Z">
              <w:r>
                <w:rPr>
                  <w:rFonts w:eastAsia="Tex Gyre Termes" w:cs="Tex Gyre Termes"/>
                  <w:b w:val="false"/>
                  <w:i/>
                  <w:color w:val="000000"/>
                  <w:sz w:val="22"/>
                  <w:szCs w:val="22"/>
                  <w:u w:val="none"/>
                </w:rPr>
                <w:t>L. panamensis</w:t>
              </w:r>
            </w:ins>
          </w:p>
        </w:tc>
        <w:tc>
          <w:tcPr>
            <w:tcW w:w="1898"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13" w:author="Bolívar Aponte Rolón" w:date="2024-08-29T14:04:16Z">
              <w:r>
                <w:rPr>
                  <w:rFonts w:eastAsia="Tex Gyre Termes" w:cs="Tex Gyre Termes"/>
                  <w:b w:val="false"/>
                  <w:i w:val="false"/>
                  <w:color w:val="000000"/>
                  <w:sz w:val="22"/>
                  <w:szCs w:val="22"/>
                  <w:u w:val="none"/>
                </w:rPr>
                <w:t>1.97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414" w:author="Bolívar Aponte Rolón" w:date="2024-08-29T14:04:16Z">
              <w:r>
                <w:rPr>
                  <w:rFonts w:eastAsia="Tex Gyre Termes" w:cs="Tex Gyre Termes"/>
                  <w:b w:val="false"/>
                  <w:i w:val="false"/>
                  <w:color w:val="000000"/>
                  <w:sz w:val="22"/>
                  <w:szCs w:val="22"/>
                  <w:u w:val="none"/>
                </w:rPr>
                <w:t>0.13</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415" w:author="Bolívar Aponte Rolón" w:date="2024-08-29T14:04:16Z"/>
          <w:trHeight w:val="360" w:hRule="atLeast"/>
        </w:trPr>
        <w:tc>
          <w:tcPr>
            <w:tcW w:w="1900" w:type="dxa"/>
            <w:tcBorders>
              <w:bottom w:val="single" w:sz="16" w:space="0" w:color="000000"/>
            </w:tcBorders>
            <w:shd w:color="auto" w:fill="FFFFFF" w:val="clear"/>
          </w:tcPr>
          <w:p>
            <w:pPr>
              <w:pStyle w:val="Normal"/>
              <w:spacing w:lineRule="exact" w:line="240" w:before="80" w:after="80"/>
              <w:ind w:hanging="0" w:left="0" w:right="80"/>
              <w:jc w:val="right"/>
              <w:rPr>
                <w:rFonts w:ascii="TeX Gyre Termes" w:hAnsi="TeX Gyre Termes"/>
                <w:sz w:val="22"/>
                <w:szCs w:val="22"/>
              </w:rPr>
            </w:pPr>
            <w:ins w:id="416" w:author="Bolívar Aponte Rolón" w:date="2024-08-29T14:04:16Z">
              <w:r>
                <w:rPr>
                  <w:rFonts w:eastAsia="Tex Gyre Termes" w:cs="Tex Gyre Termes"/>
                  <w:b w:val="false"/>
                  <w:i/>
                  <w:color w:val="000000"/>
                  <w:sz w:val="22"/>
                  <w:szCs w:val="22"/>
                  <w:u w:val="none"/>
                </w:rPr>
                <w:t>T. cacao</w:t>
              </w:r>
            </w:ins>
          </w:p>
        </w:tc>
        <w:tc>
          <w:tcPr>
            <w:tcW w:w="1898"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17" w:author="Bolívar Aponte Rolón" w:date="2024-08-29T14:04:16Z">
              <w:r>
                <w:rPr>
                  <w:rFonts w:eastAsia="Tex Gyre Termes" w:cs="Tex Gyre Termes"/>
                  <w:b w:val="false"/>
                  <w:i w:val="false"/>
                  <w:color w:val="000000"/>
                  <w:sz w:val="22"/>
                  <w:szCs w:val="22"/>
                  <w:u w:val="none"/>
                </w:rPr>
                <w:t>0.22</w:t>
              </w:r>
            </w:ins>
          </w:p>
        </w:tc>
        <w:tc>
          <w:tcPr>
            <w:tcW w:w="1824"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1"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18" w:author="Bolívar Aponte Rolón" w:date="2024-08-29T14:04:16Z">
              <w:r>
                <w:rPr>
                  <w:rFonts w:eastAsia="Tex Gyre Termes" w:cs="Tex Gyre Termes"/>
                  <w:b w:val="false"/>
                  <w:i w:val="false"/>
                  <w:color w:val="000000"/>
                  <w:sz w:val="22"/>
                  <w:szCs w:val="22"/>
                  <w:u w:val="none"/>
                </w:rPr>
                <w:t>-0.213</w:t>
              </w:r>
            </w:ins>
          </w:p>
        </w:tc>
        <w:tc>
          <w:tcPr>
            <w:tcW w:w="1908" w:type="dxa"/>
            <w:tcBorders>
              <w:bottom w:val="single" w:sz="16"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419" w:author="Bolívar Aponte Rolón" w:date="2024-08-29T14:04:16Z"/>
          <w:trHeight w:val="360" w:hRule="atLeast"/>
        </w:trPr>
        <w:tc>
          <w:tcPr>
            <w:tcW w:w="1900" w:type="dxa"/>
            <w:tcBorders>
              <w:top w:val="single" w:sz="16"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rPr>
            </w:pPr>
            <w:ins w:id="420" w:author="Bolívar Aponte Rolón" w:date="2024-08-29T14:04:16Z">
              <w:r>
                <w:rPr>
                  <w:rFonts w:eastAsia="Tex Gyre Termes" w:cs="Tex Gyre Termes"/>
                  <w:b w:val="false"/>
                  <w:i w:val="false"/>
                  <w:color w:val="000000"/>
                  <w:sz w:val="22"/>
                  <w:szCs w:val="22"/>
                  <w:u w:val="none"/>
                </w:rPr>
                <w:t>N</w:t>
              </w:r>
            </w:ins>
          </w:p>
        </w:tc>
        <w:tc>
          <w:tcPr>
            <w:tcW w:w="1898"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21" w:author="Bolívar Aponte Rolón" w:date="2024-08-29T14:04:16Z">
              <w:r>
                <w:rPr>
                  <w:rFonts w:eastAsia="Tex Gyre Termes" w:cs="Tex Gyre Termes"/>
                  <w:b w:val="false"/>
                  <w:i w:val="false"/>
                  <w:color w:val="000000"/>
                  <w:sz w:val="22"/>
                  <w:szCs w:val="22"/>
                  <w:u w:val="none"/>
                </w:rPr>
                <w:t>210</w:t>
              </w:r>
            </w:ins>
          </w:p>
        </w:tc>
        <w:tc>
          <w:tcPr>
            <w:tcW w:w="1824"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1"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22" w:author="Bolívar Aponte Rolón" w:date="2024-08-29T14:04:16Z">
              <w:r>
                <w:rPr>
                  <w:rFonts w:eastAsia="Tex Gyre Termes" w:cs="Tex Gyre Termes"/>
                  <w:b w:val="false"/>
                  <w:i w:val="false"/>
                  <w:color w:val="000000"/>
                  <w:sz w:val="22"/>
                  <w:szCs w:val="22"/>
                  <w:u w:val="none"/>
                </w:rPr>
                <w:t>382</w:t>
              </w:r>
            </w:ins>
          </w:p>
        </w:tc>
        <w:tc>
          <w:tcPr>
            <w:tcW w:w="1908" w:type="dxa"/>
            <w:tcBorders>
              <w:top w:val="single" w:sz="16"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423"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left"/>
              <w:rPr>
                <w:rFonts w:ascii="TeX Gyre Termes" w:hAnsi="TeX Gyre Termes"/>
                <w:sz w:val="22"/>
                <w:szCs w:val="22"/>
              </w:rPr>
            </w:pPr>
            <w:ins w:id="424" w:author="Bolívar Aponte Rolón" w:date="2024-08-29T14:04:16Z">
              <w:r>
                <w:rPr>
                  <w:rFonts w:eastAsia="Tex Gyre Termes" w:cs="Tex Gyre Termes"/>
                  <w:b w:val="false"/>
                  <w:i w:val="false"/>
                  <w:color w:val="000000"/>
                  <w:sz w:val="22"/>
                  <w:szCs w:val="22"/>
                  <w:u w:val="none"/>
                </w:rPr>
                <w:t>logLik</w:t>
              </w:r>
            </w:ins>
          </w:p>
        </w:tc>
        <w:tc>
          <w:tcPr>
            <w:tcW w:w="1898"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25" w:author="Bolívar Aponte Rolón" w:date="2024-08-29T14:04:16Z">
              <w:r>
                <w:rPr>
                  <w:rFonts w:eastAsia="Tex Gyre Termes" w:cs="Tex Gyre Termes"/>
                  <w:b w:val="false"/>
                  <w:i w:val="false"/>
                  <w:color w:val="000000"/>
                  <w:sz w:val="22"/>
                  <w:szCs w:val="22"/>
                  <w:u w:val="none"/>
                </w:rPr>
                <w:t>-298.573</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1"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26" w:author="Bolívar Aponte Rolón" w:date="2024-08-29T14:04:16Z">
              <w:r>
                <w:rPr>
                  <w:rFonts w:eastAsia="Tex Gyre Termes" w:cs="Tex Gyre Termes"/>
                  <w:b w:val="false"/>
                  <w:i w:val="false"/>
                  <w:color w:val="000000"/>
                  <w:sz w:val="22"/>
                  <w:szCs w:val="22"/>
                  <w:u w:val="none"/>
                </w:rPr>
                <w:t>-443.514</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427" w:author="Bolívar Aponte Rolón" w:date="2024-08-29T14:04:16Z"/>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rPr>
            </w:pPr>
            <w:ins w:id="428" w:author="Bolívar Aponte Rolón" w:date="2024-08-29T14:04:16Z">
              <w:r>
                <w:rPr>
                  <w:rFonts w:eastAsia="Tex Gyre Termes" w:cs="Tex Gyre Termes"/>
                  <w:b w:val="false"/>
                  <w:i w:val="false"/>
                  <w:color w:val="000000"/>
                  <w:sz w:val="22"/>
                  <w:szCs w:val="22"/>
                  <w:u w:val="none"/>
                </w:rPr>
                <w:t>AIC</w:t>
              </w:r>
            </w:ins>
          </w:p>
        </w:tc>
        <w:tc>
          <w:tcPr>
            <w:tcW w:w="1898"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29" w:author="Bolívar Aponte Rolón" w:date="2024-08-29T14:04:16Z">
              <w:r>
                <w:rPr>
                  <w:rFonts w:eastAsia="Tex Gyre Termes" w:cs="Tex Gyre Termes"/>
                  <w:b w:val="false"/>
                  <w:i w:val="false"/>
                  <w:color w:val="000000"/>
                  <w:sz w:val="22"/>
                  <w:szCs w:val="22"/>
                  <w:u w:val="none"/>
                </w:rPr>
                <w:t>623.147</w:t>
              </w:r>
            </w:ins>
          </w:p>
        </w:tc>
        <w:tc>
          <w:tcPr>
            <w:tcW w:w="1824"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1"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430" w:author="Bolívar Aponte Rolón" w:date="2024-08-29T14:04:16Z">
              <w:r>
                <w:rPr>
                  <w:rFonts w:eastAsia="Tex Gyre Termes" w:cs="Tex Gyre Termes"/>
                  <w:b w:val="false"/>
                  <w:i w:val="false"/>
                  <w:color w:val="000000"/>
                  <w:sz w:val="22"/>
                  <w:szCs w:val="22"/>
                  <w:u w:val="none"/>
                </w:rPr>
                <w:t>903.028</w:t>
              </w:r>
            </w:ins>
          </w:p>
        </w:tc>
        <w:tc>
          <w:tcPr>
            <w:tcW w:w="1908"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431" w:author="Bolívar Aponte Rolón" w:date="2024-08-29T14:04:16Z"/>
          <w:trHeight w:val="360" w:hRule="atLeast"/>
        </w:trPr>
        <w:tc>
          <w:tcPr>
            <w:tcW w:w="9511" w:type="dxa"/>
            <w:gridSpan w:val="5"/>
            <w:tcBorders>
              <w:top w:val="single" w:sz="8" w:space="0" w:color="000000"/>
              <w:bottom w:val="single" w:sz="2" w:space="0" w:color="000000"/>
            </w:tcBorders>
            <w:shd w:color="auto" w:fill="FFFFFF" w:val="clear"/>
          </w:tcPr>
          <w:p>
            <w:pPr>
              <w:pStyle w:val="Normal"/>
              <w:spacing w:lineRule="exact" w:line="240" w:before="80" w:after="0"/>
              <w:ind w:hanging="0" w:left="0" w:right="80"/>
              <w:jc w:val="left"/>
              <w:rPr>
                <w:rFonts w:ascii="TeX Gyre Termes" w:hAnsi="TeX Gyre Termes"/>
                <w:sz w:val="22"/>
                <w:szCs w:val="22"/>
              </w:rPr>
            </w:pPr>
            <w:ins w:id="432" w:author="Bolívar Aponte Rolón" w:date="2024-08-29T14:04:16Z">
              <w:r>
                <w:rPr>
                  <w:rFonts w:eastAsia="Tex Gyre Termes" w:cs="Tex Gyre Termes"/>
                  <w:b w:val="false"/>
                  <w:i w:val="false"/>
                  <w:color w:val="000000"/>
                  <w:sz w:val="22"/>
                  <w:szCs w:val="22"/>
                  <w:u w:val="none"/>
                </w:rPr>
                <w:t>Significance levels are represented by asterisks [</w:t>
              </w:r>
            </w:ins>
            <w:ins w:id="433" w:author="Bolívar Aponte Rolón" w:date="2024-08-29T14:04:16Z">
              <w:r>
                <w:rPr>
                  <w:rFonts w:eastAsia="Tex Gyre Termes" w:cs="Tex Gyre Termes"/>
                  <w:b w:val="false"/>
                  <w:i/>
                  <w:iCs/>
                  <w:color w:val="000000"/>
                  <w:sz w:val="22"/>
                  <w:szCs w:val="22"/>
                  <w:u w:val="none"/>
                </w:rPr>
                <w:t>p</w:t>
              </w:r>
            </w:ins>
            <w:ins w:id="434" w:author="Bolívar Aponte Rolón" w:date="2024-08-29T14:04:16Z">
              <w:r>
                <w:rPr>
                  <w:rFonts w:eastAsia="Tex Gyre Termes" w:cs="Tex Gyre Termes"/>
                  <w:b w:val="false"/>
                  <w:i w:val="false"/>
                  <w:color w:val="000000"/>
                  <w:sz w:val="22"/>
                  <w:szCs w:val="22"/>
                  <w:u w:val="none"/>
                </w:rPr>
                <w:t xml:space="preserve"> &lt; 0.05 (*), </w:t>
              </w:r>
            </w:ins>
            <w:ins w:id="435" w:author="Bolívar Aponte Rolón" w:date="2024-08-29T14:04:16Z">
              <w:r>
                <w:rPr>
                  <w:rFonts w:eastAsia="Tex Gyre Termes" w:cs="Tex Gyre Termes"/>
                  <w:b w:val="false"/>
                  <w:i/>
                  <w:iCs/>
                  <w:color w:val="000000"/>
                  <w:sz w:val="22"/>
                  <w:szCs w:val="22"/>
                  <w:u w:val="none"/>
                </w:rPr>
                <w:t xml:space="preserve">p </w:t>
              </w:r>
            </w:ins>
            <w:ins w:id="436" w:author="Bolívar Aponte Rolón" w:date="2024-08-29T14:04:16Z">
              <w:r>
                <w:rPr>
                  <w:rFonts w:eastAsia="Tex Gyre Termes" w:cs="Tex Gyre Termes"/>
                  <w:b w:val="false"/>
                  <w:i w:val="false"/>
                  <w:color w:val="000000"/>
                  <w:sz w:val="22"/>
                  <w:szCs w:val="22"/>
                  <w:u w:val="none"/>
                </w:rPr>
                <w:t xml:space="preserve">&lt; 0.01 (**), </w:t>
              </w:r>
            </w:ins>
            <w:ins w:id="437" w:author="Bolívar Aponte Rolón" w:date="2024-08-29T14:04:16Z">
              <w:r>
                <w:rPr>
                  <w:rFonts w:eastAsia="Tex Gyre Termes" w:cs="Tex Gyre Termes"/>
                  <w:b w:val="false"/>
                  <w:i/>
                  <w:iCs/>
                  <w:color w:val="000000"/>
                  <w:sz w:val="22"/>
                  <w:szCs w:val="22"/>
                  <w:u w:val="none"/>
                </w:rPr>
                <w:t>p</w:t>
              </w:r>
            </w:ins>
            <w:ins w:id="438" w:author="Bolívar Aponte Rolón" w:date="2024-08-29T14:04:16Z">
              <w:r>
                <w:rPr>
                  <w:rFonts w:eastAsia="Tex Gyre Termes" w:cs="Tex Gyre Termes"/>
                  <w:b w:val="false"/>
                  <w:i w:val="false"/>
                  <w:color w:val="000000"/>
                  <w:sz w:val="22"/>
                  <w:szCs w:val="22"/>
                  <w:u w:val="none"/>
                </w:rPr>
                <w:t xml:space="preserve"> &lt; 0.001 (***), and </w:t>
              </w:r>
            </w:ins>
            <w:ins w:id="439" w:author="Bolívar Aponte Rolón" w:date="2024-08-29T14:04:16Z">
              <w:r>
                <w:rPr>
                  <w:rFonts w:eastAsia="Tex Gyre Termes" w:cs="Tex Gyre Termes"/>
                  <w:b w:val="false"/>
                  <w:i/>
                  <w:iCs/>
                  <w:color w:val="000000"/>
                  <w:sz w:val="22"/>
                  <w:szCs w:val="22"/>
                  <w:u w:val="none"/>
                </w:rPr>
                <w:t>p</w:t>
              </w:r>
            </w:ins>
            <w:ins w:id="440" w:author="Bolívar Aponte Rolón" w:date="2024-08-29T14:04:16Z">
              <w:r>
                <w:rPr>
                  <w:rFonts w:eastAsia="Tex Gyre Termes" w:cs="Tex Gyre Termes"/>
                  <w:b w:val="false"/>
                  <w:i w:val="false"/>
                  <w:color w:val="000000"/>
                  <w:sz w:val="22"/>
                  <w:szCs w:val="22"/>
                  <w:u w:val="none"/>
                </w:rPr>
                <w:t xml:space="preserve"> &lt; 0.0001 (****)]. T statistics in brackets.</w:t>
              </w:r>
            </w:ins>
          </w:p>
        </w:tc>
      </w:tr>
    </w:tbl>
    <w:p>
      <w:pPr>
        <w:pStyle w:val="Normal"/>
        <w:bidi w:val="0"/>
        <w:spacing w:before="0" w:after="200"/>
        <w:jc w:val="left"/>
        <w:rPr/>
      </w:pPr>
      <w:r>
        <w:rPr/>
      </w:r>
      <w:bookmarkStart w:id="105" w:name="supplementary-materials_Copy_1"/>
      <w:bookmarkStart w:id="106" w:name="supplementary-materials_Copy_1"/>
      <w:bookmarkEnd w:id="106"/>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 w:name="Arial">
    <w:altName w:val="Helvetica Neue"/>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Characters4">
    <w:name w:val="Footnote Characters4"/>
    <w:qFormat/>
    <w:rPr>
      <w:vertAlign w:val="superscript"/>
    </w:rPr>
  </w:style>
  <w:style w:type="character" w:styleId="FootnoteCharacters5">
    <w:name w:val="Footnote Characters5"/>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Characters3">
    <w:name w:val="Endnote Characters3"/>
    <w:qFormat/>
    <w:rPr>
      <w:vertAlign w:val="superscript"/>
    </w:rPr>
  </w:style>
  <w:style w:type="character" w:styleId="EndnoteCharacters4">
    <w:name w:val="Endnote Characters4"/>
    <w:qFormat/>
    <w:rPr>
      <w:vertAlign w:val="superscript"/>
    </w:rPr>
  </w:style>
  <w:style w:type="character" w:styleId="EndnoteCharacters5">
    <w:name w:val="Endnote Characters5"/>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3114/sim.2010.66.01" TargetMode="External"/><Relationship Id="rId40" Type="http://schemas.openxmlformats.org/officeDocument/2006/relationships/hyperlink" Target="https://doi.org/10.1007/s00442-014-3177-2" TargetMode="External"/><Relationship Id="rId41" Type="http://schemas.openxmlformats.org/officeDocument/2006/relationships/hyperlink" Target="https://doi.org/10.1890/0012-9658(2001)082%5B0290:FMMTCD%5D2.0.CO;2" TargetMode="External"/><Relationship Id="rId42" Type="http://schemas.openxmlformats.org/officeDocument/2006/relationships/hyperlink" Target="https://doi.org/10.1016/j.tree.2006.02.002" TargetMode="External"/><Relationship Id="rId43" Type="http://schemas.openxmlformats.org/officeDocument/2006/relationships/hyperlink" Target="https://doi.org/10.1371/journal.pone.0061217" TargetMode="External"/><Relationship Id="rId44" Type="http://schemas.openxmlformats.org/officeDocument/2006/relationships/hyperlink" Target="https://doi.org/10.3389/fmicb.2014.00479" TargetMode="External"/><Relationship Id="rId45" Type="http://schemas.openxmlformats.org/officeDocument/2006/relationships/hyperlink" Target="https://doi.org/10.1016/j.biocontrol.2008.01.012" TargetMode="External"/><Relationship Id="rId46" Type="http://schemas.openxmlformats.org/officeDocument/2006/relationships/hyperlink" Target="https://doi.org/10.3389/fpls.2023.1169558" TargetMode="External"/><Relationship Id="rId47" Type="http://schemas.openxmlformats.org/officeDocument/2006/relationships/hyperlink" Target="https://doi.org/10.1038/s42003-021-01826-7" TargetMode="External"/><Relationship Id="rId48" Type="http://schemas.openxmlformats.org/officeDocument/2006/relationships/hyperlink" Target="https://github.com/vegandevs/vegan" TargetMode="External"/><Relationship Id="rId49" Type="http://schemas.openxmlformats.org/officeDocument/2006/relationships/hyperlink" Target="https://doi.org/10.1007/b98882" TargetMode="External"/><Relationship Id="rId50" Type="http://schemas.openxmlformats.org/officeDocument/2006/relationships/hyperlink" Target="https://CRAN.R-project.org/package=nlme" TargetMode="External"/><Relationship Id="rId51" Type="http://schemas.openxmlformats.org/officeDocument/2006/relationships/hyperlink" Target="https://doi.org/10.1890/0012-9658(2006)87%5B1733:LTAGPO%5D2.0.CO;2" TargetMode="External"/><Relationship Id="rId52" Type="http://schemas.openxmlformats.org/officeDocument/2006/relationships/hyperlink" Target="https://doi.org/10.1146/annurev-phyto-080508-081831" TargetMode="External"/><Relationship Id="rId53" Type="http://schemas.openxmlformats.org/officeDocument/2006/relationships/hyperlink" Target="https://www.R-project.org/" TargetMode="External"/><Relationship Id="rId54" Type="http://schemas.openxmlformats.org/officeDocument/2006/relationships/hyperlink" Target="https://doi.org/10.1098/rsos.160628" TargetMode="External"/><Relationship Id="rId55" Type="http://schemas.openxmlformats.org/officeDocument/2006/relationships/hyperlink" Target="https://doi.org/10.1111/j.1469-8137.2009.02773.x" TargetMode="External"/><Relationship Id="rId56" Type="http://schemas.openxmlformats.org/officeDocument/2006/relationships/hyperlink" Target="https://doi.org/10.7717/peerj.2584" TargetMode="External"/><Relationship Id="rId57" Type="http://schemas.openxmlformats.org/officeDocument/2006/relationships/hyperlink" Target="https://doi.org/10.3897/mycokeys.91.84896" TargetMode="External"/><Relationship Id="rId58" Type="http://schemas.openxmlformats.org/officeDocument/2006/relationships/hyperlink" Target="https://doi.org/10.1073/pnas.1706324114" TargetMode="External"/><Relationship Id="rId59" Type="http://schemas.openxmlformats.org/officeDocument/2006/relationships/hyperlink" Target="https://doi.org/10.1111/j.1752-4571.2010.00141.x" TargetMode="External"/><Relationship Id="rId60" Type="http://schemas.openxmlformats.org/officeDocument/2006/relationships/hyperlink" Target="https://doi.org/10.1038/nmeth.2089" TargetMode="External"/><Relationship Id="rId61" Type="http://schemas.openxmlformats.org/officeDocument/2006/relationships/hyperlink" Target="https://doi.org/10.1086/367580" TargetMode="External"/><Relationship Id="rId62" Type="http://schemas.openxmlformats.org/officeDocument/2006/relationships/hyperlink" Target="https://doi.org/lutzoni" TargetMode="External"/><Relationship Id="rId63" Type="http://schemas.openxmlformats.org/officeDocument/2006/relationships/hyperlink" Target="https://doi.org/10.1111/btp.12303" TargetMode="External"/><Relationship Id="rId64" Type="http://schemas.openxmlformats.org/officeDocument/2006/relationships/hyperlink" Target="https://doi.org/10.1007/978-3-319-24274-3_5" TargetMode="External"/><Relationship Id="rId65" Type="http://schemas.openxmlformats.org/officeDocument/2006/relationships/hyperlink" Target="https://doi.org/dx.doi.org/10.17504/protocols.io.fscbnaw" TargetMode="External"/><Relationship Id="rId66" Type="http://schemas.openxmlformats.org/officeDocument/2006/relationships/hyperlink" Target="https://doi.org/10.1038/s41559-019-0975-2" TargetMode="External"/><Relationship Id="rId67" Type="http://schemas.openxmlformats.org/officeDocument/2006/relationships/hyperlink" Target="https://doi.org/10.1186/s40168-017-0237-y" TargetMode="External"/><Relationship Id="rId68" Type="http://schemas.openxmlformats.org/officeDocument/2006/relationships/hyperlink" Target="https://doi.org/10.1111/j.1469-8137.2005.01349.x" TargetMode="External"/><Relationship Id="rId69" Type="http://schemas.openxmlformats.org/officeDocument/2006/relationships/hyperlink" Target="https://doi.org/10.1038/nature02403" TargetMode="External"/><Relationship Id="rId70" Type="http://schemas.openxmlformats.org/officeDocument/2006/relationships/image" Target="media/image1.png"/><Relationship Id="rId71" Type="http://schemas.openxmlformats.org/officeDocument/2006/relationships/image" Target="media/image2.png"/><Relationship Id="rId72" Type="http://schemas.openxmlformats.org/officeDocument/2006/relationships/image" Target="media/image3.png"/><Relationship Id="rId73" Type="http://schemas.openxmlformats.org/officeDocument/2006/relationships/image" Target="media/image4.png"/><Relationship Id="rId74" Type="http://schemas.openxmlformats.org/officeDocument/2006/relationships/image" Target="media/image5.png"/><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605</TotalTime>
  <Application>LibreOffice/24.8.0.3$Linux_X86_64 LibreOffice_project/480$Build-3</Application>
  <AppVersion>15.0000</AppVersion>
  <Pages>48</Pages>
  <Words>11983</Words>
  <Characters>67189</Characters>
  <CharactersWithSpaces>78837</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cp:lastPrinted>2024-04-17T11:25:32Z</cp:lastPrinted>
  <dcterms:modified xsi:type="dcterms:W3CDTF">2024-09-03T12:54:15Z</dcterms:modified>
  <cp:revision>45</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