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bookmarkStart w:id="0" w:name="table-2"/>
      <w:r>
        <w:rPr/>
        <w:t xml:space="preserve">14.1 Table </w:t>
      </w:r>
      <w:bookmarkEnd w:id="0"/>
      <w:r>
        <w:rPr/>
        <w:t>1</w:t>
      </w:r>
    </w:p>
    <w:p>
      <w:pPr>
        <w:pStyle w:val="BodyText"/>
        <w:bidi w:val="0"/>
        <w:spacing w:before="0" w:after="0"/>
        <w:jc w:val="start"/>
        <w:rPr/>
      </w:pPr>
      <w:r>
        <w:rPr>
          <w:b/>
          <w:bCs/>
        </w:rPr>
        <w:t>Table 1: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Dipteryx sp., n = 288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E- (n = 570)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E+ (n = 544)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>
              <w:top w:val="single" w:sz="6" w:space="0" w:color="000000"/>
              <w:bottom w:val="single" w:sz="6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 = observations ; Mean ± SD</w:t>
            </w:r>
            <w:bookmarkStart w:id="1" w:name="table-2_Copy_1_Copy_1"/>
            <w:bookmarkStart w:id="2" w:name="tables_Copy_1"/>
            <w:bookmarkEnd w:id="1"/>
            <w:bookmarkEnd w:id="2"/>
          </w:p>
        </w:tc>
      </w:tr>
    </w:tbl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14.2 Table 2</w:t>
      </w:r>
    </w:p>
    <w:p>
      <w:pPr>
        <w:pStyle w:val="TableCaption"/>
        <w:spacing w:lineRule="exact" w:line="240" w:before="60" w:after="60"/>
        <w:ind w:hanging="0" w:start="60" w:end="60"/>
        <w:jc w:val="start"/>
        <w:rPr/>
      </w:pPr>
      <w:r>
        <w:rPr>
          <w:b/>
          <w:bCs/>
          <w:i w:val="false"/>
          <w:iCs w:val="false"/>
        </w:rPr>
        <w:t>Table 2: Generalized linear mixed models (GLMMs) for predicting leaf herbivory and pathogen damage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noHBand="0" w:noVBand="1" w:firstColumn="0" w:lastRow="0" w:lastColumn="0" w:firstRow="1"/>
      </w:tblPr>
      <w:tblGrid>
        <w:gridCol w:w="1900"/>
        <w:gridCol w:w="1901"/>
        <w:gridCol w:w="1901"/>
        <w:gridCol w:w="1901"/>
        <w:gridCol w:w="1901"/>
      </w:tblGrid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0" w:end="80"/>
              <w:jc w:val="center"/>
              <w:rPr/>
            </w:pPr>
            <w:r>
              <w:rPr/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Fixed effects</w:t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-0.257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(-2.315 - 1.801 ) [-0.246]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-3.416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(-4.403 - -2.428 ) [-6.801]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Thickness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-0.010 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(-0.018 - -0.002 ) [-2.517]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0.003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(-0.001 - 0.007 ) [1.666]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1741.216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(768.816 - 2713.616 ) [3.531]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171.649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(-181.400 - 524.698 ) [0.956]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Endophyte load (E+)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-0.777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(-1.109 - -0.445 ) [-4.619]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1.390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(0.753 - 2.565 )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Observations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1.827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A. membranacea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cainito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0.654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alliodora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0.463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0.513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H. concinna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0.822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0.365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L. panamensis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0.425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0.312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T. cacao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0.782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0.767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210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382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-358.893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-492.620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741.785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1011.239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9504" w:type="dxa"/>
            <w:gridSpan w:val="5"/>
            <w:tcBorders/>
            <w:shd w:color="auto" w:fill="FFFFFF" w:val="clear"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spacing w:lineRule="exact" w:line="240" w:before="80" w:after="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&lt; .01 (**), p &lt; .001 (***), and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&lt; .0001 (****)]. T statistics in brackets.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3" w:name="tables_Copy_1_Copy_1"/>
      <w:bookmarkStart w:id="4" w:name="tables_Copy_1_Copy_1"/>
      <w:bookmarkEnd w:id="4"/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  <w:bookmarkStart w:id="5" w:name="supplementary-materials"/>
      <w:bookmarkStart w:id="6" w:name="supplementary-materials"/>
      <w:bookmarkEnd w:id="6"/>
    </w:p>
    <w:p>
      <w:pPr>
        <w:pStyle w:val="BodyText"/>
        <w:bidi w:val="0"/>
        <w:spacing w:before="480" w:after="0"/>
        <w:jc w:val="start"/>
        <w:rPr/>
      </w:pPr>
      <w:r>
        <w:rPr/>
      </w:r>
    </w:p>
    <w:p>
      <w:pPr>
        <w:pStyle w:val="Normal"/>
        <w:bidi w:val="0"/>
        <w:spacing w:before="480" w:after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1918"/>
        <w:gridCol w:w="1935"/>
        <w:gridCol w:w="1923"/>
        <w:gridCol w:w="1934"/>
        <w:gridCol w:w="1928"/>
      </w:tblGrid>
      <w:tr>
        <w:trPr/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14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S1: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ACI between species.</w:t>
            </w:r>
          </w:p>
        </w:tc>
      </w:tr>
      <w:tr>
        <w:trPr/>
        <w:tc>
          <w:tcPr>
            <w:tcW w:w="1918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0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2.636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3.713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5.600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2.296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6.179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1.538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9.137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3.154 × 10^-23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6.300 × 10^-22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4.559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5.000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0.53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1.599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3.656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1.150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10^-25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7.276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9.500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2.486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4.000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1.428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3.050 × 10^-3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6.646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3.807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3.062 × 10^-4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10^-3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5.704 × 10^-9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5.700 × 10^-8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3.583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4.300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</w:trPr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8"/>
        <w:gridCol w:w="1935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S2: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LT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8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0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1.793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2.300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6.857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7.836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1.255 × 10^-5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1.000 × 10^-4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4.986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1.604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7.854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0.79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2.605 × 10^-19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5.200 × 10^-18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6.876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4.800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1.382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2.100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4.765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0.48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8.662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1.347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0.14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1.161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6.481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0.65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8.177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8.008 × 10^-32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1.700 × 10^-30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4.639 × 10^-13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10^-12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7.274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107" w:hRule="atLeast"/>
        </w:trPr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1.707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8"/>
        <w:gridCol w:w="1935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S3: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8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0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</w:trPr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8"/>
        <w:gridCol w:w="1935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S4: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8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0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DejaVu San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DejaVu San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>
          <w:trHeight w:val="259" w:hRule="atLeast"/>
        </w:trPr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BodyText"/>
        <w:rPr>
          <w:rFonts w:ascii="TeX Gyre Termes" w:hAnsi="TeX Gyre Termes"/>
        </w:rPr>
      </w:pPr>
      <w:r>
        <w:rPr/>
      </w:r>
    </w:p>
    <w:p>
      <w:pPr>
        <w:pStyle w:val="BodyTex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796"/>
        <w:gridCol w:w="800"/>
        <w:gridCol w:w="809"/>
        <w:gridCol w:w="801"/>
        <w:gridCol w:w="806"/>
        <w:gridCol w:w="803"/>
        <w:gridCol w:w="802"/>
        <w:gridCol w:w="805"/>
        <w:gridCol w:w="806"/>
        <w:gridCol w:w="809"/>
        <w:gridCol w:w="800"/>
        <w:gridCol w:w="800"/>
      </w:tblGrid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S5: Taxonomy of OTUs significantly correlated OTUs with tree host species.</w:t>
            </w:r>
          </w:p>
        </w:tc>
      </w:tr>
      <w:tr>
        <w:trPr/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 leptophlebae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queenslandicum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urceolatum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commune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 parapsilosis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596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Dipteryx sp.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punctatum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 qianensis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305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curta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9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19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0.49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 brasiliensis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stygium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57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hypomiltum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submonticulosum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380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 americanum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936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fraxini-angustifoliae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ignotum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 gamsii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18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 dimorphosporum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50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Lichenostigmatales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 rothmanniae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 phaii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735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0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800"/>
        <w:gridCol w:w="810"/>
        <w:gridCol w:w="801"/>
        <w:gridCol w:w="805"/>
        <w:gridCol w:w="803"/>
        <w:gridCol w:w="803"/>
        <w:gridCol w:w="804"/>
        <w:gridCol w:w="806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Atta colombica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herbivory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  <w:bookmarkStart w:id="7" w:name="table-s1_Copy_2"/>
      <w:bookmarkStart w:id="8" w:name="table-s1_Copy_2"/>
      <w:bookmarkEnd w:id="8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800"/>
        <w:gridCol w:w="810"/>
        <w:gridCol w:w="802"/>
        <w:gridCol w:w="804"/>
        <w:gridCol w:w="803"/>
        <w:gridCol w:w="803"/>
        <w:gridCol w:w="805"/>
        <w:gridCol w:w="805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Calonectria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sp. pathogen damage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0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800"/>
        <w:gridCol w:w="810"/>
        <w:gridCol w:w="802"/>
        <w:gridCol w:w="804"/>
        <w:gridCol w:w="803"/>
        <w:gridCol w:w="803"/>
        <w:gridCol w:w="805"/>
        <w:gridCol w:w="805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0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E+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>
          <w:trHeight w:val="106" w:hRule="atLeast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3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S9: Sterilization protocol for tropical tree seeds</w:t>
            </w:r>
          </w:p>
        </w:tc>
      </w:tr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Tree Species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seed collected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maternal sources</w:t>
            </w:r>
          </w:p>
        </w:tc>
        <w:tc>
          <w:tcPr>
            <w:tcW w:w="2375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Apeiba membranacea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Chrysophylum cainito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Cordia alliodora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403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Heisteria concinna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~6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Lacmellea panamensis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75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rFonts w:ascii="TeX Gyre Termes" w:hAnsi="TeX Gyre Terme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eX Gyre Termes" w:hAnsi="TeX Gyre Termes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DejaVu Sans" w:cs="DejaVu Sans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DejaVu Sans" w:cs="DejaVu Sans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LibreOffice/24.2.4.2$Linux_X86_64 LibreOffice_project/420$Build-2</Application>
  <AppVersion>15.0000</AppVersion>
  <Pages>15</Pages>
  <Words>3733</Words>
  <Characters>21367</Characters>
  <CharactersWithSpaces>22810</CharactersWithSpaces>
  <Paragraphs>2291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2024-07-09T08:08:22Z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