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keepNext w:val="true"/>
        <w:spacing w:before="0" w:after="60"/>
        <w:jc w:val="left"/>
        <w:rPr>
          <w:rFonts w:ascii="TeX Gyre Termes" w:hAnsi="TeX Gyre Termes"/>
          <w:b/>
          <w:bCs/>
          <w:i w:val="false"/>
          <w:i w:val="false"/>
          <w:iCs w:val="false"/>
        </w:rPr>
      </w:pPr>
      <w:r>
        <w:rPr>
          <w:rFonts w:ascii="TeX Gyre Termes" w:hAnsi="TeX Gyre Termes"/>
          <w:b/>
          <w:bCs/>
          <w:i w:val="false"/>
          <w:iCs w:val="false"/>
          <w:sz w:val="24"/>
        </w:rPr>
        <w:t xml:space="preserve">Table </w:t>
      </w:r>
      <w:r>
        <w:rPr>
          <w:rFonts w:ascii="TeX Gyre Termes" w:hAnsi="TeX Gyre Termes"/>
          <w:b/>
          <w:bCs/>
          <w:i w:val="false"/>
          <w:iCs w:val="false"/>
        </w:rPr>
        <w:fldChar w:fldCharType="begin"/>
      </w:r>
      <w:r>
        <w:rPr>
          <w:i w:val="false"/>
          <w:b/>
          <w:iCs w:val="false"/>
          <w:bCs/>
          <w:rFonts w:ascii="TeX Gyre Termes" w:hAnsi="TeX Gyre Termes"/>
        </w:rPr>
        <w:instrText xml:space="preserve"> SEQ Table \* ARABIC </w:instrText>
      </w:r>
      <w:r>
        <w:rPr>
          <w:i w:val="false"/>
          <w:b/>
          <w:iCs w:val="false"/>
          <w:bCs/>
          <w:rFonts w:ascii="TeX Gyre Termes" w:hAnsi="TeX Gyre Termes"/>
        </w:rPr>
        <w:fldChar w:fldCharType="separate"/>
      </w:r>
      <w:r>
        <w:rPr>
          <w:i w:val="false"/>
          <w:b/>
          <w:iCs w:val="false"/>
          <w:bCs/>
          <w:rFonts w:ascii="TeX Gyre Termes" w:hAnsi="TeX Gyre Termes"/>
        </w:rPr>
        <w:t>1</w:t>
      </w:r>
      <w:r>
        <w:rPr>
          <w:i w:val="false"/>
          <w:b/>
          <w:iCs w:val="false"/>
          <w:bCs/>
          <w:rFonts w:ascii="TeX Gyre Termes" w:hAnsi="TeX Gyre Termes"/>
        </w:rPr>
        <w:fldChar w:fldCharType="end"/>
      </w:r>
      <w:r>
        <w:rPr>
          <w:rFonts w:ascii="TeX Gyre Termes" w:hAnsi="TeX Gyre Termes"/>
          <w:b/>
          <w:bCs/>
          <w:i w:val="false"/>
          <w:iCs w:val="false"/>
          <w:sz w:val="24"/>
        </w:rPr>
        <w:t>:</w:t>
      </w: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t xml:space="preserve"> Summary statistics for the relative abundance of endophytes across host tree species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  <w:cantSplit w:val="true"/>
        </w:trPr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</w:r>
          </w:p>
        </w:tc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Mean (±)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Median (±)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Min.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Max.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i/>
                <w:sz w:val="20"/>
              </w:rPr>
              <w:t>A. membranacea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E-high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6.021 (±4.675)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4.867 (±4.675)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0.527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18.814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E-low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1.122 (±0.843)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0.893 (±0.843)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0.285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2.667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i/>
                <w:sz w:val="20"/>
              </w:rPr>
              <w:t>C. alliodora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E-high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5.836 (±8.492)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3.842 (±8.492)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35.445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E-low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0.83 (±0.599)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0.72 (±0.599)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0.125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2.13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i/>
                <w:sz w:val="20"/>
              </w:rPr>
              <w:t>C. cainito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E-high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3.865 (±4.385)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1.786 (±4.385)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12.369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E-low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2.385 (±2.738)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0.639 (±2.738)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7.255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i/>
                <w:sz w:val="20"/>
              </w:rPr>
              <w:t>Dipteryx sp.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E-high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4.142 (±5.675)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1.956 (±5.675)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0.088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18.917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E-low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0.62 (±0.712)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0.37 (±0.712)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0.064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2.848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i/>
                <w:sz w:val="20"/>
              </w:rPr>
              <w:t>H. concinna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E-high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4.934 (±7.397)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0.954 (±7.397)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0.128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19.563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E-low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1.732 (±2.312)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0.334 (±2.312)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0.076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6.266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i/>
                <w:sz w:val="20"/>
              </w:rPr>
              <w:t>L. panamensis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E-high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4.299 (±2.53)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3.83 (±2.53)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0.079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9.315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E-low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1.951 (±1.975)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1.389 (±1.975)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0.128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5.862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i/>
                <w:sz w:val="20"/>
              </w:rPr>
              <w:t>T. cacao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E-high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6.407 (±4.52)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5.088 (±4.52)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0.428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11.639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E-low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1.285 (±0.795)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0.948 (±0.795)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0.204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2.568</w:t>
            </w:r>
          </w:p>
        </w:tc>
      </w:tr>
    </w:tbl>
    <w:p>
      <w:pPr>
        <w:pStyle w:val="FirstParagraph"/>
        <w:spacing w:before="180" w:after="180"/>
        <w:rPr>
          <w:rFonts w:ascii="TeX Gyre Termes" w:hAnsi="TeX Gyre Termes"/>
        </w:rPr>
      </w:pPr>
      <w:r>
        <w:rPr>
          <w:rFonts w:ascii="TeX Gyre Termes" w:hAnsi="TeX Gyre Terme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TeX Gyre Terme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LibreOffice/24.8.3.2$Linux_X86_64 LibreOffice_project/480$Build-2</Application>
  <AppVersion>15.0000</AppVersion>
  <Pages>1</Pages>
  <Words>132</Words>
  <Characters>754</Characters>
  <CharactersWithSpaces>804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2024-11-30T15:21:18Z</dcterms:created>
  <dc:creator/>
  <dc:description/>
  <dc:language>en-US</dc:language>
  <cp:lastModifiedBy>Bolívar Aponte Rolón</cp:lastModifiedBy>
  <dcterms:modified xsi:type="dcterms:W3CDTF">2024-11-30T09:35:00Z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