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8.png" ContentType="image/png"/>
  <Override PartName="/word/media/rId243.png" ContentType="image/png"/>
  <Override PartName="/word/media/rId248.png" ContentType="image/png"/>
  <Override PartName="/word/media/rId253.png" ContentType="image/png"/>
  <Override PartName="/word/media/rId258.png" ContentType="image/png"/>
  <Override PartName="/word/media/rId263.png" ContentType="image/png"/>
  <Override PartName="/word/media/rId268.png" ContentType="image/png"/>
  <Override PartName="/word/media/rId276.png" ContentType="image/png"/>
  <Override PartName="/word/media/rId280.png" ContentType="image/png"/>
  <Override PartName="/word/media/rId284.png" ContentType="image/png"/>
  <Override PartName="/word/media/rId288.png" ContentType="image/png"/>
  <Override PartName="/word/media/rId292.png" ContentType="image/png"/>
  <Override PartName="/word/media/rId296.png" ContentType="image/png"/>
  <Override PartName="/word/media/rId300.png" ContentType="image/png"/>
  <Override PartName="/word/media/rId304.png" ContentType="image/png"/>
  <Override PartName="/word/media/rId30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Foliar fungal symbionts in sympatric yellow monkeyflowers along elevation gradients in the Sierra Nevada</w:t>
      </w:r>
    </w:p>
    <w:p>
      <w:pPr>
        <w:pStyle w:val="Author"/>
      </w:pPr>
      <w:r>
        <w:t xml:space="preserve">Bolívar Aponte Rolón</w:t>
      </w:r>
      <w:r>
        <w:rPr>
          <w:vertAlign w:val="superscript"/>
        </w:rPr>
        <w:t xml:space="preserve">1,✉</w:t>
      </w:r>
      <w:r>
        <w:t xml:space="preserve">, Kathleen G. Ferris</w:t>
      </w:r>
      <w:r>
        <w:rPr>
          <w:vertAlign w:val="superscript"/>
        </w:rPr>
        <w:t xml:space="preserve">1</w:t>
      </w:r>
      <w:r>
        <w:t xml:space="preserve">, and Sunshine A. Van Bael</w:t>
      </w:r>
      <w:r>
        <w:rPr>
          <w:vertAlign w:val="superscript"/>
        </w:rPr>
        <w:t xml:space="preserve">1</w:t>
      </w:r>
    </w:p>
    <w:p>
      <w:pPr>
        <w:pStyle w:val="Date"/>
      </w:pPr>
      <w:r>
        <w:t xml:space="preserve">August 28, 2026</w:t>
      </w:r>
    </w:p>
    <w:p>
      <w:pPr>
        <w:pStyle w:val="FirstParagraph"/>
      </w:pPr>
      <w:r>
        <w:rPr>
          <w:vertAlign w:val="superscript"/>
        </w:rPr>
        <w:t xml:space="preserve">1</w:t>
      </w:r>
      <w:r>
        <w:t xml:space="preserve"> </w:t>
      </w:r>
      <w:r>
        <w:t xml:space="preserve">Department of Ecology and Evolutionary Biology, Tulane University, 6823 St. Charles Avenue, New Orleans, LA 70118</w:t>
      </w:r>
    </w:p>
    <w:p>
      <w:pPr>
        <w:pStyle w:val="BodyText"/>
      </w:pPr>
      <w:r>
        <w:rPr>
          <w:vertAlign w:val="superscript"/>
        </w:rPr>
        <w:t xml:space="preserve">✉</w:t>
      </w:r>
      <w:r>
        <w:t xml:space="preserve"> </w:t>
      </w:r>
      <w:r>
        <w:t xml:space="preserve">Correspondence:</w:t>
      </w:r>
      <w:r>
        <w:t xml:space="preserve"> </w:t>
      </w:r>
      <w:hyperlink r:id="rId9">
        <w:r>
          <w:rPr>
            <w:rStyle w:val="Hyperlink"/>
          </w:rPr>
          <w:t xml:space="preserve">Bolívar Aponte Rolón &lt;bolivar@jhmi.edu&gt;</w:t>
        </w:r>
      </w:hyperlink>
    </w:p>
    <w:p>
      <w:pPr>
        <w:pStyle w:val="SourceCode"/>
      </w:pPr>
      <w:r>
        <w:rPr>
          <w:rStyle w:val="VerbatimChar"/>
        </w:rPr>
        <w:t xml:space="preserve">&lt;environment: R_GlobalEnv&gt;</w:t>
      </w:r>
    </w:p>
    <w:bookmarkStart w:id="10" w:name="keywords"/>
    <w:p>
      <w:pPr>
        <w:pStyle w:val="Heading2"/>
      </w:pPr>
      <w:r>
        <w:t xml:space="preserve">0.1 Keywords</w:t>
      </w:r>
    </w:p>
    <w:bookmarkEnd w:id="10"/>
    <w:bookmarkStart w:id="11" w:name="abstract"/>
    <w:p>
      <w:pPr>
        <w:pStyle w:val="Heading1"/>
      </w:pPr>
      <w:r>
        <w:t xml:space="preserve">1. Abstract</w:t>
      </w:r>
    </w:p>
    <w:p>
      <w:pPr>
        <w:pStyle w:val="FirstParagraph"/>
      </w:pPr>
      <w:r>
        <w:t xml:space="preserve">Microbial symbionts have the potential to contribute to host-plant’s ecological and evolutionary success, especially in plants’ adaptions to harsh environments, however their role has often been overlooked. Conversely, how host local adaptation (e.g., trait divergence across elevation) shapes the composition of associated microbial symbiont communities remains poorly understood. We explored how foliar endophytic fungi (FEF) abundance, richness, and community composition in three sympatric Monkeyflowers, an ecologically diverse group of flowering plants, change across elevation in the Sierra Nevada, CA, USA. We asked: Q1) Are there differences in leaf functional traits among sympatric</w:t>
      </w:r>
      <w:r>
        <w:t xml:space="preserve"> </w:t>
      </w:r>
      <w:r>
        <w:rPr>
          <w:i/>
          <w:iCs/>
        </w:rPr>
        <w:t xml:space="preserve">Mimulus</w:t>
      </w:r>
      <w:r>
        <w:t xml:space="preserve"> </w:t>
      </w:r>
      <w:r>
        <w:t xml:space="preserve">species populations at similar elevations? Q2) Within each host species, how do leaf traits vary along the elevation gradient? Q3) Do host species and elevation jointly shape FEF richness and community composition, and do leaf functional traits predict FEF β-diversity? Q4) Within each host species, does FEF community composition change with geographic distance? We collected</w:t>
      </w:r>
      <w:r>
        <w:t xml:space="preserve"> </w:t>
      </w:r>
      <w:r>
        <w:rPr>
          <w:i/>
          <w:iCs/>
        </w:rPr>
        <w:t xml:space="preserve">M. guttatus</w:t>
      </w:r>
      <w:r>
        <w:t xml:space="preserve">,</w:t>
      </w:r>
      <w:r>
        <w:t xml:space="preserve"> </w:t>
      </w:r>
      <w:r>
        <w:rPr>
          <w:i/>
          <w:iCs/>
        </w:rPr>
        <w:t xml:space="preserve">M. nasutus</w:t>
      </w:r>
      <w:r>
        <w:t xml:space="preserve">, and</w:t>
      </w:r>
      <w:r>
        <w:t xml:space="preserve"> </w:t>
      </w:r>
      <w:r>
        <w:rPr>
          <w:i/>
          <w:iCs/>
        </w:rPr>
        <w:t xml:space="preserve">M.laciniatus</w:t>
      </w:r>
      <w:r>
        <w:t xml:space="preserve"> </w:t>
      </w:r>
      <w:r>
        <w:t xml:space="preserve">individuals from natural populations across the Sierra Nevada, measured leaf functional traits and used ITS sequencing to describe the leaf endophyte community. We found significant associations of FEF community composition with host species, and elevation, suggesting that these factors influence fungal community composition. Furthermore, FEF community dissimilarity was correlated with geographic distance indicating isolation by distance and limited dispersal of fungal endophytes. We detected the prevalence of</w:t>
      </w:r>
      <w:r>
        <w:t xml:space="preserve"> </w:t>
      </w:r>
      <w:r>
        <w:rPr>
          <w:i/>
          <w:iCs/>
        </w:rPr>
        <w:t xml:space="preserve">Vishniacozyma victoriae</w:t>
      </w:r>
      <w:r>
        <w:t xml:space="preserve">, an endophyte found in Antarctica, across all Sierran</w:t>
      </w:r>
      <w:r>
        <w:t xml:space="preserve"> </w:t>
      </w:r>
      <w:r>
        <w:rPr>
          <w:i/>
          <w:iCs/>
        </w:rPr>
        <w:t xml:space="preserve">Mimulus</w:t>
      </w:r>
      <w:r>
        <w:t xml:space="preserve"> </w:t>
      </w:r>
      <w:r>
        <w:t xml:space="preserve">populations. The presence of</w:t>
      </w:r>
      <w:r>
        <w:t xml:space="preserve"> </w:t>
      </w:r>
      <w:r>
        <w:rPr>
          <w:i/>
          <w:iCs/>
        </w:rPr>
        <w:t xml:space="preserve">V. victoriae</w:t>
      </w:r>
      <w:r>
        <w:t xml:space="preserve"> </w:t>
      </w:r>
      <w:r>
        <w:t xml:space="preserve">could play a role in the adaptation of</w:t>
      </w:r>
      <w:r>
        <w:t xml:space="preserve"> </w:t>
      </w:r>
      <w:r>
        <w:rPr>
          <w:i/>
          <w:iCs/>
        </w:rPr>
        <w:t xml:space="preserve">Mimulus</w:t>
      </w:r>
      <w:r>
        <w:t xml:space="preserve"> </w:t>
      </w:r>
      <w:r>
        <w:t xml:space="preserve">to cold, high elevation environments. Our findings offer novel insights into the intricate interactions between fungal endophyte communities, plant traits, and elevation.</w:t>
      </w:r>
    </w:p>
    <w:bookmarkEnd w:id="11"/>
    <w:bookmarkStart w:id="12" w:name="introduction"/>
    <w:p>
      <w:pPr>
        <w:pStyle w:val="Heading1"/>
      </w:pPr>
      <w:r>
        <w:t xml:space="preserve">2. Introduction</w:t>
      </w:r>
    </w:p>
    <w:p>
      <w:pPr>
        <w:pStyle w:val="FirstParagraph"/>
      </w:pPr>
      <w:r>
        <w:t xml:space="preserve">Microbial dispersal is challenging to trace. The general assumption is that most, if not all, microbes are ubiquitous. Nevertheless, the dispersal of microbial communities is not random as it is the result of neutral and selective processes influenced by environmental conditions, geographic distance, and host species</w:t>
      </w:r>
      <w:r>
        <w:t xml:space="preserve"> </w:t>
      </w:r>
      <w:r>
        <w:t xml:space="preserve">(Rebolleda Gómez &amp; Ashman, 2019)</w:t>
      </w:r>
      <w:r>
        <w:t xml:space="preserve">. The co-evolution and symbiotic interactions of plant microbes, such as fungi</w:t>
      </w:r>
      <w:r>
        <w:t xml:space="preserve"> </w:t>
      </w:r>
      <w:r>
        <w:t xml:space="preserve">(Field et al., 2015; Remy et al., 1994; Wang &amp; Qiu, 2006; reviewed in Peay et al., 2016)</w:t>
      </w:r>
      <w:r>
        <w:t xml:space="preserve"> </w:t>
      </w:r>
      <w:r>
        <w:t xml:space="preserve">and bacteria</w:t>
      </w:r>
      <w:r>
        <w:t xml:space="preserve"> </w:t>
      </w:r>
      <w:r>
        <w:t xml:space="preserve">(Adams, 2002; Delaux et al., 2015; Soltis et al., 1995)</w:t>
      </w:r>
      <w:r>
        <w:t xml:space="preserve">, aided plants’ colonization of land across multiple varying climates. However, little is still known about how plant microbiomes influence or are influenced by local adaptation of their host species. Geographic location and environmental conditions are known to influence community composition of symbiotic fungi, with varying effects across different fungal guilds</w:t>
      </w:r>
      <w:r>
        <w:t xml:space="preserve"> </w:t>
      </w:r>
      <w:r>
        <w:t xml:space="preserve">(Bowman &amp; Arnold, 2021; Kivlin et al., 2022)</w:t>
      </w:r>
      <w:r>
        <w:t xml:space="preserve">. Previous studies have suggested that foliar endophytic fungi (FEF), which live inside plant leaves, can alter plant traits under stressful conditions such as drought</w:t>
      </w:r>
      <w:r>
        <w:t xml:space="preserve"> </w:t>
      </w:r>
      <w:r>
        <w:t xml:space="preserve">(Giauque et al., 2019; Giauque &amp; Hawkes, 2013; Song et al., 2016)</w:t>
      </w:r>
      <w:r>
        <w:t xml:space="preserve"> </w:t>
      </w:r>
      <w:r>
        <w:t xml:space="preserve">and therefore may contribute to local adaptation. Given these close associations between host and symbiont the resulting FEF community is influenced by the interplay of environmental conditions, geographic distance and host species.</w:t>
      </w:r>
      <w:r>
        <w:t xml:space="preserve"> </w:t>
      </w:r>
      <w:r>
        <w:t xml:space="preserve">Host traits and host identity can influence FEF communities in a variety of ways. Leaf functional traits, such as leaf thickness, leaf mass per area, and leaf toughness are known to influence plant’s response to abiotic factors like light, temperature, and hydraulic constraints</w:t>
      </w:r>
      <w:r>
        <w:t xml:space="preserve"> </w:t>
      </w:r>
      <w:r>
        <w:t xml:space="preserve">(Nicotra et al., 2011; Oguchi et al., 2018)</w:t>
      </w:r>
      <w:r>
        <w:t xml:space="preserve">. These traits serve as host-imposed filters that play a role in structuring FEF communities</w:t>
      </w:r>
      <w:r>
        <w:t xml:space="preserve"> </w:t>
      </w:r>
      <w:r>
        <w:t xml:space="preserve">(Saunders et al., 2010; Tellez et al., 2022)</w:t>
      </w:r>
      <w:r>
        <w:t xml:space="preserve">. Jointly, host identity has been shown to structure the foliar microbiomes of plants. For example, a study of the classical plant model,</w:t>
      </w:r>
      <w:r>
        <w:t xml:space="preserve"> </w:t>
      </w:r>
      <w:r>
        <w:rPr>
          <w:i/>
          <w:iCs/>
        </w:rPr>
        <w:t xml:space="preserve">Arabidopsis thaliana</w:t>
      </w:r>
      <w:r>
        <w:t xml:space="preserve">, revealed that bacterial and fungal communities in leaves were shaped by host genotype</w:t>
      </w:r>
      <w:r>
        <w:t xml:space="preserve"> </w:t>
      </w:r>
      <w:r>
        <w:t xml:space="preserve">(Horton et al., 2014)</w:t>
      </w:r>
      <w:r>
        <w:t xml:space="preserve">. Recently, Karasov et al.</w:t>
      </w:r>
      <w:r>
        <w:t xml:space="preserve"> </w:t>
      </w:r>
      <w:r>
        <w:t xml:space="preserve">(2024)</w:t>
      </w:r>
      <w:r>
        <w:t xml:space="preserve">, found further support of this hypothesis, showing that the bacterial leaf microbiome in diverse European populations of</w:t>
      </w:r>
      <w:r>
        <w:t xml:space="preserve"> </w:t>
      </w:r>
      <w:r>
        <w:rPr>
          <w:i/>
          <w:iCs/>
        </w:rPr>
        <w:t xml:space="preserve">A. thaliana</w:t>
      </w:r>
      <w:r>
        <w:t xml:space="preserve"> </w:t>
      </w:r>
      <w:r>
        <w:t xml:space="preserve">is influenced by genetic variation in the host. At the local scale,</w:t>
      </w:r>
      <w:r>
        <w:t xml:space="preserve"> </w:t>
      </w:r>
      <w:r>
        <w:rPr>
          <w:i/>
          <w:iCs/>
        </w:rPr>
        <w:t xml:space="preserve">A. thaliana</w:t>
      </w:r>
      <w:r>
        <w:t xml:space="preserve"> </w:t>
      </w:r>
      <w:r>
        <w:t xml:space="preserve">genotype can impose strong selection on the composition of its leaf microbiome, but at the continental scale, while genotype still plays a role, geography and abiotic factors also contribute strongly to symbiont community composition</w:t>
      </w:r>
      <w:r>
        <w:t xml:space="preserve"> </w:t>
      </w:r>
      <w:r>
        <w:t xml:space="preserve">(Karasov et al., 2024)</w:t>
      </w:r>
      <w:r>
        <w:t xml:space="preserve">. The patterns observed in this model system encourage testing these hypotheses in other plant species to determine their broader applicability. The</w:t>
      </w:r>
      <w:r>
        <w:t xml:space="preserve"> </w:t>
      </w:r>
      <w:r>
        <w:rPr>
          <w:i/>
          <w:iCs/>
        </w:rPr>
        <w:t xml:space="preserve">Mimulus guttatus</w:t>
      </w:r>
      <w:r>
        <w:t xml:space="preserve"> </w:t>
      </w:r>
      <w:r>
        <w:t xml:space="preserve">species complex, a closely related interfertile group of species with considerable morphological and ecological variation, is an ideal model system to explore questions about FEF communities and their relationship with host speecies, functional traits, and environmental variation</w:t>
      </w:r>
      <w:r>
        <w:t xml:space="preserve"> </w:t>
      </w:r>
      <w:r>
        <w:t xml:space="preserve">(Vickery, 1978; Wu et al., 2008; with bacterial endophityc communities Salinas Aguilar, 2022)</w:t>
      </w:r>
      <w:r>
        <w:t xml:space="preserve">.</w:t>
      </w:r>
    </w:p>
    <w:p>
      <w:pPr>
        <w:pStyle w:val="BodyText"/>
      </w:pPr>
      <w:r>
        <w:t xml:space="preserve">Previous studies have examined floral and root microbial symbionts in</w:t>
      </w:r>
      <w:r>
        <w:t xml:space="preserve"> </w:t>
      </w:r>
      <w:r>
        <w:rPr>
          <w:i/>
          <w:iCs/>
        </w:rPr>
        <w:t xml:space="preserve">Mimulus</w:t>
      </w:r>
      <w:r>
        <w:t xml:space="preserve"> </w:t>
      </w:r>
      <w:r>
        <w:t xml:space="preserve">species, yet little is known about their foliar symbionts</w:t>
      </w:r>
      <w:r>
        <w:t xml:space="preserve"> </w:t>
      </w:r>
      <w:r>
        <w:t xml:space="preserve">(Belisle et al., 2012; McIntosh et al., 2024; Rebolleda Gómez &amp; Ashman, 2019)</w:t>
      </w:r>
      <w:r>
        <w:t xml:space="preserve">. Aboveground, Beslile et al.</w:t>
      </w:r>
      <w:r>
        <w:t xml:space="preserve"> </w:t>
      </w:r>
      <w:r>
        <w:t xml:space="preserve">(2012)</w:t>
      </w:r>
      <w:r>
        <w:t xml:space="preserve"> </w:t>
      </w:r>
      <w:r>
        <w:t xml:space="preserve">reported on the distribution of diverse fungal communities in the flower nectar of</w:t>
      </w:r>
      <w:r>
        <w:t xml:space="preserve"> </w:t>
      </w:r>
      <w:r>
        <w:rPr>
          <w:i/>
          <w:iCs/>
        </w:rPr>
        <w:t xml:space="preserve">Mimulus aurantiacus</w:t>
      </w:r>
      <w:r>
        <w:t xml:space="preserve">. The authors considered flowers as islands in a metapopulation system and found that the frequency of micro-fungi (i.e., yeasts) was significantly correlated to the location of the plant and marginally correlated with the density of the flowers in the plant</w:t>
      </w:r>
      <w:r>
        <w:t xml:space="preserve"> </w:t>
      </w:r>
      <w:r>
        <w:t xml:space="preserve">(Belisle et al., 2012)</w:t>
      </w:r>
      <w:r>
        <w:t xml:space="preserve">. Another study by Rebolleda et al</w:t>
      </w:r>
      <w:r>
        <w:t xml:space="preserve"> </w:t>
      </w:r>
      <w:r>
        <w:t xml:space="preserve">(2019)</w:t>
      </w:r>
      <w:r>
        <w:t xml:space="preserve">, examined epiphytic bacterial communities of different flower parts in</w:t>
      </w:r>
      <w:r>
        <w:t xml:space="preserve"> </w:t>
      </w:r>
      <w:r>
        <w:rPr>
          <w:i/>
          <w:iCs/>
        </w:rPr>
        <w:t xml:space="preserve">Mimulus guttatus</w:t>
      </w:r>
      <w:r>
        <w:t xml:space="preserve"> </w:t>
      </w:r>
      <w:r>
        <w:t xml:space="preserve">and found that pollinator choice drives strong micro-environmental selection of bacterial communities, overwhelming the effects of geographic distance. Belowground, arbuscular mycorrhizal fungi (AMF) are known to associate with</w:t>
      </w:r>
      <w:r>
        <w:t xml:space="preserve"> </w:t>
      </w:r>
      <w:r>
        <w:rPr>
          <w:i/>
          <w:iCs/>
        </w:rPr>
        <w:t xml:space="preserve">M. guttatus</w:t>
      </w:r>
      <w:r>
        <w:t xml:space="preserve"> </w:t>
      </w:r>
      <w:r>
        <w:t xml:space="preserve">(Bunn et al., 2009; McIntosh et al., 2024)</w:t>
      </w:r>
      <w:r>
        <w:t xml:space="preserve">.</w:t>
      </w:r>
    </w:p>
    <w:p>
      <w:pPr>
        <w:pStyle w:val="BodyText"/>
      </w:pPr>
      <w:r>
        <w:t xml:space="preserve">Foliar symbionts can increase plant fitness under stressful conditions</w:t>
      </w:r>
      <w:r>
        <w:t xml:space="preserve"> </w:t>
      </w:r>
      <w:r>
        <w:t xml:space="preserve">(Aimone et al., 2023; Giauque et al., 2019; Karasov et al., 2024; Shankar Naik, 2019)</w:t>
      </w:r>
      <w:r>
        <w:t xml:space="preserve">. Altitudinal gradients provide excellent natural laboratories to explore environmental effects on plant-microbe interactions and potential local adaptation of the microbiome. The</w:t>
      </w:r>
      <w:r>
        <w:t xml:space="preserve"> </w:t>
      </w:r>
      <w:r>
        <w:rPr>
          <w:i/>
          <w:iCs/>
        </w:rPr>
        <w:t xml:space="preserve">M. guttatus</w:t>
      </w:r>
      <w:r>
        <w:t xml:space="preserve"> </w:t>
      </w:r>
      <w:r>
        <w:t xml:space="preserve">species complex occupies a wide range of habitats in Western North America</w:t>
      </w:r>
      <w:r>
        <w:t xml:space="preserve"> </w:t>
      </w:r>
      <w:r>
        <w:t xml:space="preserve">(Wu et al., 2008)</w:t>
      </w:r>
      <w:r>
        <w:t xml:space="preserve">, including elevational gradients in the Sierra Nevada, CA where multiple closely related species occur sympatrically. This makes it an interesting system to examine the composition of FEF communities across species and elevation to determine if they align with broader ecological patterns. A study by Aguilar et al</w:t>
      </w:r>
      <w:r>
        <w:t xml:space="preserve"> </w:t>
      </w:r>
      <w:r>
        <w:t xml:space="preserve">(2022)</w:t>
      </w:r>
      <w:r>
        <w:t xml:space="preserve">, revealed that in</w:t>
      </w:r>
      <w:r>
        <w:t xml:space="preserve"> </w:t>
      </w:r>
      <w:r>
        <w:rPr>
          <w:i/>
          <w:iCs/>
        </w:rPr>
        <w:t xml:space="preserve">M. laciniatus</w:t>
      </w:r>
      <w:r>
        <w:t xml:space="preserve">, the bacterial community structure of roots and shoots and the substrate origin (soil, and moss) differed acrros a range of population and sites. Similarly, a study by Kazenel et al.</w:t>
      </w:r>
      <w:r>
        <w:t xml:space="preserve"> </w:t>
      </w:r>
      <w:r>
        <w:t xml:space="preserve">(2019)</w:t>
      </w:r>
      <w:r>
        <w:t xml:space="preserve">, found that the composition of root and leaf endophytes in cool-season, perennial grasses, varied differently with altitude and warming. Others have found that elevation and site are the strongest predictors of fungal taxa</w:t>
      </w:r>
      <w:r>
        <w:t xml:space="preserve"> </w:t>
      </w:r>
      <w:r>
        <w:t xml:space="preserve">(Cordier et al., 2012)</w:t>
      </w:r>
      <w:r>
        <w:t xml:space="preserve">. However few studies have examined the effect of both host species and environmental variation on FEF community composition.</w:t>
      </w:r>
    </w:p>
    <w:p>
      <w:pPr>
        <w:pStyle w:val="BodyText"/>
      </w:pPr>
      <w:r>
        <w:t xml:space="preserve">Here we use amplicon sequencing to explore how FEF communities vary among sympatric populations of</w:t>
      </w:r>
      <w:r>
        <w:t xml:space="preserve"> </w:t>
      </w:r>
      <w:r>
        <w:rPr>
          <w:i/>
          <w:iCs/>
        </w:rPr>
        <w:t xml:space="preserve">M. guttatus</w:t>
      </w:r>
      <w:r>
        <w:t xml:space="preserve">,</w:t>
      </w:r>
      <w:r>
        <w:t xml:space="preserve"> </w:t>
      </w:r>
      <w:r>
        <w:rPr>
          <w:i/>
          <w:iCs/>
        </w:rPr>
        <w:t xml:space="preserve">M. laciniatus</w:t>
      </w:r>
      <w:r>
        <w:t xml:space="preserve"> </w:t>
      </w:r>
      <w:r>
        <w:t xml:space="preserve">and</w:t>
      </w:r>
      <w:r>
        <w:t xml:space="preserve"> </w:t>
      </w:r>
      <w:r>
        <w:rPr>
          <w:i/>
          <w:iCs/>
        </w:rPr>
        <w:t xml:space="preserve">M. nasutus</w:t>
      </w:r>
      <w:r>
        <w:t xml:space="preserve"> </w:t>
      </w:r>
      <w:r>
        <w:t xml:space="preserve">collected along replicated elevation gradients throughout the central Sierra Nevada, CA (</w:t>
      </w:r>
      <w:hyperlink w:anchor="fig-figure1">
        <w:r>
          <w:rPr>
            <w:rStyle w:val="Hyperlink"/>
          </w:rPr>
          <w:t xml:space="preserve">Fig. 1</w:t>
        </w:r>
      </w:hyperlink>
      <w:r>
        <w:t xml:space="preserve">). We test the following questions: Q1) Are there differences in leaf functional traits among sympatric</w:t>
      </w:r>
      <w:r>
        <w:t xml:space="preserve"> </w:t>
      </w:r>
      <w:r>
        <w:rPr>
          <w:i/>
          <w:iCs/>
        </w:rPr>
        <w:t xml:space="preserve">Mimulus</w:t>
      </w:r>
      <w:r>
        <w:t xml:space="preserve"> </w:t>
      </w:r>
      <w:r>
        <w:t xml:space="preserve">species populations at similar elevations? Q2) Within each host species, how do leaf traits vary along the elevation gradient? Q3) Do host species and elevation jointly shape FEF richness and community composition, and do leaf functional traits predict FEF β-diversity? Q4) Within each host species, does FEF community composition change with geographic distance? We include leaf thickness (LT), leaf punch strength (LPS), leaf mass per area (LMA), and anthocyanin content index (ACI) because these traits are known to influence the structure of FEF communities and play key roles in plant defenses against herbivores and pathogens</w:t>
      </w:r>
      <w:r>
        <w:t xml:space="preserve"> </w:t>
      </w:r>
      <w:r>
        <w:t xml:space="preserve">(Aponte Rolón et al., 2024; Gould, 2004; Saunders et al., 2010; Tellez et al., 2022)</w:t>
      </w:r>
      <w:r>
        <w:t xml:space="preserve">. Additionally, we include leaf lobe index (LBI) to measure how distinct leaf shape is between the three</w:t>
      </w:r>
      <w:r>
        <w:t xml:space="preserve"> </w:t>
      </w:r>
      <w:r>
        <w:rPr>
          <w:i/>
          <w:iCs/>
        </w:rPr>
        <w:t xml:space="preserve">Mimulus</w:t>
      </w:r>
      <w:r>
        <w:t xml:space="preserve"> </w:t>
      </w:r>
      <w:r>
        <w:t xml:space="preserve">species and leaf lobing’s potential effects on light exposure, temperature regulation, and hydraulic constraints within leaf tissue , which may, in turn, impact FEF symbionts</w:t>
      </w:r>
      <w:r>
        <w:t xml:space="preserve"> </w:t>
      </w:r>
      <w:r>
        <w:t xml:space="preserve">(Ferris et al., 2015; Nicotra et al., 2011; Nobel, 2009)</w:t>
      </w:r>
      <w:r>
        <w:t xml:space="preserve">. We predicted that abundance, diversity,and richness would decline with increased elevation, and community composition of FEF would be more similar among the same sites (alpha diversity) than between sites (beta diversity) regardless of host species. Our results provide insights into how host genotype and environmental variation affect the ecological dynamics of plant-microbe interactions.</w:t>
      </w:r>
    </w:p>
    <w:p>
      <w:pPr>
        <w:pStyle w:val="BodyText"/>
      </w:pPr>
    </w:p>
    <w:bookmarkEnd w:id="12"/>
    <w:bookmarkStart w:id="22" w:name="materials-and-methods"/>
    <w:p>
      <w:pPr>
        <w:pStyle w:val="Heading1"/>
      </w:pPr>
      <w:r>
        <w:t xml:space="preserve">3. Materials and Methods</w:t>
      </w:r>
    </w:p>
    <w:bookmarkStart w:id="13" w:name="sample-collection"/>
    <w:p>
      <w:pPr>
        <w:pStyle w:val="Heading2"/>
      </w:pPr>
      <w:r>
        <w:t xml:space="preserve">3.1 Sample Collection</w:t>
      </w:r>
    </w:p>
    <w:p>
      <w:pPr>
        <w:pStyle w:val="FirstParagraph"/>
      </w:pPr>
      <w:r>
        <w:t xml:space="preserve">To examine the effects of geography and host species on FEF communities, we collected plant specimens during April-July 2021 and 2022 from populations of</w:t>
      </w:r>
      <w:r>
        <w:t xml:space="preserve"> </w:t>
      </w:r>
      <w:r>
        <w:rPr>
          <w:i/>
          <w:iCs/>
        </w:rPr>
        <w:t xml:space="preserve">M. guttatus</w:t>
      </w:r>
      <w:r>
        <w:t xml:space="preserve">,</w:t>
      </w:r>
      <w:r>
        <w:t xml:space="preserve"> </w:t>
      </w:r>
      <w:r>
        <w:rPr>
          <w:i/>
          <w:iCs/>
        </w:rPr>
        <w:t xml:space="preserve">M. laciniatus</w:t>
      </w:r>
      <w:r>
        <w:t xml:space="preserve">, and</w:t>
      </w:r>
      <w:r>
        <w:t xml:space="preserve"> </w:t>
      </w:r>
      <w:r>
        <w:rPr>
          <w:i/>
          <w:iCs/>
        </w:rPr>
        <w:t xml:space="preserve">M. nasutus</w:t>
      </w:r>
      <w:r>
        <w:t xml:space="preserve"> </w:t>
      </w:r>
      <w:r>
        <w:t xml:space="preserve">(syn.</w:t>
      </w:r>
      <w:r>
        <w:t xml:space="preserve"> </w:t>
      </w:r>
      <w:r>
        <w:rPr>
          <w:i/>
          <w:iCs/>
        </w:rPr>
        <w:t xml:space="preserve">Erythranthe guttata</w:t>
      </w:r>
      <w:r>
        <w:t xml:space="preserve">,</w:t>
      </w:r>
      <w:r>
        <w:t xml:space="preserve"> </w:t>
      </w:r>
      <w:r>
        <w:rPr>
          <w:i/>
          <w:iCs/>
        </w:rPr>
        <w:t xml:space="preserve">Erythranthe laciniata</w:t>
      </w:r>
      <w:r>
        <w:t xml:space="preserve">, and</w:t>
      </w:r>
      <w:r>
        <w:t xml:space="preserve"> </w:t>
      </w:r>
      <w:r>
        <w:rPr>
          <w:i/>
          <w:iCs/>
        </w:rPr>
        <w:t xml:space="preserve">Erythranthe nasuta</w:t>
      </w:r>
      <w:r>
        <w:t xml:space="preserve">) across Stanislaus National Forest (SNF), Sierra National Forest (SINF) and Yosemite National Park (YNP), CA, USA (</w:t>
      </w:r>
      <w:hyperlink w:anchor="supptbl-1">
        <w:r>
          <w:rPr>
            <w:rStyle w:val="Hyperlink"/>
          </w:rPr>
          <w:t xml:space="preserve">Table S1</w:t>
        </w:r>
      </w:hyperlink>
      <w:r>
        <w:t xml:space="preserve">). We haphazardly selected sites close to the main roads based on the presence of a viable population with at least ~ 50 individuals per species. Samples collected from YNP were collected from non-wilderness areas on the side of the road. We determined population viability ensuring that they had individuals flowering or close to flowering stage. We collected between 5 - 20 individuals per species from a total of 25 sites (Table 1). We selected individuals that possessed healthy looking leaves and no visible signs of pathogen damage or senescence. At sites where two species were present, we collected individuals that were at least ~ 25 meters apart. We collected sample specimens by carefully uprooting the plant and placing into individual plastic bags (e.g., Ziploc®) and preserving in an ice chest until return to the field laboratory at the UC Merced Yosemite Field Station, YNP, CA, USA. Plant specimens were processed within 8 hrs of collection.</w:t>
      </w:r>
    </w:p>
    <w:bookmarkEnd w:id="13"/>
    <w:bookmarkStart w:id="14" w:name="leaf-trait-measurements"/>
    <w:p>
      <w:pPr>
        <w:pStyle w:val="Heading2"/>
      </w:pPr>
      <w:r>
        <w:t xml:space="preserve">3.2 Leaf trait measurements</w:t>
      </w:r>
    </w:p>
    <w:p>
      <w:pPr>
        <w:pStyle w:val="FirstParagraph"/>
      </w:pPr>
      <w:r>
        <w:t xml:space="preserve">To quantify phenotypic diversity among and within these species, we measured leaf thickness (LT), leaf punch strength (LPS), leaf mass per area (LMA), anthocyanin content index (ACI) and leaf lobe index (LBI) on all 309 field collected specimens, taking three measurements per trait from three haphazardly selected leaves per plant (one leaf for LBI). LBI was calculated in ImageJ [v1.52r;</w:t>
      </w:r>
      <w:r>
        <w:t xml:space="preserve"> </w:t>
      </w:r>
      <w:r>
        <w:t xml:space="preserve">Schneider et al. (2012)</w:t>
      </w:r>
      <w:r>
        <w:t xml:space="preserve">] as the convex hull area minus the true leaf area divided by convex hull area, following Ferris et al.</w:t>
      </w:r>
      <w:r>
        <w:t xml:space="preserve"> </w:t>
      </w:r>
      <w:r>
        <w:t xml:space="preserve">(2015)</w:t>
      </w:r>
      <w:r>
        <w:t xml:space="preserve">. ACI was measured with a chlorophyll/anthocyanin content meter, LT with a digital micrometer gauge, and LPS (leaf toughness) with a digital force gauge via punch-and-die tests</w:t>
      </w:r>
      <w:r>
        <w:t xml:space="preserve"> </w:t>
      </w:r>
      <w:r>
        <w:t xml:space="preserve">(Tellez et al., 2022)</w:t>
      </w:r>
      <w:r>
        <w:t xml:space="preserve">; LMA was determined from leaf disk punches dried at 60℃ for 48-72 hours before weighing. Full instrument models, vendors, and measurement parameters are provided in Supplementary Methods.</w:t>
      </w:r>
    </w:p>
    <w:bookmarkEnd w:id="14"/>
    <w:bookmarkStart w:id="18" w:name="molecular-work"/>
    <w:p>
      <w:pPr>
        <w:pStyle w:val="Heading2"/>
      </w:pPr>
      <w:r>
        <w:t xml:space="preserve">3.3 Molecular Work</w:t>
      </w:r>
    </w:p>
    <w:bookmarkStart w:id="15" w:name="tissue-preservation"/>
    <w:p>
      <w:pPr>
        <w:pStyle w:val="Heading3"/>
      </w:pPr>
      <w:r>
        <w:t xml:space="preserve">3.3.1 Tissue preservation</w:t>
      </w:r>
    </w:p>
    <w:p>
      <w:pPr>
        <w:pStyle w:val="FirstParagraph"/>
      </w:pPr>
      <w:r>
        <w:t xml:space="preserve">We assessed FEF community composition using an amplicon sequencing approach. Upon completion of the leaf trait measurements, we surface-sterilized leaf strips (sequential ethanol and sodium hypochlorite washes)</w:t>
      </w:r>
      <w:r>
        <w:t xml:space="preserve"> </w:t>
      </w:r>
      <w:r>
        <w:t xml:space="preserve">(Arnold et al., 2003; Higgins et al., 2014; Tellez et al., 2022)</w:t>
      </w:r>
      <w:r>
        <w:t xml:space="preserve"> </w:t>
      </w:r>
      <w:r>
        <w:t xml:space="preserve">and preserved them in CTAB solution under sterile conditions at the UC Merced Yosemite Field Station. Full sterilization, cutting, and preservation protocol details are provided in Supplementary Methods.</w:t>
      </w:r>
    </w:p>
    <w:bookmarkEnd w:id="15"/>
    <w:bookmarkStart w:id="16" w:name="amplicon-sequencing"/>
    <w:p>
      <w:pPr>
        <w:pStyle w:val="Heading3"/>
      </w:pPr>
      <w:r>
        <w:t xml:space="preserve">3.3.2 Amplicon sequencing</w:t>
      </w:r>
    </w:p>
    <w:p>
      <w:pPr>
        <w:pStyle w:val="FirstParagraph"/>
      </w:pPr>
      <w:r>
        <w:t xml:space="preserve">We extracted high-molecular-weight DNA using a CTAB:chloroform:isoamyl protocol combined with a solid-phase reversible immobilization (SPRI) bead step, adapted from Russo et al.</w:t>
      </w:r>
      <w:r>
        <w:t xml:space="preserve"> </w:t>
      </w:r>
      <w:r>
        <w:t xml:space="preserve">(Liu et al., 2023; Rohland &amp; Reich, 2012; 2022)</w:t>
      </w:r>
      <w:r>
        <w:t xml:space="preserve"> </w:t>
      </w:r>
      <w:r>
        <w:t xml:space="preserve">and optimized for fungal DNA from preserved leaf tissue</w:t>
      </w:r>
      <w:r>
        <w:t xml:space="preserve"> </w:t>
      </w:r>
      <w:r>
        <w:t xml:space="preserve">(Aponte Rolón, 2023)</w:t>
      </w:r>
      <w:r>
        <w:t xml:space="preserve">. We amplified the fungal ITS region using primers ITS1F</w:t>
      </w:r>
      <w:r>
        <w:t xml:space="preserve"> </w:t>
      </w:r>
      <w:r>
        <w:t xml:space="preserve">(Gardes &amp; Bruns, 1993)</w:t>
      </w:r>
      <w:r>
        <w:t xml:space="preserve"> </w:t>
      </w:r>
      <w:r>
        <w:t xml:space="preserve">and ITS2</w:t>
      </w:r>
      <w:r>
        <w:t xml:space="preserve"> </w:t>
      </w:r>
      <w:r>
        <w:t xml:space="preserve">(White, T. J. et al., 1990)</w:t>
      </w:r>
      <w:r>
        <w:t xml:space="preserve"> </w:t>
      </w:r>
      <w:r>
        <w:t xml:space="preserve">with Illumina TruSeq adapters, following a two-step PCR amplification approach</w:t>
      </w:r>
      <w:r>
        <w:t xml:space="preserve"> </w:t>
      </w:r>
      <w:r>
        <w:t xml:space="preserve">(Lumibao et al., 2018; Sarmiento et al., 2017; U’Ren &amp; Arnold, 2017)</w:t>
      </w:r>
      <w:r>
        <w:t xml:space="preserve">, and included DNA extraction and PCR negative controls throughout to monitor contamination; none was detected visually or fluorometrically. Libraries were sequenced on the Illumina MiSeq platform with Reagent Kit v3 (2 × 300 bp) at the Duke Genome Sequencing and Analysis Core Facility (Durham, NC, USA). Full reagent, instrument, catalog, and reaction-volume details are provided in Supplementary Methods.</w:t>
      </w:r>
    </w:p>
    <w:bookmarkEnd w:id="16"/>
    <w:bookmarkStart w:id="17" w:name="bioinformatic-analyses"/>
    <w:p>
      <w:pPr>
        <w:pStyle w:val="Heading3"/>
      </w:pPr>
      <w:r>
        <w:t xml:space="preserve">3.3.3 Bioinformatic analyses</w:t>
      </w:r>
    </w:p>
    <w:p>
      <w:pPr>
        <w:pStyle w:val="FirstParagraph"/>
      </w:pPr>
      <w:r>
        <w:t xml:space="preserve">We assessed the quality of the reads using FastQc v0.12.1 [ v0.12.1;</w:t>
      </w:r>
      <w:r>
        <w:t xml:space="preserve"> </w:t>
      </w:r>
      <w:r>
        <w:t xml:space="preserve">Andrews et al. (2010)</w:t>
      </w:r>
      <w:r>
        <w:t xml:space="preserve">] and MultiQC</w:t>
      </w:r>
      <w:r>
        <w:t xml:space="preserve"> </w:t>
      </w:r>
      <w:r>
        <w:t xml:space="preserve">(Ewels et al., 2016)</w:t>
      </w:r>
      <w:r>
        <w:t xml:space="preserve"> </w:t>
      </w:r>
      <w:r>
        <w:t xml:space="preserve">tools. A total of 60,696,808 total ITS1 reads yielded from 343 (including 27 controls) libraries sequenced in two separate sequencing runs. The first sequencing event (177 samples and 15 controls) yielded 32,117,684 and the second (139 sample and 12 controls) 28,579,124 ITS1 reads. We tailored the open-source DADA2 bioinformatic pipeline for our data set</w:t>
      </w:r>
      <w:r>
        <w:t xml:space="preserve"> </w:t>
      </w:r>
      <w:r>
        <w:t xml:space="preserve">(Callahan et al., 2016)</w:t>
      </w:r>
      <w:r>
        <w:t xml:space="preserve">. Based on our initial quality assessment, both forward and reverse reads were of low quality, with base calls deteriorating after 100 bp. We filtered our reads for ambiguous calls before removing the adapters by using</w:t>
      </w:r>
      <w:r>
        <w:t xml:space="preserve"> </w:t>
      </w:r>
      <w:r>
        <w:rPr>
          <w:rStyle w:val="VerbatimChar"/>
        </w:rPr>
        <w:t xml:space="preserve">filterAndTrim</w:t>
      </w:r>
      <w:r>
        <w:t xml:space="preserve"> </w:t>
      </w:r>
      <w:r>
        <w:t xml:space="preserve">function and argument</w:t>
      </w:r>
      <w:r>
        <w:t xml:space="preserve"> </w:t>
      </w:r>
      <w:r>
        <w:rPr>
          <w:rStyle w:val="VerbatimChar"/>
        </w:rPr>
        <w:t xml:space="preserve">maxN = 0</w:t>
      </w:r>
      <w:r>
        <w:t xml:space="preserve"> </w:t>
      </w:r>
      <w:r>
        <w:t xml:space="preserve">from the</w:t>
      </w:r>
      <w:r>
        <w:t xml:space="preserve"> </w:t>
      </w:r>
      <w:r>
        <w:rPr>
          <w:rStyle w:val="VerbatimChar"/>
        </w:rPr>
        <w:t xml:space="preserve">dada2</w:t>
      </w:r>
      <w:r>
        <w:t xml:space="preserve"> </w:t>
      </w:r>
      <w:r>
        <w:t xml:space="preserve">package [v1.28.0;</w:t>
      </w:r>
      <w:r>
        <w:t xml:space="preserve"> </w:t>
      </w:r>
      <w:r>
        <w:t xml:space="preserve">Callahan et al. (2016)</w:t>
      </w:r>
      <w:r>
        <w:t xml:space="preserve">]. We removed forward and reverse primer adapters (and their reverse compliments) and eliminated reads shorter than 20 bp using the</w:t>
      </w:r>
      <w:r>
        <w:t xml:space="preserve"> </w:t>
      </w:r>
      <w:r>
        <w:rPr>
          <w:rStyle w:val="VerbatimChar"/>
        </w:rPr>
        <w:t xml:space="preserve">cutadapt</w:t>
      </w:r>
      <w:r>
        <w:t xml:space="preserve"> </w:t>
      </w:r>
      <w:r>
        <w:t xml:space="preserve">tool</w:t>
      </w:r>
      <w:r>
        <w:t xml:space="preserve"> </w:t>
      </w:r>
      <w:r>
        <w:t xml:space="preserve">(v4.6, Martin, 2011)</w:t>
      </w:r>
      <w:r>
        <w:t xml:space="preserve">. After removing ambiguous calls and forward and reverse primers, we assessed the quality of the reads again and saw slight improvement. We proceeded to apply stringent filter and truncation parameters to ensure quality of reads when assigning taxonomy. We filtered and truncated reads based on maximum expected errors (maxEE) rather than read length as it provides a reliable quality filtering</w:t>
      </w:r>
      <w:r>
        <w:t xml:space="preserve"> </w:t>
      </w:r>
      <w:r>
        <w:t xml:space="preserve">(Edgar &amp; Flyvbjerg, 2015)</w:t>
      </w:r>
      <w:r>
        <w:t xml:space="preserve">. For this we set the arguments</w:t>
      </w:r>
      <w:r>
        <w:t xml:space="preserve"> </w:t>
      </w:r>
      <w:r>
        <w:rPr>
          <w:rStyle w:val="VerbatimChar"/>
        </w:rPr>
        <w:t xml:space="preserve">trunQ = 2</w:t>
      </w:r>
      <w:r>
        <w:t xml:space="preserve">,</w:t>
      </w:r>
      <w:r>
        <w:t xml:space="preserve"> </w:t>
      </w:r>
      <w:r>
        <w:rPr>
          <w:rStyle w:val="VerbatimChar"/>
        </w:rPr>
        <w:t xml:space="preserve">maxEE = c(2,2)</w:t>
      </w:r>
      <w:r>
        <w:t xml:space="preserve"> </w:t>
      </w:r>
      <w:r>
        <w:t xml:space="preserve">for forward and reverse reads, and minimum read length of 50 bp with</w:t>
      </w:r>
      <w:r>
        <w:t xml:space="preserve"> </w:t>
      </w:r>
      <w:r>
        <w:rPr>
          <w:rStyle w:val="VerbatimChar"/>
        </w:rPr>
        <w:t xml:space="preserve">minLen = 50</w:t>
      </w:r>
      <w:r>
        <w:t xml:space="preserve"> </w:t>
      </w:r>
      <w:r>
        <w:t xml:space="preserve">in the used the</w:t>
      </w:r>
      <w:r>
        <w:t xml:space="preserve"> </w:t>
      </w:r>
      <w:r>
        <w:rPr>
          <w:rStyle w:val="VerbatimChar"/>
        </w:rPr>
        <w:t xml:space="preserve">filterAndTrim</w:t>
      </w:r>
      <w:r>
        <w:t xml:space="preserve"> </w:t>
      </w:r>
      <w:r>
        <w:t xml:space="preserve">function</w:t>
      </w:r>
      <w:r>
        <w:t xml:space="preserve"> </w:t>
      </w:r>
      <w:r>
        <w:t xml:space="preserve">(Callahan et al., 2016)</w:t>
      </w:r>
      <w:r>
        <w:t xml:space="preserve">. These parameters eliminated all 151 libraries (139 samples and 12 controls) from our second sequencing event, leaving the 177 samples and 15 controls from the first sequencing event for downstream processing (see Results for final sample counts after subsequent quality-control steps). After this filter, we dereplicated reads with the</w:t>
      </w:r>
      <w:r>
        <w:t xml:space="preserve"> </w:t>
      </w:r>
      <w:r>
        <w:rPr>
          <w:rStyle w:val="VerbatimChar"/>
        </w:rPr>
        <w:t xml:space="preserve">derepFastq</w:t>
      </w:r>
      <w:r>
        <w:t xml:space="preserve"> </w:t>
      </w:r>
      <w:r>
        <w:t xml:space="preserve">function and merged pairs using</w:t>
      </w:r>
      <w:r>
        <w:t xml:space="preserve"> </w:t>
      </w:r>
      <w:r>
        <w:rPr>
          <w:rStyle w:val="VerbatimChar"/>
        </w:rPr>
        <w:t xml:space="preserve">mergePairs</w:t>
      </w:r>
      <w:r>
        <w:t xml:space="preserve"> </w:t>
      </w:r>
      <w:r>
        <w:t xml:space="preserve">functions with an overlap of 20 bp, minimum. We then inferred composition of the samples with</w:t>
      </w:r>
      <w:r>
        <w:t xml:space="preserve"> </w:t>
      </w:r>
      <w:r>
        <w:rPr>
          <w:rStyle w:val="VerbatimChar"/>
        </w:rPr>
        <w:t xml:space="preserve">dada</w:t>
      </w:r>
      <w:r>
        <w:t xml:space="preserve"> </w:t>
      </w:r>
      <w:r>
        <w:t xml:space="preserve">function, which applies the DADA algorithm</w:t>
      </w:r>
      <w:r>
        <w:t xml:space="preserve"> </w:t>
      </w:r>
      <w:r>
        <w:t xml:space="preserve">(Callahan et al., 2016; Rosen et al., 2012)</w:t>
      </w:r>
      <w:r>
        <w:t xml:space="preserve">. We removed chimeras via the</w:t>
      </w:r>
      <w:r>
        <w:t xml:space="preserve"> </w:t>
      </w:r>
      <w:r>
        <w:t xml:space="preserve">“consensus”</w:t>
      </w:r>
      <w:r>
        <w:t xml:space="preserve"> </w:t>
      </w:r>
      <w:r>
        <w:t xml:space="preserve">method with the</w:t>
      </w:r>
      <w:r>
        <w:t xml:space="preserve"> </w:t>
      </w:r>
      <w:r>
        <w:rPr>
          <w:rStyle w:val="VerbatimChar"/>
        </w:rPr>
        <w:t xml:space="preserve">removeBimeraDenovo</w:t>
      </w:r>
      <w:r>
        <w:t xml:space="preserve"> </w:t>
      </w:r>
      <w:r>
        <w:t xml:space="preserve">function and ultimately, we used the</w:t>
      </w:r>
      <w:r>
        <w:t xml:space="preserve"> </w:t>
      </w:r>
      <w:r>
        <w:rPr>
          <w:rStyle w:val="VerbatimChar"/>
        </w:rPr>
        <w:t xml:space="preserve">assignTaxonomy</w:t>
      </w:r>
      <w:r>
        <w:t xml:space="preserve"> </w:t>
      </w:r>
      <w:r>
        <w:t xml:space="preserve">function to assign taxonomy the amplicon sequence variants (ASV) referenced against the UNITE database</w:t>
      </w:r>
      <w:r>
        <w:t xml:space="preserve"> </w:t>
      </w:r>
      <w:r>
        <w:t xml:space="preserve">(Abarenkov et al., 2023)</w:t>
      </w:r>
      <w:r>
        <w:t xml:space="preserve">. After taxonomy assignment we used the</w:t>
      </w:r>
      <w:r>
        <w:t xml:space="preserve"> </w:t>
      </w:r>
      <w:r>
        <w:rPr>
          <w:rStyle w:val="VerbatimChar"/>
        </w:rPr>
        <w:t xml:space="preserve">phyloseq</w:t>
      </w:r>
      <w:r>
        <w:t xml:space="preserve"> </w:t>
      </w:r>
      <w:r>
        <w:t xml:space="preserve">package</w:t>
      </w:r>
      <w:r>
        <w:t xml:space="preserve"> </w:t>
      </w:r>
      <w:r>
        <w:t xml:space="preserve">(McMurdie &amp; Holmes, 2013)</w:t>
      </w:r>
      <w:r>
        <w:t xml:space="preserve"> </w:t>
      </w:r>
      <w:r>
        <w:t xml:space="preserve">to create a phyloseq object for downstream analyses.</w:t>
      </w:r>
    </w:p>
    <w:p>
      <w:pPr>
        <w:pStyle w:val="BodyText"/>
      </w:pPr>
      <w:r>
        <w:t xml:space="preserve">We used the</w:t>
      </w:r>
      <w:r>
        <w:t xml:space="preserve"> </w:t>
      </w:r>
      <w:r>
        <w:rPr>
          <w:rStyle w:val="VerbatimChar"/>
        </w:rPr>
        <w:t xml:space="preserve">decontam</w:t>
      </w:r>
      <w:r>
        <w:t xml:space="preserve"> </w:t>
      </w:r>
      <w:r>
        <w:t xml:space="preserve">package [v1.20.0;</w:t>
      </w:r>
      <w:r>
        <w:t xml:space="preserve"> </w:t>
      </w:r>
      <w:r>
        <w:t xml:space="preserve">Davis et al. (2018)</w:t>
      </w:r>
      <w:r>
        <w:t xml:space="preserve">] to statistically determine which ASVs are likely contaminants based on their frequency in our samples and remove them using</w:t>
      </w:r>
      <w:r>
        <w:t xml:space="preserve"> </w:t>
      </w:r>
      <w:r>
        <w:rPr>
          <w:rStyle w:val="VerbatimChar"/>
        </w:rPr>
        <w:t xml:space="preserve">prune_taxa</w:t>
      </w:r>
      <w:r>
        <w:t xml:space="preserve"> </w:t>
      </w:r>
      <w:r>
        <w:t xml:space="preserve">function from the</w:t>
      </w:r>
      <w:r>
        <w:t xml:space="preserve"> </w:t>
      </w:r>
      <w:r>
        <w:rPr>
          <w:rStyle w:val="VerbatimChar"/>
        </w:rPr>
        <w:t xml:space="preserve">phyloseq</w:t>
      </w:r>
      <w:r>
        <w:t xml:space="preserve"> </w:t>
      </w:r>
      <w:r>
        <w:t xml:space="preserve">package [v1.44.0;</w:t>
      </w:r>
      <w:r>
        <w:t xml:space="preserve"> </w:t>
      </w:r>
      <w:r>
        <w:t xml:space="preserve">McMurdie &amp; Holmes (2013)</w:t>
      </w:r>
      <w:r>
        <w:t xml:space="preserve">]. After which, we calculated the average read count found in DNA and PCR extraction controls, considered to be laboratory contaminants, and subtracted that from the samples’ read counts. We then used custom scripts to remove any ASV that represented less than 0.1% of the abundance per sample on the assumption that it originates from contamination throughout handling of samples in the DNA and PCR processes. We removed singleton ASVs with the</w:t>
      </w:r>
      <w:r>
        <w:t xml:space="preserve"> </w:t>
      </w:r>
      <w:r>
        <w:rPr>
          <w:rStyle w:val="VerbatimChar"/>
        </w:rPr>
        <w:t xml:space="preserve">prune_taxa</w:t>
      </w:r>
      <w:r>
        <w:t xml:space="preserve"> </w:t>
      </w:r>
      <w:r>
        <w:t xml:space="preserve">function</w:t>
      </w:r>
      <w:r>
        <w:t xml:space="preserve"> </w:t>
      </w:r>
      <w:r>
        <w:t xml:space="preserve">(McMurdie &amp; Holmes, 2013)</w:t>
      </w:r>
      <w:r>
        <w:t xml:space="preserve">. We identified core taxa members at a 1% detection threshold and 50% prevalence in samples using the</w:t>
      </w:r>
      <w:r>
        <w:t xml:space="preserve"> </w:t>
      </w:r>
      <w:r>
        <w:rPr>
          <w:rStyle w:val="VerbatimChar"/>
        </w:rPr>
        <w:t xml:space="preserve">core_members</w:t>
      </w:r>
      <w:r>
        <w:t xml:space="preserve"> </w:t>
      </w:r>
      <w:r>
        <w:t xml:space="preserve">function from the</w:t>
      </w:r>
      <w:r>
        <w:t xml:space="preserve"> </w:t>
      </w:r>
      <w:r>
        <w:rPr>
          <w:rStyle w:val="VerbatimChar"/>
        </w:rPr>
        <w:t xml:space="preserve">microbiome</w:t>
      </w:r>
      <w:r>
        <w:t xml:space="preserve"> </w:t>
      </w:r>
      <w:r>
        <w:t xml:space="preserve">package [v.1.22.0;</w:t>
      </w:r>
      <w:r>
        <w:t xml:space="preserve"> </w:t>
      </w:r>
      <w:r>
        <w:t xml:space="preserve">Lahti &amp; Shetty (2012–2019)</w:t>
      </w:r>
      <w:r>
        <w:t xml:space="preserve">]. All post-quality bioinformatic steps were performed in</w:t>
      </w:r>
      <w:r>
        <w:t xml:space="preserve"> </w:t>
      </w:r>
      <w:r>
        <w:rPr>
          <w:i/>
          <w:iCs/>
        </w:rPr>
        <w:t xml:space="preserve">R</w:t>
      </w:r>
      <w:r>
        <w:t xml:space="preserve"> </w:t>
      </w:r>
      <w:r>
        <w:t xml:space="preserve">[v.4.4.1;</w:t>
      </w:r>
      <w:r>
        <w:t xml:space="preserve"> </w:t>
      </w:r>
      <w:r>
        <w:t xml:space="preserve">R Core Team (2024)</w:t>
      </w:r>
      <w:r>
        <w:t xml:space="preserve">].</w:t>
      </w:r>
    </w:p>
    <w:bookmarkEnd w:id="17"/>
    <w:bookmarkEnd w:id="18"/>
    <w:bookmarkStart w:id="21" w:name="statistical-analyses"/>
    <w:p>
      <w:pPr>
        <w:pStyle w:val="Heading2"/>
      </w:pPr>
      <w:r>
        <w:t xml:space="preserve">3.4 Statistical Analyses</w:t>
      </w:r>
    </w:p>
    <w:bookmarkStart w:id="19" w:name="leaf-traits"/>
    <w:p>
      <w:pPr>
        <w:pStyle w:val="Heading3"/>
      </w:pPr>
      <w:r>
        <w:t xml:space="preserve">3.4.1 Leaf traits</w:t>
      </w:r>
    </w:p>
    <w:p>
      <w:pPr>
        <w:pStyle w:val="FirstParagraph"/>
      </w:pPr>
      <w:r>
        <w:t xml:space="preserve">We checked for normality and homoscedasticity of the leaf traits measured using Shapiro-Wilk and Fligner-Killen tests from the</w:t>
      </w:r>
      <w:r>
        <w:t xml:space="preserve"> </w:t>
      </w:r>
      <w:r>
        <w:rPr>
          <w:rStyle w:val="VerbatimChar"/>
        </w:rPr>
        <w:t xml:space="preserve">stats</w:t>
      </w:r>
      <w:r>
        <w:t xml:space="preserve"> </w:t>
      </w:r>
      <w:r>
        <w:t xml:space="preserve">package</w:t>
      </w:r>
      <w:r>
        <w:t xml:space="preserve"> </w:t>
      </w:r>
      <w:r>
        <w:t xml:space="preserve">(R Core Team, 2024)</w:t>
      </w:r>
      <w:r>
        <w:t xml:space="preserve">. We established that the leaf functional trait data was not normally distributed and not homoscedastic. We then used non-parametric tests, the Wilcoxon Rank Sum test, to compare leaf functional trait means among species and sites to answer the first portion of Q1 and Q2. We used the</w:t>
      </w:r>
      <w:r>
        <w:t xml:space="preserve"> </w:t>
      </w:r>
      <w:r>
        <w:rPr>
          <w:rStyle w:val="VerbatimChar"/>
        </w:rPr>
        <w:t xml:space="preserve">compare_means</w:t>
      </w:r>
      <w:r>
        <w:t xml:space="preserve"> </w:t>
      </w:r>
      <w:r>
        <w:t xml:space="preserve">and</w:t>
      </w:r>
      <w:r>
        <w:t xml:space="preserve"> </w:t>
      </w:r>
      <w:r>
        <w:rPr>
          <w:rStyle w:val="VerbatimChar"/>
        </w:rPr>
        <w:t xml:space="preserve">stat_compare_means</w:t>
      </w:r>
      <w:r>
        <w:t xml:space="preserve">functions from the</w:t>
      </w:r>
      <w:r>
        <w:t xml:space="preserve"> </w:t>
      </w:r>
      <w:r>
        <w:rPr>
          <w:rStyle w:val="VerbatimChar"/>
        </w:rPr>
        <w:t xml:space="preserve">ggpubr</w:t>
      </w:r>
      <w:r>
        <w:t xml:space="preserve"> </w:t>
      </w:r>
      <w:r>
        <w:t xml:space="preserve">package</w:t>
      </w:r>
      <w:r>
        <w:t xml:space="preserve"> </w:t>
      </w:r>
      <w:r>
        <w:t xml:space="preserve">(Kassambara, 2023)</w:t>
      </w:r>
      <w:r>
        <w:t xml:space="preserve"> </w:t>
      </w:r>
      <w:r>
        <w:t xml:space="preserve">to perform these tests and properly visualize them. We adjusted</w:t>
      </w:r>
      <w:r>
        <w:t xml:space="preserve"> </w:t>
      </w:r>
      <w:r>
        <w:rPr>
          <w:i/>
          <w:iCs/>
        </w:rPr>
        <w:t xml:space="preserve">p</w:t>
      </w:r>
      <w:r>
        <w:t xml:space="preserve"> </w:t>
      </w:r>
      <w:r>
        <w:t xml:space="preserve">values to account for false discovery rates in multiple comparisons by using “BH” method</w:t>
      </w:r>
      <w:r>
        <w:t xml:space="preserve"> </w:t>
      </w:r>
      <w:r>
        <w:t xml:space="preserve">(Benjamini &amp; Hochberg, 1995)</w:t>
      </w:r>
      <w:r>
        <w:t xml:space="preserve">. We performed Principal Component Analysis (PCA) to understand patterns and relationships among leaf traits of host species. We used the</w:t>
      </w:r>
      <w:r>
        <w:t xml:space="preserve"> </w:t>
      </w:r>
      <w:r>
        <w:rPr>
          <w:rStyle w:val="VerbatimChar"/>
        </w:rPr>
        <w:t xml:space="preserve">prcomp</w:t>
      </w:r>
      <w:r>
        <w:t xml:space="preserve"> </w:t>
      </w:r>
      <w:r>
        <w:t xml:space="preserve">function from the</w:t>
      </w:r>
      <w:r>
        <w:t xml:space="preserve"> </w:t>
      </w:r>
      <w:r>
        <w:rPr>
          <w:rStyle w:val="VerbatimChar"/>
        </w:rPr>
        <w:t xml:space="preserve">vegan</w:t>
      </w:r>
      <w:r>
        <w:t xml:space="preserve"> </w:t>
      </w:r>
      <w:r>
        <w:t xml:space="preserve">package</w:t>
      </w:r>
      <w:r>
        <w:t xml:space="preserve"> </w:t>
      </w:r>
      <w:r>
        <w:t xml:space="preserve">(Oksanen et al., 2022)</w:t>
      </w:r>
      <w:r>
        <w:t xml:space="preserve"> </w:t>
      </w:r>
      <w:r>
        <w:t xml:space="preserve">compute the PCA analysis with variables ACI, LT, LPS, LMA, and LBI, all log-transformed. We used only complete raw leaf functional traits measurements to compute the PCA analysis (</w:t>
      </w:r>
      <w:r>
        <w:rPr>
          <w:i/>
          <w:iCs/>
        </w:rPr>
        <w:t xml:space="preserve">n</w:t>
      </w:r>
      <w:r>
        <w:t xml:space="preserve"> </w:t>
      </w:r>
      <w:r>
        <w:t xml:space="preserve">= 504), samples with missing values were omitted. All statistical analyses were performed in</w:t>
      </w:r>
      <w:r>
        <w:t xml:space="preserve"> </w:t>
      </w:r>
      <w:r>
        <w:rPr>
          <w:i/>
          <w:iCs/>
        </w:rPr>
        <w:t xml:space="preserve">R</w:t>
      </w:r>
      <w:r>
        <w:t xml:space="preserve"> </w:t>
      </w:r>
      <w:r>
        <w:t xml:space="preserve">programming language [v.4.4.1;</w:t>
      </w:r>
      <w:r>
        <w:t xml:space="preserve"> </w:t>
      </w:r>
      <w:r>
        <w:t xml:space="preserve">R Core Team (2024)</w:t>
      </w:r>
      <w:r>
        <w:t xml:space="preserve">]. We present the log-transformed leaf functional trait data at the leaf level from a total of 309 plants: ACI (</w:t>
      </w:r>
      <w:r>
        <w:rPr>
          <w:i/>
          <w:iCs/>
        </w:rPr>
        <w:t xml:space="preserve">n</w:t>
      </w:r>
      <w:r>
        <w:t xml:space="preserve"> </w:t>
      </w:r>
      <w:r>
        <w:t xml:space="preserve">= 851), LT (</w:t>
      </w:r>
      <w:r>
        <w:rPr>
          <w:i/>
          <w:iCs/>
        </w:rPr>
        <w:t xml:space="preserve">n</w:t>
      </w:r>
      <w:r>
        <w:t xml:space="preserve"> </w:t>
      </w:r>
      <w:r>
        <w:t xml:space="preserve">= 927), LPS (</w:t>
      </w:r>
      <w:r>
        <w:rPr>
          <w:i/>
          <w:iCs/>
        </w:rPr>
        <w:t xml:space="preserve">n</w:t>
      </w:r>
      <w:r>
        <w:t xml:space="preserve"> </w:t>
      </w:r>
      <w:r>
        <w:t xml:space="preserve">= 875), LMA (</w:t>
      </w:r>
      <w:r>
        <w:rPr>
          <w:i/>
          <w:iCs/>
        </w:rPr>
        <w:t xml:space="preserve">n</w:t>
      </w:r>
      <w:r>
        <w:t xml:space="preserve"> </w:t>
      </w:r>
      <w:r>
        <w:t xml:space="preserve">= 591), LBI (</w:t>
      </w:r>
      <w:r>
        <w:rPr>
          <w:i/>
          <w:iCs/>
        </w:rPr>
        <w:t xml:space="preserve">n</w:t>
      </w:r>
      <w:r>
        <w:t xml:space="preserve"> </w:t>
      </w:r>
      <w:r>
        <w:t xml:space="preserve">= 769). The FEF community data is presented from a subset of individuals at the plant/sample level (</w:t>
      </w:r>
      <w:r>
        <w:rPr>
          <w:i/>
          <w:iCs/>
        </w:rPr>
        <w:t xml:space="preserve">n</w:t>
      </w:r>
      <w:r>
        <w:t xml:space="preserve"> </w:t>
      </w:r>
      <w:r>
        <w:t xml:space="preserve">= 157).</w:t>
      </w:r>
    </w:p>
    <w:bookmarkEnd w:id="19"/>
    <w:bookmarkStart w:id="20" w:name="community-diversity"/>
    <w:p>
      <w:pPr>
        <w:pStyle w:val="Heading3"/>
      </w:pPr>
      <w:r>
        <w:t xml:space="preserve">3.4.2 Community Diversity</w:t>
      </w:r>
    </w:p>
    <w:p>
      <w:pPr>
        <w:pStyle w:val="FirstParagraph"/>
      </w:pPr>
      <w:r>
        <w:t xml:space="preserve">To account for uneven sampling effort and over-representation of sequences, we normalized libraries by repeated rarefying, following Cameron et al.</w:t>
      </w:r>
      <w:r>
        <w:t xml:space="preserve"> </w:t>
      </w:r>
      <w:r>
        <w:t xml:space="preserve">(2021)</w:t>
      </w:r>
      <w:r>
        <w:t xml:space="preserve">. We determined a sequence depth of 750 by calculating Good’s coverage and qualitative evaluation of libraries to determine a balanced coverage and breadth of samples</w:t>
      </w:r>
      <w:r>
        <w:t xml:space="preserve"> </w:t>
      </w:r>
      <w:r>
        <w:t xml:space="preserve">(Schloss, 2024)</w:t>
      </w:r>
      <w:r>
        <w:t xml:space="preserve">. This approach allowed for a proportionate representation of observed sequences from host species and a robust characterization of random variation inherent in rarefaction of small libraries</w:t>
      </w:r>
      <w:r>
        <w:t xml:space="preserve"> </w:t>
      </w:r>
      <w:r>
        <w:t xml:space="preserve">(Cameron et al., 2021; Schloss, 2024)</w:t>
      </w:r>
      <w:r>
        <w:t xml:space="preserve">. First, we randomly selected 136 samples out of the TRUE viable samples that resulted from the bioinformatic pipeline (refer to the Results section below). The sample pool was reduced to 136 to match the theoretical reduction of one sample per site (</w:t>
      </w:r>
      <w:r>
        <w:rPr>
          <w:i/>
          <w:iCs/>
        </w:rPr>
        <w:t xml:space="preserve">n</w:t>
      </w:r>
      <w:r>
        <w:t xml:space="preserve"> </w:t>
      </w:r>
      <w:r>
        <w:t xml:space="preserve">= 21). We generated 50 rarefied abundance matrices without replacement by using the</w:t>
      </w:r>
      <w:r>
        <w:t xml:space="preserve"> </w:t>
      </w:r>
      <w:r>
        <w:rPr>
          <w:rStyle w:val="VerbatimChar"/>
        </w:rPr>
        <w:t xml:space="preserve">mirl</w:t>
      </w:r>
      <w:r>
        <w:t xml:space="preserve"> </w:t>
      </w:r>
      <w:r>
        <w:t xml:space="preserve">function from the</w:t>
      </w:r>
      <w:r>
        <w:t xml:space="preserve"> </w:t>
      </w:r>
      <w:r>
        <w:rPr>
          <w:rStyle w:val="VerbatimChar"/>
        </w:rPr>
        <w:t xml:space="preserve">mirlyn</w:t>
      </w:r>
      <w:r>
        <w:t xml:space="preserve"> </w:t>
      </w:r>
      <w:r>
        <w:t xml:space="preserve">package</w:t>
      </w:r>
      <w:r>
        <w:t xml:space="preserve"> </w:t>
      </w:r>
      <w:r>
        <w:t xml:space="preserve">(Cameron et al., 2021)</w:t>
      </w:r>
      <w:r>
        <w:t xml:space="preserve">. After which we were left with 84 samples (</w:t>
      </w:r>
      <w:r>
        <w:rPr>
          <w:i/>
          <w:iCs/>
        </w:rPr>
        <w:t xml:space="preserve">M. guttatus</w:t>
      </w:r>
      <w:r>
        <w:t xml:space="preserve">:</w:t>
      </w:r>
      <w:r>
        <w:t xml:space="preserve"> </w:t>
      </w:r>
      <w:r>
        <w:rPr>
          <w:i/>
          <w:iCs/>
        </w:rPr>
        <w:t xml:space="preserve">n</w:t>
      </w:r>
      <w:r>
        <w:t xml:space="preserve"> </w:t>
      </w:r>
      <w:r>
        <w:t xml:space="preserve">= 37,</w:t>
      </w:r>
      <w:r>
        <w:t xml:space="preserve"> </w:t>
      </w:r>
      <w:r>
        <w:rPr>
          <w:i/>
          <w:iCs/>
        </w:rPr>
        <w:t xml:space="preserve">M. laciniatus</w:t>
      </w:r>
      <w:r>
        <w:t xml:space="preserve">:</w:t>
      </w:r>
      <w:r>
        <w:t xml:space="preserve"> </w:t>
      </w:r>
      <w:r>
        <w:rPr>
          <w:i/>
          <w:iCs/>
        </w:rPr>
        <w:t xml:space="preserve">n</w:t>
      </w:r>
      <w:r>
        <w:t xml:space="preserve"> </w:t>
      </w:r>
      <w:r>
        <w:t xml:space="preserve">= 32,</w:t>
      </w:r>
      <w:r>
        <w:t xml:space="preserve"> </w:t>
      </w:r>
      <w:r>
        <w:rPr>
          <w:i/>
          <w:iCs/>
        </w:rPr>
        <w:t xml:space="preserve">M. nasutus</w:t>
      </w:r>
      <w:r>
        <w:t xml:space="preserve">:</w:t>
      </w:r>
      <w:r>
        <w:t xml:space="preserve"> </w:t>
      </w:r>
      <w:r>
        <w:rPr>
          <w:i/>
          <w:iCs/>
        </w:rPr>
        <w:t xml:space="preserve">n</w:t>
      </w:r>
      <w:r>
        <w:t xml:space="preserve"> </w:t>
      </w:r>
      <w:r>
        <w:t xml:space="preserve">= 15). We then calculated α-diversity per sample as Hill orders, the observed richness (𝑞 = 0), the exponent of Shannon’s entropy (𝑞 = 1), and the Inverse Simpson’s Diversity (𝑞 = 2) by applying a modified version of the function</w:t>
      </w:r>
      <w:r>
        <w:t xml:space="preserve"> </w:t>
      </w:r>
      <w:r>
        <w:rPr>
          <w:rStyle w:val="VerbatimChar"/>
        </w:rPr>
        <w:t xml:space="preserve">alphadivDF</w:t>
      </w:r>
      <w:r>
        <w:t xml:space="preserve"> </w:t>
      </w:r>
      <w:r>
        <w:t xml:space="preserve">(Cameron et al., 2021)</w:t>
      </w:r>
      <w:r>
        <w:t xml:space="preserve">, which wraps the common diversity indices in</w:t>
      </w:r>
      <w:r>
        <w:t xml:space="preserve"> </w:t>
      </w:r>
      <w:r>
        <w:rPr>
          <w:rStyle w:val="VerbatimChar"/>
        </w:rPr>
        <w:t xml:space="preserve">vegan</w:t>
      </w:r>
      <w:r>
        <w:t xml:space="preserve"> </w:t>
      </w:r>
      <w:r>
        <w:t xml:space="preserve">(Oksanen et al., 2022)</w:t>
      </w:r>
      <w:r>
        <w:t xml:space="preserve"> </w:t>
      </w:r>
      <w:r>
        <w:t xml:space="preserve">(see custom script in Supplementary material). Finally, for beta diversity analyses, we performed a Hellinger transformation on the rarefied abundance matrices and calculated a Bray-Curtis dissimilarity matrix for each.</w:t>
      </w:r>
    </w:p>
    <w:p>
      <w:pPr>
        <w:pStyle w:val="BodyText"/>
      </w:pPr>
      <w:r>
        <w:t xml:space="preserve">We calculated simple linear regressions and non-parametric tests, the Wilcoxon Rank Sum test, to understand how α-diversity changed in response to elevation (Q1) and (Q2). To facilitate our understanding of the effects of elevation on FEF α-diversity, we categorized elevation as</w:t>
      </w:r>
      <w:r>
        <w:t xml:space="preserve"> </w:t>
      </w:r>
      <w:r>
        <w:t xml:space="preserve">“low”</w:t>
      </w:r>
      <w:r>
        <w:t xml:space="preserve"> </w:t>
      </w:r>
      <w:r>
        <w:t xml:space="preserve">(&lt; 1219 m.a.s.l),</w:t>
      </w:r>
      <w:r>
        <w:t xml:space="preserve"> </w:t>
      </w:r>
      <w:r>
        <w:t xml:space="preserve">“mid”</w:t>
      </w:r>
      <w:r>
        <w:t xml:space="preserve"> </w:t>
      </w:r>
      <w:r>
        <w:t xml:space="preserve">(1220 - 1828 m.a.s.l.) and</w:t>
      </w:r>
      <w:r>
        <w:t xml:space="preserve"> </w:t>
      </w:r>
      <w:r>
        <w:t xml:space="preserve">“high”</w:t>
      </w:r>
      <w:r>
        <w:t xml:space="preserve"> </w:t>
      </w:r>
      <w:r>
        <w:t xml:space="preserve">(&gt; 1829 m.a.s.l.). To statistically compare the FEF community similarities within each host species across sites (Q3) we applied a distance-based Redundancy Analysis (dbRDA) on the Bray-Curtis dissimilarities which effectively describes underlying patterns of compositional differences</w:t>
      </w:r>
      <w:r>
        <w:t xml:space="preserve"> </w:t>
      </w:r>
      <w:r>
        <w:t xml:space="preserve">(Anderson, 2017; Legendre &amp; Anderson, 1999; McArdle &amp; Anderson, 2001)</w:t>
      </w:r>
      <w:r>
        <w:t xml:space="preserve">. We selected model terms by calculating Spearman’s rho for all leaf traits (see below and Fig. S1) to understand which leaf functional traits were correlated with FEF richness, diversity and community composition. We informed our selection of leaf traits with results from the PCA (see below and Fig. 1) and selected those with the lowest correlation coefficient per host species: logLBI. Our initial dbRDA model consisted of terms logLBI, sampling date, site, and elevation (m). The leaf functional trait data, as well as elevation, was not randomized or subsampled to match rarefied dataset, the same values applied to all 50 rarefied matrices. For our initial model, we determined the variance inflation factor (VIF) of each term with function</w:t>
      </w:r>
      <w:r>
        <w:t xml:space="preserve"> </w:t>
      </w:r>
      <w:r>
        <w:rPr>
          <w:rStyle w:val="VerbatimChar"/>
        </w:rPr>
        <w:t xml:space="preserve">vif.cca</w:t>
      </w:r>
      <w:r>
        <w:t xml:space="preserve"> </w:t>
      </w:r>
      <w:r>
        <w:t xml:space="preserve">and eliminated redundant ones: site and sampling date. We performed manual model selection by evaluating the marginal significance of constraining variables after 999 permutations with function</w:t>
      </w:r>
      <w:r>
        <w:t xml:space="preserve"> </w:t>
      </w:r>
      <w:r>
        <w:rPr>
          <w:rStyle w:val="VerbatimChar"/>
        </w:rPr>
        <w:t xml:space="preserve">anova.cca</w:t>
      </w:r>
      <w:r>
        <w:t xml:space="preserve"> </w:t>
      </w:r>
      <w:r>
        <w:t xml:space="preserve">and argument</w:t>
      </w:r>
      <w:r>
        <w:t xml:space="preserve"> </w:t>
      </w:r>
      <w:r>
        <w:rPr>
          <w:rStyle w:val="VerbatimChar"/>
        </w:rPr>
        <w:t xml:space="preserve">by</w:t>
      </w:r>
      <w:r>
        <w:t xml:space="preserve"> </w:t>
      </w:r>
      <w:r>
        <w:t xml:space="preserve">set to</w:t>
      </w:r>
      <w:r>
        <w:t xml:space="preserve"> </w:t>
      </w:r>
      <w:r>
        <w:t xml:space="preserve">“terms”</w:t>
      </w:r>
      <w:r>
        <w:t xml:space="preserve"> </w:t>
      </w:r>
      <w:r>
        <w:t xml:space="preserve">to assess significance for each term</w:t>
      </w:r>
      <w:r>
        <w:t xml:space="preserve"> </w:t>
      </w:r>
      <w:r>
        <w:t xml:space="preserve">(Legendre et al., 2011; Legendre &amp; Legendre, 2012; Oksanen et al., 2022)</w:t>
      </w:r>
      <w:r>
        <w:t xml:space="preserve">. We corroborated homogeneous dispersion of variances with a permutational analysis of multivariate dispersion (PERMDISP) using the</w:t>
      </w:r>
      <w:r>
        <w:t xml:space="preserve"> </w:t>
      </w:r>
      <w:r>
        <w:rPr>
          <w:rStyle w:val="VerbatimChar"/>
        </w:rPr>
        <w:t xml:space="preserve">betadisper</w:t>
      </w:r>
      <w:r>
        <w:t xml:space="preserve"> </w:t>
      </w:r>
      <w:r>
        <w:t xml:space="preserve">with parameter</w:t>
      </w:r>
      <w:r>
        <w:t xml:space="preserve"> </w:t>
      </w:r>
      <w:r>
        <w:rPr>
          <w:rStyle w:val="VerbatimChar"/>
        </w:rPr>
        <w:t xml:space="preserve">type = "median"</w:t>
      </w:r>
      <w:r>
        <w:t xml:space="preserve">, and</w:t>
      </w:r>
      <w:r>
        <w:t xml:space="preserve"> </w:t>
      </w:r>
      <w:r>
        <w:rPr>
          <w:rStyle w:val="VerbatimChar"/>
        </w:rPr>
        <w:t xml:space="preserve">permutest</w:t>
      </w:r>
      <w:r>
        <w:t xml:space="preserve"> </w:t>
      </w:r>
      <w:r>
        <w:t xml:space="preserve">functions from</w:t>
      </w:r>
      <w:r>
        <w:t xml:space="preserve"> </w:t>
      </w:r>
      <w:r>
        <w:rPr>
          <w:rStyle w:val="VerbatimChar"/>
        </w:rPr>
        <w:t xml:space="preserve">vegan</w:t>
      </w:r>
      <w:r>
        <w:t xml:space="preserve">, the latter with 999 permutations</w:t>
      </w:r>
      <w:r>
        <w:t xml:space="preserve"> </w:t>
      </w:r>
      <w:r>
        <w:t xml:space="preserve">(Oksanen et al., 2022)</w:t>
      </w:r>
      <w:r>
        <w:t xml:space="preserve">. We used a post-hoc Tukey’s test to compare the differences in the dispersion of the FEF communities among sites and elevation zones. We used the</w:t>
      </w:r>
      <w:r>
        <w:t xml:space="preserve"> </w:t>
      </w:r>
      <w:r>
        <w:rPr>
          <w:rStyle w:val="VerbatimChar"/>
        </w:rPr>
        <w:t xml:space="preserve">simper</w:t>
      </w:r>
      <w:r>
        <w:t xml:space="preserve"> </w:t>
      </w:r>
      <w:r>
        <w:t xml:space="preserve">function from</w:t>
      </w:r>
      <w:r>
        <w:t xml:space="preserve"> </w:t>
      </w:r>
      <w:r>
        <w:rPr>
          <w:rStyle w:val="VerbatimChar"/>
        </w:rPr>
        <w:t xml:space="preserve">vegan</w:t>
      </w:r>
      <w:r>
        <w:t xml:space="preserve"> </w:t>
      </w:r>
      <w:r>
        <w:t xml:space="preserve">to discriminate which species contribute the most to compositional differences between groups</w:t>
      </w:r>
      <w:r>
        <w:t xml:space="preserve"> </w:t>
      </w:r>
      <w:r>
        <w:t xml:space="preserve">(Oksanen et al., 2022)</w:t>
      </w:r>
      <w:r>
        <w:t xml:space="preserve">.</w:t>
      </w:r>
    </w:p>
    <w:p>
      <w:pPr>
        <w:pStyle w:val="BodyText"/>
      </w:pPr>
      <w:r>
        <w:t xml:space="preserve">We used generalized linear mixed models (GLMM) to determine the effect of host species, elevation, and leaf functional traits on the mean Bray-Curtis dissimilarity (β-diversity) of FEF communities (Q3). Leaf functional traits with missing values were imputed with the median value for the trait. We used the</w:t>
      </w:r>
      <w:r>
        <w:t xml:space="preserve"> </w:t>
      </w:r>
      <w:r>
        <w:rPr>
          <w:rStyle w:val="VerbatimChar"/>
        </w:rPr>
        <w:t xml:space="preserve">lme</w:t>
      </w:r>
      <w:r>
        <w:t xml:space="preserve"> </w:t>
      </w:r>
      <w:r>
        <w:t xml:space="preserve">function from the</w:t>
      </w:r>
      <w:r>
        <w:t xml:space="preserve"> </w:t>
      </w:r>
      <w:r>
        <w:rPr>
          <w:rStyle w:val="VerbatimChar"/>
        </w:rPr>
        <w:t xml:space="preserve">nlme</w:t>
      </w:r>
      <w:r>
        <w:t xml:space="preserve"> </w:t>
      </w:r>
      <w:r>
        <w:t xml:space="preserve">package [v3.1-165;</w:t>
      </w:r>
      <w:r>
        <w:t xml:space="preserve"> </w:t>
      </w:r>
      <w:r>
        <w:t xml:space="preserve">J. Pinheiro et al. (2024)</w:t>
      </w:r>
      <w:r>
        <w:t xml:space="preserve">;</w:t>
      </w:r>
      <w:r>
        <w:t xml:space="preserve"> </w:t>
      </w:r>
      <w:r>
        <w:t xml:space="preserve">J. C. Pinheiro &amp; Bates (2000)</w:t>
      </w:r>
      <w:r>
        <w:t xml:space="preserve">] to fit the GLMM models. We established leaf functional traits, elevation and host species as fixed terms and site as a random effect. We modeled variance structure for site with the</w:t>
      </w:r>
      <w:r>
        <w:t xml:space="preserve"> </w:t>
      </w:r>
      <w:r>
        <w:rPr>
          <w:rStyle w:val="VerbatimChar"/>
        </w:rPr>
        <w:t xml:space="preserve">varIdent</w:t>
      </w:r>
      <w:r>
        <w:t xml:space="preserve"> </w:t>
      </w:r>
      <w:r>
        <w:t xml:space="preserve">argument. We manually compared and selected models based on Akaike Information Criterion (AIC) with a penalty of 2 degrees of freedom (ΔAIC) with the</w:t>
      </w:r>
      <w:r>
        <w:t xml:space="preserve"> </w:t>
      </w:r>
      <w:r>
        <w:rPr>
          <w:rStyle w:val="VerbatimChar"/>
        </w:rPr>
        <w:t xml:space="preserve">model.sel</w:t>
      </w:r>
      <w:r>
        <w:t xml:space="preserve"> </w:t>
      </w:r>
      <w:r>
        <w:t xml:space="preserve">function from the</w:t>
      </w:r>
      <w:r>
        <w:t xml:space="preserve"> </w:t>
      </w:r>
      <w:r>
        <w:rPr>
          <w:rStyle w:val="VerbatimChar"/>
        </w:rPr>
        <w:t xml:space="preserve">MuMIn</w:t>
      </w:r>
      <w:r>
        <w:t xml:space="preserve"> </w:t>
      </w:r>
      <w:r>
        <w:t xml:space="preserve">package</w:t>
      </w:r>
      <w:r>
        <w:t xml:space="preserve"> </w:t>
      </w:r>
      <w:r>
        <w:t xml:space="preserve">(Bartoń, 2023)</w:t>
      </w:r>
      <w:r>
        <w:t xml:space="preserve">. We selected the best-fit model based on the lowest value obtained. All models are based on restricted maximum likelihood estimation (REML).</w:t>
      </w:r>
    </w:p>
    <w:p>
      <w:pPr>
        <w:pStyle w:val="BodyText"/>
      </w:pPr>
      <w:r>
        <w:t xml:space="preserve">To assess correlations between pairwise FEF community dissimilarity and the geographical distance matrix per host species (Q4), we computed Mantel tests with Spearman’s rho and 999 permutations using the</w:t>
      </w:r>
      <w:r>
        <w:t xml:space="preserve"> </w:t>
      </w:r>
      <w:r>
        <w:rPr>
          <w:rStyle w:val="VerbatimChar"/>
        </w:rPr>
        <w:t xml:space="preserve">mantel</w:t>
      </w:r>
      <w:r>
        <w:t xml:space="preserve"> </w:t>
      </w:r>
      <w:r>
        <w:t xml:space="preserve">function</w:t>
      </w:r>
      <w:r>
        <w:t xml:space="preserve"> </w:t>
      </w:r>
      <w:r>
        <w:t xml:space="preserve">(Oksanen et al., 2022)</w:t>
      </w:r>
      <w:r>
        <w:t xml:space="preserve">. For this test, we opted for a less taxing computational approach and rarefied sequences with the same parameters as before and calculated Hellinger transformations with the</w:t>
      </w:r>
      <w:r>
        <w:t xml:space="preserve"> </w:t>
      </w:r>
      <w:r>
        <w:rPr>
          <w:rStyle w:val="VerbatimChar"/>
        </w:rPr>
        <w:t xml:space="preserve">avgdist</w:t>
      </w:r>
      <w:r>
        <w:t xml:space="preserve"> </w:t>
      </w:r>
      <w:r>
        <w:t xml:space="preserve">function</w:t>
      </w:r>
      <w:r>
        <w:t xml:space="preserve"> </w:t>
      </w:r>
      <w:r>
        <w:t xml:space="preserve">(Oksanen et al., 2022)</w:t>
      </w:r>
      <w:r>
        <w:t xml:space="preserve">. We then calculated the Bray-Curtis dissimilarity with</w:t>
      </w:r>
      <w:r>
        <w:t xml:space="preserve"> </w:t>
      </w:r>
      <w:r>
        <w:rPr>
          <w:rStyle w:val="VerbatimChar"/>
        </w:rPr>
        <w:t xml:space="preserve">vegdist</w:t>
      </w:r>
      <w:r>
        <w:t xml:space="preserve"> </w:t>
      </w:r>
      <w:r>
        <w:t xml:space="preserve">(Oksanen et al., 2022)</w:t>
      </w:r>
      <w:r>
        <w:t xml:space="preserve">. For the geographical distances between sites, we used</w:t>
      </w:r>
      <w:r>
        <w:t xml:space="preserve"> </w:t>
      </w:r>
      <w:r>
        <w:rPr>
          <w:rStyle w:val="VerbatimChar"/>
        </w:rPr>
        <w:t xml:space="preserve">distm</w:t>
      </w:r>
      <w:r>
        <w:t xml:space="preserve"> </w:t>
      </w:r>
      <w:r>
        <w:t xml:space="preserve">function with the Vicenty (ellipsoid) method from the</w:t>
      </w:r>
      <w:r>
        <w:t xml:space="preserve"> </w:t>
      </w:r>
      <w:r>
        <w:rPr>
          <w:rStyle w:val="VerbatimChar"/>
        </w:rPr>
        <w:t xml:space="preserve">geosphere</w:t>
      </w:r>
      <w:r>
        <w:t xml:space="preserve"> </w:t>
      </w:r>
      <w:r>
        <w:t xml:space="preserve">package</w:t>
      </w:r>
      <w:r>
        <w:t xml:space="preserve"> </w:t>
      </w:r>
      <w:r>
        <w:t xml:space="preserve">(Hijmans, 2022)</w:t>
      </w:r>
      <w:r>
        <w:t xml:space="preserve">.</w:t>
      </w:r>
    </w:p>
    <w:bookmarkEnd w:id="20"/>
    <w:bookmarkEnd w:id="21"/>
    <w:bookmarkEnd w:id="22"/>
    <w:bookmarkStart w:id="28" w:name="results"/>
    <w:p>
      <w:pPr>
        <w:pStyle w:val="Heading1"/>
      </w:pPr>
      <w:r>
        <w:t xml:space="preserve">4. Results</w:t>
      </w:r>
    </w:p>
    <w:bookmarkStart w:id="23" w:name="Xe1ffede314493f1bb8b61bd2a9d5c0e3056e047"/>
    <w:p>
      <w:pPr>
        <w:pStyle w:val="Heading2"/>
      </w:pPr>
      <w:r>
        <w:t xml:space="preserve">4.1 Q1) Host species differ in leaf functional traits at shared elevations</w:t>
      </w:r>
    </w:p>
    <w:p>
      <w:pPr>
        <w:pStyle w:val="FirstParagraph"/>
      </w:pPr>
      <w:r>
        <w:t xml:space="preserve">We found evidence of both interspecific and intraspecific elevational shifts in leaf functional traits among sympatric </w:t>
      </w:r>
      <w:r>
        <w:rPr>
          <w:i/>
          <w:iCs/>
        </w:rPr>
        <w:t xml:space="preserve">Mimulus</w:t>
      </w:r>
      <w:r>
        <w:t xml:space="preserve"> species, addressed in Q1 and Q2 below, respectively (</w:t>
      </w:r>
      <w:hyperlink w:anchor="fig-figure2">
        <w:r>
          <w:rPr>
            <w:rStyle w:val="Hyperlink"/>
          </w:rPr>
          <w:t xml:space="preserve">Fig. 2</w:t>
        </w:r>
      </w:hyperlink>
      <w:r>
        <w:t xml:space="preserve"> </w:t>
      </w:r>
      <w:r>
        <w:t xml:space="preserve">and Figs. S5-S9). Our PCA analysis showed how leaf functional traits varied among sympatric</w:t>
      </w:r>
      <w:r>
        <w:t xml:space="preserve"> </w:t>
      </w:r>
      <w:r>
        <w:rPr>
          <w:i/>
          <w:iCs/>
        </w:rPr>
        <w:t xml:space="preserve">Mimulus</w:t>
      </w:r>
      <w:r>
        <w:t xml:space="preserve"> </w:t>
      </w:r>
      <w:r>
        <w:t xml:space="preserve">species populations at similar elevations (Q1). We plotted leaf functional traits according to species groups on the PCA axes to show how the variance in the complete data set is explained by PC1 (42.57%) and PC2 (23.27%) (</w:t>
      </w:r>
      <w:hyperlink w:anchor="fig-figure2">
        <w:r>
          <w:rPr>
            <w:rStyle w:val="Hyperlink"/>
          </w:rPr>
          <w:t xml:space="preserve">Fig. 2</w:t>
        </w:r>
      </w:hyperlink>
      <w:r>
        <w:t xml:space="preserve">). The PCA showed correlations between ACI, LT, LPS, and LMA as loadings that tracked along PC1 towards positive values (</w:t>
      </w:r>
      <w:hyperlink w:anchor="fig-figure2">
        <w:r>
          <w:rPr>
            <w:rStyle w:val="Hyperlink"/>
          </w:rPr>
          <w:t xml:space="preserve">Fig. 2</w:t>
        </w:r>
      </w:hyperlink>
      <w:r>
        <w:t xml:space="preserve">). We observed that LBI loading was orthogonal along PC2 to the other traits, indicative of low correlation. We noted distinct groupings by species along PC2 such that</w:t>
      </w:r>
      <w:r>
        <w:t xml:space="preserve"> </w:t>
      </w:r>
      <w:r>
        <w:rPr>
          <w:i/>
          <w:iCs/>
        </w:rPr>
        <w:t xml:space="preserve">M. laciniatus</w:t>
      </w:r>
      <w:r>
        <w:t xml:space="preserve">, the most lobed species, was distinct from</w:t>
      </w:r>
      <w:r>
        <w:t xml:space="preserve"> </w:t>
      </w:r>
      <w:r>
        <w:rPr>
          <w:i/>
          <w:iCs/>
        </w:rPr>
        <w:t xml:space="preserve">M.guttatus</w:t>
      </w:r>
      <w:r>
        <w:t xml:space="preserve"> </w:t>
      </w:r>
      <w:r>
        <w:t xml:space="preserve">and</w:t>
      </w:r>
      <w:r>
        <w:t xml:space="preserve"> </w:t>
      </w:r>
      <w:r>
        <w:rPr>
          <w:i/>
          <w:iCs/>
        </w:rPr>
        <w:t xml:space="preserve">M. nasutus</w:t>
      </w:r>
      <w:r>
        <w:t xml:space="preserve">. The latter two overlapped considerably along PC1 and PC2 (</w:t>
      </w:r>
      <w:hyperlink w:anchor="fig-figure2">
        <w:r>
          <w:rPr>
            <w:rStyle w:val="Hyperlink"/>
          </w:rPr>
          <w:t xml:space="preserve">Fig. 2</w:t>
        </w:r>
      </w:hyperlink>
      <w:r>
        <w:t xml:space="preserve">), but species means still differed significantly along PC1 (ANOVA,</w:t>
      </w:r>
      <w:r>
        <w:t xml:space="preserve"> </w:t>
      </w:r>
      <w:r>
        <w:rPr>
          <w:i/>
          <w:iCs/>
        </w:rPr>
        <w:t xml:space="preserve">F</w:t>
      </w:r>
      <w:r>
        <w:rPr>
          <w:vertAlign w:val="subscript"/>
        </w:rPr>
        <w:t xml:space="preserve">2,</w:t>
      </w:r>
      <w:r>
        <w:t xml:space="preserve"> </w:t>
      </w:r>
      <w:r>
        <w:rPr>
          <w:vertAlign w:val="subscript"/>
        </w:rPr>
        <w:t xml:space="preserve">501</w:t>
      </w:r>
      <w:r>
        <w:t xml:space="preserve"> </w:t>
      </w:r>
      <w:r>
        <w:t xml:space="preserve">= 15.55,</w:t>
      </w:r>
      <w:r>
        <w:t xml:space="preserve"> </w:t>
      </w:r>
      <w:r>
        <w:rPr>
          <w:i/>
          <w:iCs/>
        </w:rPr>
        <w:t xml:space="preserve">p</w:t>
      </w:r>
      <w:r>
        <w:t xml:space="preserve"> </w:t>
      </w:r>
      <w:r>
        <w:t xml:space="preserve">&lt; .001):</w:t>
      </w:r>
      <w:r>
        <w:t xml:space="preserve"> </w:t>
      </w:r>
      <w:r>
        <w:rPr>
          <w:i/>
          <w:iCs/>
        </w:rPr>
        <w:t xml:space="preserve">M. guttatus</w:t>
      </w:r>
      <w:r>
        <w:t xml:space="preserve"> </w:t>
      </w:r>
      <w:r>
        <w:t xml:space="preserve">had a positive mean PC1 score while</w:t>
      </w:r>
      <w:r>
        <w:t xml:space="preserve"> </w:t>
      </w:r>
      <w:r>
        <w:rPr>
          <w:i/>
          <w:iCs/>
        </w:rPr>
        <w:t xml:space="preserve">M. laciniatus</w:t>
      </w:r>
      <w:r>
        <w:t xml:space="preserve"> </w:t>
      </w:r>
      <w:r>
        <w:t xml:space="preserve">and</w:t>
      </w:r>
      <w:r>
        <w:t xml:space="preserve"> </w:t>
      </w:r>
      <w:r>
        <w:rPr>
          <w:i/>
          <w:iCs/>
        </w:rPr>
        <w:t xml:space="preserve">M. nasutus</w:t>
      </w:r>
      <w:r>
        <w:t xml:space="preserve"> </w:t>
      </w:r>
      <w:r>
        <w:t xml:space="preserve">had similar, negative mean scores, indicating that the ACI/LT/LPS/LMA loadings underlying PC1 also weakly separate</w:t>
      </w:r>
      <w:r>
        <w:t xml:space="preserve"> </w:t>
      </w:r>
      <w:r>
        <w:rPr>
          <w:i/>
          <w:iCs/>
        </w:rPr>
        <w:t xml:space="preserve">M. guttatus</w:t>
      </w:r>
      <w:r>
        <w:t xml:space="preserve"> </w:t>
      </w:r>
      <w:r>
        <w:t xml:space="preserve">from its congeners, in addition to the LBI-driven separation of</w:t>
      </w:r>
      <w:r>
        <w:t xml:space="preserve"> </w:t>
      </w:r>
      <w:r>
        <w:rPr>
          <w:i/>
          <w:iCs/>
        </w:rPr>
        <w:t xml:space="preserve">M. laciniatus</w:t>
      </w:r>
      <w:r>
        <w:t xml:space="preserve"> </w:t>
      </w:r>
      <w:r>
        <w:t xml:space="preserve">along PC2.</w:t>
      </w:r>
    </w:p>
    <w:p>
      <w:pPr>
        <w:pStyle w:val="BodyText"/>
      </w:pPr>
      <w:r>
        <w:t xml:space="preserve">At shared elevations, leaf functional traits frequently showed interspecific differences, though the magnitude and direction of differences varied across elevation zones (Figs. S5B-S9B). At mid-elevations, where all three species co-occurred, </w:t>
      </w:r>
      <w:r>
        <w:rPr>
          <w:i/>
          <w:iCs/>
        </w:rPr>
        <w:t xml:space="preserve">M. laciniatus</w:t>
      </w:r>
      <w:r>
        <w:t xml:space="preserve"> exhibited distinct trait values compared to </w:t>
      </w:r>
      <w:r>
        <w:rPr>
          <w:i/>
          <w:iCs/>
        </w:rPr>
        <w:t xml:space="preserve">M. guttatus</w:t>
      </w:r>
      <w:r>
        <w:t xml:space="preserve"> and </w:t>
      </w:r>
      <w:r>
        <w:rPr>
          <w:i/>
          <w:iCs/>
        </w:rPr>
        <w:t xml:space="preserve">M. nasutus</w:t>
      </w:r>
      <w:r>
        <w:t xml:space="preserve">, including higher leaf mass per area (LMA, </w:t>
      </w:r>
      <w:r>
        <w:rPr>
          <w:i/>
          <w:iCs/>
        </w:rPr>
        <w:t xml:space="preserve">p</w:t>
      </w:r>
      <w:r>
        <w:t xml:space="preserve"> &lt; .001; Fig. S5B), lower anthocyanin content (ACI, </w:t>
      </w:r>
      <w:r>
        <w:rPr>
          <w:i/>
          <w:iCs/>
        </w:rPr>
        <w:t xml:space="preserve">p</w:t>
      </w:r>
      <w:r>
        <w:t xml:space="preserve"> &lt; .0001; Fig. S6B), and greater lobing (LBI, </w:t>
      </w:r>
      <w:r>
        <w:rPr>
          <w:i/>
          <w:iCs/>
        </w:rPr>
        <w:t xml:space="preserve">p</w:t>
      </w:r>
      <w:r>
        <w:t xml:space="preserve"> &lt; .0001; Fig. S7B). At high elevations, </w:t>
      </w:r>
      <w:r>
        <w:rPr>
          <w:i/>
          <w:iCs/>
        </w:rPr>
        <w:t xml:space="preserve">M. nasutus</w:t>
      </w:r>
      <w:r>
        <w:t xml:space="preserve"> had higher LMA and higher ACI than both congeners (LMA: </w:t>
      </w:r>
      <w:r>
        <w:rPr>
          <w:i/>
          <w:iCs/>
        </w:rPr>
        <w:t xml:space="preserve">p</w:t>
      </w:r>
      <w:r>
        <w:t xml:space="preserve"> &lt; .0001; Fig. S5B; ACI: </w:t>
      </w:r>
      <w:r>
        <w:rPr>
          <w:i/>
          <w:iCs/>
        </w:rPr>
        <w:t xml:space="preserve">p</w:t>
      </w:r>
      <w:r>
        <w:t xml:space="preserve"> &lt; .0001; Fig. S6B), consistent with its steeper elevational increase in LMA reported above (Q2), while </w:t>
      </w:r>
      <w:r>
        <w:rPr>
          <w:i/>
          <w:iCs/>
        </w:rPr>
        <w:t xml:space="preserve">M. guttatus</w:t>
      </w:r>
      <w:r>
        <w:t xml:space="preserve"> had thinner leaves than </w:t>
      </w:r>
      <w:r>
        <w:rPr>
          <w:i/>
          <w:iCs/>
        </w:rPr>
        <w:t xml:space="preserve">M. nasutus</w:t>
      </w:r>
      <w:r>
        <w:t xml:space="preserve"> (LT, </w:t>
      </w:r>
      <w:r>
        <w:rPr>
          <w:i/>
          <w:iCs/>
        </w:rPr>
        <w:t xml:space="preserve">p</w:t>
      </w:r>
      <w:r>
        <w:t xml:space="preserve"> &lt; .0001; Fig. S9B). Notably, LBI showed minimal overlap among species across all elevations (Fig. S7B), reflecting strong species-specific morphological constraints.</w:t>
      </w:r>
    </w:p>
    <w:bookmarkEnd w:id="23"/>
    <w:bookmarkStart w:id="24" w:name="Xcd7d16d329fa98087e26068d187a218cefb1f95"/>
    <w:p>
      <w:pPr>
        <w:pStyle w:val="Heading2"/>
      </w:pPr>
      <w:r>
        <w:t xml:space="preserve">4.2 Q2) Trait-elevation relationships are species-specific</w:t>
      </w:r>
    </w:p>
    <w:p>
      <w:pPr>
        <w:pStyle w:val="FirstParagraph"/>
      </w:pPr>
      <w:r>
        <w:t xml:space="preserve">Trait-elevation relationships varied by species and trait type (Q2). Across the entire community, LMA, LPS, and LT increased weakly but significantly with elevation (LMA:</w:t>
      </w:r>
      <w:r>
        <w:t xml:space="preserve"> </w:t>
      </w:r>
      <w:r>
        <w:rPr>
          <w:i/>
          <w:iCs/>
        </w:rPr>
        <w:t xml:space="preserve">R²</w:t>
      </w:r>
      <w:r>
        <w:rPr>
          <w:i/>
          <w:iCs/>
          <w:vertAlign w:val="subscript"/>
        </w:rPr>
        <w:t xml:space="preserve">adj</w:t>
      </w:r>
      <w:r>
        <w:t xml:space="preserve"> </w:t>
      </w:r>
      <w:r>
        <w:t xml:space="preserve">= .041,</w:t>
      </w:r>
      <w:r>
        <w:t xml:space="preserve"> </w:t>
      </w:r>
      <w:r>
        <w:rPr>
          <w:i/>
          <w:iCs/>
        </w:rPr>
        <w:t xml:space="preserve">p</w:t>
      </w:r>
      <w:r>
        <w:t xml:space="preserve"> </w:t>
      </w:r>
      <w:r>
        <w:t xml:space="preserve">&lt; .001; LPS:</w:t>
      </w:r>
      <w:r>
        <w:t xml:space="preserve"> </w:t>
      </w:r>
      <w:r>
        <w:rPr>
          <w:i/>
          <w:iCs/>
        </w:rPr>
        <w:t xml:space="preserve">R²</w:t>
      </w:r>
      <w:r>
        <w:rPr>
          <w:i/>
          <w:iCs/>
          <w:vertAlign w:val="subscript"/>
        </w:rPr>
        <w:t xml:space="preserve">adj</w:t>
      </w:r>
      <w:r>
        <w:t xml:space="preserve"> </w:t>
      </w:r>
      <w:r>
        <w:t xml:space="preserve">= .004,</w:t>
      </w:r>
      <w:r>
        <w:t xml:space="preserve"> </w:t>
      </w:r>
      <w:r>
        <w:rPr>
          <w:i/>
          <w:iCs/>
        </w:rPr>
        <w:t xml:space="preserve">p</w:t>
      </w:r>
      <w:r>
        <w:t xml:space="preserve"> </w:t>
      </w:r>
      <w:r>
        <w:t xml:space="preserve">= .032; LT:</w:t>
      </w:r>
      <w:r>
        <w:rPr>
          <w:i/>
          <w:iCs/>
        </w:rPr>
        <w:t xml:space="preserve">R²</w:t>
      </w:r>
      <w:r>
        <w:rPr>
          <w:i/>
          <w:iCs/>
          <w:vertAlign w:val="subscript"/>
        </w:rPr>
        <w:t xml:space="preserve">adj</w:t>
      </w:r>
      <w:r>
        <w:t xml:space="preserve"> </w:t>
      </w:r>
      <w:r>
        <w:t xml:space="preserve">= .013,</w:t>
      </w:r>
      <w:r>
        <w:t xml:space="preserve"> </w:t>
      </w:r>
      <w:r>
        <w:rPr>
          <w:i/>
          <w:iCs/>
        </w:rPr>
        <w:t xml:space="preserve">p</w:t>
      </w:r>
      <w:r>
        <w:t xml:space="preserve"> </w:t>
      </w:r>
      <w:r>
        <w:t xml:space="preserve">&lt; .0001; Figs. S5A, S8A, S9A). However, this pooled trend masked substantial species-specific differences. Per-species regressions of each trait on elevation showed that</w:t>
      </w:r>
      <w:r>
        <w:t xml:space="preserve"> </w:t>
      </w:r>
      <w:r>
        <w:rPr>
          <w:i/>
          <w:iCs/>
        </w:rPr>
        <w:t xml:space="preserve">M. nasutus</w:t>
      </w:r>
      <w:r>
        <w:t xml:space="preserve"> </w:t>
      </w:r>
      <w:r>
        <w:t xml:space="preserve">increased significantly in all three traits (LMA:</w:t>
      </w:r>
      <w:r>
        <w:t xml:space="preserve"> </w:t>
      </w:r>
      <w:r>
        <w:rPr>
          <w:i/>
          <w:iCs/>
        </w:rPr>
        <w:t xml:space="preserve">R²</w:t>
      </w:r>
      <w:r>
        <w:rPr>
          <w:i/>
          <w:iCs/>
          <w:vertAlign w:val="subscript"/>
        </w:rPr>
        <w:t xml:space="preserve">adj</w:t>
      </w:r>
      <w:r>
        <w:t xml:space="preserve"> </w:t>
      </w:r>
      <w:r>
        <w:t xml:space="preserve">= .278,</w:t>
      </w:r>
      <w:r>
        <w:t xml:space="preserve"> </w:t>
      </w:r>
      <w:r>
        <w:rPr>
          <w:i/>
          <w:iCs/>
        </w:rPr>
        <w:t xml:space="preserve">p</w:t>
      </w:r>
      <w:r>
        <w:t xml:space="preserve"> </w:t>
      </w:r>
      <w:r>
        <w:t xml:space="preserve">&lt; .0001; LPS:</w:t>
      </w:r>
      <w:r>
        <w:t xml:space="preserve"> </w:t>
      </w:r>
      <w:r>
        <w:rPr>
          <w:i/>
          <w:iCs/>
        </w:rPr>
        <w:t xml:space="preserve">R²</w:t>
      </w:r>
      <w:r>
        <w:rPr>
          <w:i/>
          <w:iCs/>
          <w:vertAlign w:val="subscript"/>
        </w:rPr>
        <w:t xml:space="preserve">adj</w:t>
      </w:r>
      <w:r>
        <w:t xml:space="preserve"> </w:t>
      </w:r>
      <w:r>
        <w:t xml:space="preserve">= .199,</w:t>
      </w:r>
      <w:r>
        <w:t xml:space="preserve"> </w:t>
      </w:r>
      <w:r>
        <w:rPr>
          <w:i/>
          <w:iCs/>
        </w:rPr>
        <w:t xml:space="preserve">p</w:t>
      </w:r>
      <w:r>
        <w:t xml:space="preserve"> </w:t>
      </w:r>
      <w:r>
        <w:t xml:space="preserve">&lt; .0001; LT:</w:t>
      </w:r>
      <w:r>
        <w:t xml:space="preserve"> </w:t>
      </w:r>
      <w:r>
        <w:rPr>
          <w:i/>
          <w:iCs/>
        </w:rPr>
        <w:t xml:space="preserve">R²</w:t>
      </w:r>
      <w:r>
        <w:rPr>
          <w:i/>
          <w:iCs/>
          <w:vertAlign w:val="subscript"/>
        </w:rPr>
        <w:t xml:space="preserve">adj</w:t>
      </w:r>
      <w:r>
        <w:t xml:space="preserve"> </w:t>
      </w:r>
      <w:r>
        <w:t xml:space="preserve">= .067,</w:t>
      </w:r>
      <w:r>
        <w:t xml:space="preserve"> </w:t>
      </w:r>
      <w:r>
        <w:rPr>
          <w:i/>
          <w:iCs/>
        </w:rPr>
        <w:t xml:space="preserve">p</w:t>
      </w:r>
      <w:r>
        <w:t xml:space="preserve"> </w:t>
      </w:r>
      <w:r>
        <w:t xml:space="preserve">= .002),</w:t>
      </w:r>
      <w:r>
        <w:t xml:space="preserve"> </w:t>
      </w:r>
      <w:r>
        <w:rPr>
          <w:i/>
          <w:iCs/>
        </w:rPr>
        <w:t xml:space="preserve">M. laciniatus</w:t>
      </w:r>
      <w:r>
        <w:t xml:space="preserve"> </w:t>
      </w:r>
      <w:r>
        <w:t xml:space="preserve">increased significantly in LMA and LT but not LPS (LMA:</w:t>
      </w:r>
      <w:r>
        <w:t xml:space="preserve"> </w:t>
      </w:r>
      <w:r>
        <w:rPr>
          <w:i/>
          <w:iCs/>
        </w:rPr>
        <w:t xml:space="preserve">R²</w:t>
      </w:r>
      <w:r>
        <w:rPr>
          <w:i/>
          <w:iCs/>
          <w:vertAlign w:val="subscript"/>
        </w:rPr>
        <w:t xml:space="preserve">adj</w:t>
      </w:r>
      <w:r>
        <w:t xml:space="preserve"> </w:t>
      </w:r>
      <w:r>
        <w:t xml:space="preserve">= .044,</w:t>
      </w:r>
      <w:r>
        <w:t xml:space="preserve"> </w:t>
      </w:r>
      <w:r>
        <w:rPr>
          <w:i/>
          <w:iCs/>
        </w:rPr>
        <w:t xml:space="preserve">p</w:t>
      </w:r>
      <w:r>
        <w:t xml:space="preserve"> </w:t>
      </w:r>
      <w:r>
        <w:t xml:space="preserve">= .01; LT:</w:t>
      </w:r>
      <w:r>
        <w:t xml:space="preserve"> </w:t>
      </w:r>
      <w:r>
        <w:rPr>
          <w:i/>
          <w:iCs/>
        </w:rPr>
        <w:t xml:space="preserve">R²</w:t>
      </w:r>
      <w:r>
        <w:rPr>
          <w:i/>
          <w:iCs/>
          <w:vertAlign w:val="subscript"/>
        </w:rPr>
        <w:t xml:space="preserve">adj</w:t>
      </w:r>
      <w:r>
        <w:t xml:space="preserve"> </w:t>
      </w:r>
      <w:r>
        <w:t xml:space="preserve">= .047,</w:t>
      </w:r>
      <w:r>
        <w:t xml:space="preserve"> </w:t>
      </w:r>
      <w:r>
        <w:rPr>
          <w:i/>
          <w:iCs/>
        </w:rPr>
        <w:t xml:space="preserve">p</w:t>
      </w:r>
      <w:r>
        <w:t xml:space="preserve"> </w:t>
      </w:r>
      <w:r>
        <w:t xml:space="preserve">&lt; .0001; LPS:</w:t>
      </w:r>
      <w:r>
        <w:t xml:space="preserve"> </w:t>
      </w:r>
      <w:r>
        <w:rPr>
          <w:i/>
          <w:iCs/>
        </w:rPr>
        <w:t xml:space="preserve">p</w:t>
      </w:r>
      <w:r>
        <w:t xml:space="preserve"> </w:t>
      </w:r>
      <w:r>
        <w:t xml:space="preserve">= .12), and</w:t>
      </w:r>
      <w:r>
        <w:t xml:space="preserve"> </w:t>
      </w:r>
      <w:r>
        <w:rPr>
          <w:i/>
          <w:iCs/>
        </w:rPr>
        <w:t xml:space="preserve">M. guttatus</w:t>
      </w:r>
      <w:r>
        <w:t xml:space="preserve"> </w:t>
      </w:r>
      <w:r>
        <w:t xml:space="preserve">showed no significant elevational increase in LMA or LPS (</w:t>
      </w:r>
      <w:r>
        <w:rPr>
          <w:i/>
          <w:iCs/>
        </w:rPr>
        <w:t xml:space="preserve">p</w:t>
      </w:r>
      <w:r>
        <w:t xml:space="preserve"> </w:t>
      </w:r>
      <w:r>
        <w:t xml:space="preserve">= .77 and</w:t>
      </w:r>
      <w:r>
        <w:t xml:space="preserve"> </w:t>
      </w:r>
      <w:r>
        <w:rPr>
          <w:i/>
          <w:iCs/>
        </w:rPr>
        <w:t xml:space="preserve">p</w:t>
      </w:r>
      <w:r>
        <w:t xml:space="preserve"> </w:t>
      </w:r>
      <w:r>
        <w:t xml:space="preserve">= .25, respectively) and a significant</w:t>
      </w:r>
      <w:r>
        <w:t xml:space="preserve"> </w:t>
      </w:r>
      <w:r>
        <w:rPr>
          <w:i/>
          <w:iCs/>
        </w:rPr>
        <w:t xml:space="preserve">decrease</w:t>
      </w:r>
      <w:r>
        <w:t xml:space="preserve"> </w:t>
      </w:r>
      <w:r>
        <w:t xml:space="preserve">in LT with elevation (</w:t>
      </w:r>
      <w:r>
        <w:rPr>
          <w:i/>
          <w:iCs/>
        </w:rPr>
        <w:t xml:space="preserve">R²</w:t>
      </w:r>
      <w:r>
        <w:rPr>
          <w:i/>
          <w:iCs/>
          <w:vertAlign w:val="subscript"/>
        </w:rPr>
        <w:t xml:space="preserve">adj</w:t>
      </w:r>
      <w:r>
        <w:t xml:space="preserve"> </w:t>
      </w:r>
      <w:r>
        <w:t xml:space="preserve">= .01,</w:t>
      </w:r>
      <w:r>
        <w:t xml:space="preserve"> </w:t>
      </w:r>
      <w:r>
        <w:rPr>
          <w:i/>
          <w:iCs/>
        </w:rPr>
        <w:t xml:space="preserve">p</w:t>
      </w:r>
      <w:r>
        <w:t xml:space="preserve"> </w:t>
      </w:r>
      <w:r>
        <w:t xml:space="preserve">= .023). Categorical analyses were consistent with these trends:</w:t>
      </w:r>
      <w:r>
        <w:t xml:space="preserve"> </w:t>
      </w:r>
      <w:r>
        <w:rPr>
          <w:i/>
          <w:iCs/>
        </w:rPr>
        <w:t xml:space="preserve">M. laciniatus</w:t>
      </w:r>
      <w:r>
        <w:t xml:space="preserve"> </w:t>
      </w:r>
      <w:r>
        <w:t xml:space="preserve">maintained consistently high LBI across elevations (Fig. S7B), while</w:t>
      </w:r>
      <w:r>
        <w:t xml:space="preserve"> </w:t>
      </w:r>
      <w:r>
        <w:rPr>
          <w:i/>
          <w:iCs/>
        </w:rPr>
        <w:t xml:space="preserve">M. guttatus</w:t>
      </w:r>
      <w:r>
        <w:t xml:space="preserve"> </w:t>
      </w:r>
      <w:r>
        <w:t xml:space="preserve">showed increased LPS at mid-elevations (</w:t>
      </w:r>
      <w:r>
        <w:rPr>
          <w:i/>
          <w:iCs/>
        </w:rPr>
        <w:t xml:space="preserve">p</w:t>
      </w:r>
      <w:r>
        <w:t xml:space="preserve"> </w:t>
      </w:r>
      <w:r>
        <w:t xml:space="preserve">&lt; .0001; Fig. S8B) and greater LT differentiation at higher elevations (</w:t>
      </w:r>
      <w:r>
        <w:rPr>
          <w:i/>
          <w:iCs/>
        </w:rPr>
        <w:t xml:space="preserve">p</w:t>
      </w:r>
      <w:r>
        <w:t xml:space="preserve"> </w:t>
      </w:r>
      <w:r>
        <w:t xml:space="preserve">&lt; .0001; Fig. S9B). In contrast, ACI showed no community-wide elevational trend (</w:t>
      </w:r>
      <w:r>
        <w:rPr>
          <w:i/>
          <w:iCs/>
        </w:rPr>
        <w:t xml:space="preserve">R²</w:t>
      </w:r>
      <w:r>
        <w:rPr>
          <w:i/>
          <w:iCs/>
          <w:vertAlign w:val="subscript"/>
        </w:rPr>
        <w:t xml:space="preserve">adj</w:t>
      </w:r>
      <w:r>
        <w:t xml:space="preserve"> </w:t>
      </w:r>
      <w:r>
        <w:t xml:space="preserve">&lt; -.000,</w:t>
      </w:r>
      <w:r>
        <w:t xml:space="preserve"> </w:t>
      </w:r>
      <w:r>
        <w:rPr>
          <w:i/>
          <w:iCs/>
        </w:rPr>
        <w:t xml:space="preserve">p</w:t>
      </w:r>
      <w:r>
        <w:t xml:space="preserve"> </w:t>
      </w:r>
      <w:r>
        <w:t xml:space="preserve">&lt; .0001; Fig. S6A), but</w:t>
      </w:r>
      <w:r>
        <w:t xml:space="preserve"> </w:t>
      </w:r>
      <w:r>
        <w:rPr>
          <w:i/>
          <w:iCs/>
        </w:rPr>
        <w:t xml:space="preserve">M. laciniatus</w:t>
      </w:r>
      <w:r>
        <w:t xml:space="preserve"> </w:t>
      </w:r>
      <w:r>
        <w:t xml:space="preserve">exhibited lower ACI at higher elevations compared to congeners (</w:t>
      </w:r>
      <w:r>
        <w:rPr>
          <w:i/>
          <w:iCs/>
        </w:rPr>
        <w:t xml:space="preserve">p</w:t>
      </w:r>
      <w:r>
        <w:t xml:space="preserve"> </w:t>
      </w:r>
      <w:r>
        <w:t xml:space="preserve">&lt; .01; Fig. S6B).</w:t>
      </w:r>
    </w:p>
    <w:bookmarkEnd w:id="24"/>
    <w:bookmarkStart w:id="25" w:name="Xbd13f3fc3c0b997cc001b5f6cdce9cc3997eb90"/>
    <w:p>
      <w:pPr>
        <w:pStyle w:val="Heading2"/>
      </w:pPr>
      <w:r>
        <w:t xml:space="preserve">4.3 Q3) Host species and elevation jointly shape FEF richness and community composition; leaf functional traits predict β-diversity</w:t>
      </w:r>
    </w:p>
    <w:p>
      <w:pPr>
        <w:pStyle w:val="FirstParagraph"/>
      </w:pPr>
      <w:r>
        <w:t xml:space="preserve">We obtained 5,082,229 reads representing 726 ASVs from 174 samples after processing samples through the DADA2 pipeline. The raw reads obtained were composed of 26.81% Ascomycota, 71.53% Basidiomycota, &lt;0.05% Chytridiomycota, &lt;0.5% Mortierellomycota, &lt;0.03% Olpidiomycota, 0.01% Rozellomycota, &lt;0.001% Aphelidiomycota, and 1.19% unidentified. After decontamination, and removal of singletons we retained 4,856,220 reads representing 231 ASVs from 157 samples composed of 26% Ascomycota, 73% Basidiomycota, 0.01% Chytridiomycota, &lt;0.1% Mortierellomycota, 0.03% Olpidiomycota, &lt;0.002% Rozellomycota and &lt;1.0% unknown reads (</w:t>
      </w:r>
      <w:hyperlink w:anchor="fig-figure3">
        <w:r>
          <w:rPr>
            <w:rStyle w:val="Hyperlink"/>
          </w:rPr>
          <w:t xml:space="preserve">Fig. 3</w:t>
        </w:r>
      </w:hyperlink>
      <w:r>
        <w:t xml:space="preserve"> </w:t>
      </w:r>
      <w:r>
        <w:t xml:space="preserve">and Fig. S2).</w:t>
      </w:r>
    </w:p>
    <w:p>
      <w:pPr>
        <w:pStyle w:val="BodyText"/>
      </w:pPr>
      <w:r>
        <w:t xml:space="preserve">Host species did structure FEF community composition even among populations at similar elevations: composition differed significantly by host species and by elevation zone (see below), and communities were most distinguishable by host species at high elevations specifically, where community overlap between species was lowest.</w:t>
      </w:r>
    </w:p>
    <w:p>
      <w:pPr>
        <w:pStyle w:val="BodyText"/>
      </w:pPr>
      <w:r>
        <w:rPr>
          <w:b/>
          <w:bCs/>
        </w:rPr>
        <w:t xml:space="preserve">FEF α-diversity declined with elevation, but responses were species specific.</w:t>
      </w:r>
      <w:r>
        <w:t xml:space="preserve"> </w:t>
      </w:r>
      <w:r>
        <w:t xml:space="preserve">We observed significant interspecific differences in α-diversity across all Hill numbers (𝑞 = 0, 1, 2), with the sole exception of the</w:t>
      </w:r>
      <w:r>
        <w:t xml:space="preserve"> </w:t>
      </w:r>
      <w:r>
        <w:rPr>
          <w:i/>
          <w:iCs/>
        </w:rPr>
        <w:t xml:space="preserve">M. laciniatus</w:t>
      </w:r>
      <w:r>
        <w:t xml:space="preserve"> </w:t>
      </w:r>
      <w:r>
        <w:t xml:space="preserve">-</w:t>
      </w:r>
      <w:r>
        <w:t xml:space="preserve"> </w:t>
      </w:r>
      <w:r>
        <w:rPr>
          <w:i/>
          <w:iCs/>
        </w:rPr>
        <w:t xml:space="preserve">M. nasutus</w:t>
      </w:r>
      <w:r>
        <w:t xml:space="preserve"> </w:t>
      </w:r>
      <w:r>
        <w:t xml:space="preserve">contrast at 𝑞 = 0 (Fig. S4A-S4C) (Q3). FEF α-diversity decreased significantly with elevation across all Hill numbers: (𝑞 = 0) (</w:t>
      </w:r>
      <w:r>
        <w:rPr>
          <w:i/>
          <w:iCs/>
        </w:rPr>
        <w:t xml:space="preserve">R</w:t>
      </w:r>
      <w:r>
        <w:rPr>
          <w:i/>
          <w:iCs/>
          <w:vertAlign w:val="superscript"/>
        </w:rPr>
        <w:t xml:space="preserve">2</w:t>
      </w:r>
      <w:r>
        <w:rPr>
          <w:i/>
          <w:iCs/>
          <w:vertAlign w:val="subscript"/>
        </w:rPr>
        <w:t xml:space="preserve">adj</w:t>
      </w:r>
      <w:r>
        <w:t xml:space="preserve"> </w:t>
      </w:r>
      <w:r>
        <w:t xml:space="preserve">&lt; .01,</w:t>
      </w:r>
      <w:r>
        <w:t xml:space="preserve"> </w:t>
      </w:r>
      <w:r>
        <w:rPr>
          <w:i/>
          <w:iCs/>
        </w:rPr>
        <w:t xml:space="preserve">F</w:t>
      </w:r>
      <w:r>
        <w:rPr>
          <w:vertAlign w:val="subscript"/>
        </w:rPr>
        <w:t xml:space="preserve">1,</w:t>
      </w:r>
      <w:r>
        <w:t xml:space="preserve"> </w:t>
      </w:r>
      <w:r>
        <w:rPr>
          <w:vertAlign w:val="subscript"/>
        </w:rPr>
        <w:t xml:space="preserve">4198</w:t>
      </w:r>
      <w:r>
        <w:t xml:space="preserve">= 16.69,</w:t>
      </w:r>
      <w:r>
        <w:t xml:space="preserve"> </w:t>
      </w:r>
      <w:r>
        <w:rPr>
          <w:i/>
          <w:iCs/>
        </w:rPr>
        <w:t xml:space="preserve">p</w:t>
      </w:r>
      <w:r>
        <w:t xml:space="preserve"> </w:t>
      </w:r>
      <w:r>
        <w:t xml:space="preserve">&lt; .001), the exponent of Shannon’s entropy (𝑞 = 1) (</w:t>
      </w:r>
      <w:r>
        <w:rPr>
          <w:i/>
          <w:iCs/>
        </w:rPr>
        <w:t xml:space="preserve">R</w:t>
      </w:r>
      <w:r>
        <w:rPr>
          <w:i/>
          <w:iCs/>
          <w:vertAlign w:val="superscript"/>
        </w:rPr>
        <w:t xml:space="preserve">2</w:t>
      </w:r>
      <w:r>
        <w:rPr>
          <w:i/>
          <w:iCs/>
          <w:vertAlign w:val="subscript"/>
        </w:rPr>
        <w:t xml:space="preserve">adj</w:t>
      </w:r>
      <w:r>
        <w:t xml:space="preserve"> </w:t>
      </w:r>
      <w:r>
        <w:t xml:space="preserve">&lt; .01,</w:t>
      </w:r>
      <w:r>
        <w:t xml:space="preserve"> </w:t>
      </w:r>
      <w:r>
        <w:rPr>
          <w:i/>
          <w:iCs/>
        </w:rPr>
        <w:t xml:space="preserve">F</w:t>
      </w:r>
      <w:r>
        <w:rPr>
          <w:vertAlign w:val="subscript"/>
        </w:rPr>
        <w:t xml:space="preserve">1,</w:t>
      </w:r>
      <w:r>
        <w:t xml:space="preserve"> </w:t>
      </w:r>
      <w:r>
        <w:rPr>
          <w:vertAlign w:val="subscript"/>
        </w:rPr>
        <w:t xml:space="preserve">4198</w:t>
      </w:r>
      <w:r>
        <w:t xml:space="preserve">= 37.91,</w:t>
      </w:r>
      <w:r>
        <w:t xml:space="preserve"> </w:t>
      </w:r>
      <w:r>
        <w:rPr>
          <w:i/>
          <w:iCs/>
        </w:rPr>
        <w:t xml:space="preserve">p</w:t>
      </w:r>
      <w:r>
        <w:t xml:space="preserve"> </w:t>
      </w:r>
      <w:r>
        <w:t xml:space="preserve">&lt; .001), and the Inverse Simpson’s Diversity (𝑞 = 2) (</w:t>
      </w:r>
      <w:r>
        <w:rPr>
          <w:i/>
          <w:iCs/>
        </w:rPr>
        <w:t xml:space="preserve">R</w:t>
      </w:r>
      <w:r>
        <w:rPr>
          <w:i/>
          <w:iCs/>
          <w:vertAlign w:val="superscript"/>
        </w:rPr>
        <w:t xml:space="preserve">2</w:t>
      </w:r>
      <w:r>
        <w:rPr>
          <w:i/>
          <w:iCs/>
          <w:vertAlign w:val="subscript"/>
        </w:rPr>
        <w:t xml:space="preserve">adj</w:t>
      </w:r>
      <w:r>
        <w:t xml:space="preserve"> </w:t>
      </w:r>
      <w:r>
        <w:t xml:space="preserve">&lt; .01,</w:t>
      </w:r>
      <w:r>
        <w:t xml:space="preserve"> </w:t>
      </w:r>
      <w:r>
        <w:rPr>
          <w:i/>
          <w:iCs/>
        </w:rPr>
        <w:t xml:space="preserve">F</w:t>
      </w:r>
      <w:r>
        <w:rPr>
          <w:vertAlign w:val="subscript"/>
        </w:rPr>
        <w:t xml:space="preserve">1,</w:t>
      </w:r>
      <w:r>
        <w:t xml:space="preserve"> </w:t>
      </w:r>
      <w:r>
        <w:rPr>
          <w:vertAlign w:val="subscript"/>
        </w:rPr>
        <w:t xml:space="preserve">4198</w:t>
      </w:r>
      <w:r>
        <w:t xml:space="preserve">= 23.73,</w:t>
      </w:r>
      <w:r>
        <w:t xml:space="preserve"> </w:t>
      </w:r>
      <w:r>
        <w:rPr>
          <w:i/>
          <w:iCs/>
        </w:rPr>
        <w:t xml:space="preserve">p</w:t>
      </w:r>
      <w:r>
        <w:t xml:space="preserve"> </w:t>
      </w:r>
      <w:r>
        <w:t xml:space="preserve">&lt; .001). Species-specific responses differed:</w:t>
      </w:r>
      <w:r>
        <w:t xml:space="preserve"> </w:t>
      </w:r>
      <w:r>
        <w:rPr>
          <w:i/>
          <w:iCs/>
        </w:rPr>
        <w:t xml:space="preserve">M. nasutus</w:t>
      </w:r>
      <w:r>
        <w:t xml:space="preserve"> </w:t>
      </w:r>
      <w:r>
        <w:t xml:space="preserve">showed declining diversity with elevation (</w:t>
      </w:r>
      <w:hyperlink w:anchor="fig-figure4">
        <w:r>
          <w:rPr>
            <w:rStyle w:val="Hyperlink"/>
          </w:rPr>
          <w:t xml:space="preserve">Fig. 4</w:t>
        </w:r>
      </w:hyperlink>
      <w:r>
        <w:t xml:space="preserve">), while</w:t>
      </w:r>
      <w:r>
        <w:t xml:space="preserve"> </w:t>
      </w:r>
      <w:r>
        <w:rPr>
          <w:i/>
          <w:iCs/>
        </w:rPr>
        <w:t xml:space="preserve">M. laciniatus</w:t>
      </w:r>
      <w:r>
        <w:t xml:space="preserve"> </w:t>
      </w:r>
      <w:r>
        <w:t xml:space="preserve">exhibited increased diversity.</w:t>
      </w:r>
      <w:r>
        <w:t xml:space="preserve"> </w:t>
      </w:r>
      <w:r>
        <w:rPr>
          <w:i/>
          <w:iCs/>
        </w:rPr>
        <w:t xml:space="preserve">M. guttatus</w:t>
      </w:r>
      <w:r>
        <w:t xml:space="preserve"> </w:t>
      </w:r>
      <w:r>
        <w:t xml:space="preserve">displayed mixed trends, with elevated Hill</w:t>
      </w:r>
      <w:r>
        <w:t xml:space="preserve"> </w:t>
      </w:r>
      <w:r>
        <w:rPr>
          <w:i/>
          <w:iCs/>
        </w:rPr>
        <w:t xml:space="preserve">q</w:t>
      </w:r>
      <w:r>
        <w:t xml:space="preserve"> </w:t>
      </w:r>
      <w:r>
        <w:t xml:space="preserve">= 0 diversity but decreased diversity at higher Hill orders. We observed a similar pattern in beta diversity among elevation sites (Fig. S4D -S4F). We saw no differences in beta diversity between low and mid elevation sites for Hill order 2 (𝑞 = 2,</w:t>
      </w:r>
      <w:r>
        <w:t xml:space="preserve"> </w:t>
      </w:r>
      <w:r>
        <w:rPr>
          <w:i/>
          <w:iCs/>
        </w:rPr>
        <w:t xml:space="preserve">p</w:t>
      </w:r>
      <w:r>
        <w:t xml:space="preserve"> </w:t>
      </w:r>
      <w:r>
        <w:t xml:space="preserve">&gt; .05, Fig. S4F).</w:t>
      </w:r>
    </w:p>
    <w:p>
      <w:pPr>
        <w:pStyle w:val="BodyText"/>
      </w:pPr>
      <w:r>
        <w:rPr>
          <w:b/>
          <w:bCs/>
        </w:rPr>
        <w:t xml:space="preserve">Host species and elevation jointly structured FEF community composition.</w:t>
      </w:r>
      <w:r>
        <w:t xml:space="preserve"> </w:t>
      </w:r>
      <w:r>
        <w:t xml:space="preserve">FEF communities differed significantly among host species and elevation zones. The best-fit model revealed that 22% of the overall variance in FEF communities was accounted for by log-transformed LBI, and the interaction of host species and elevation, all of which were significantly correlated (</w:t>
      </w:r>
      <w:r>
        <w:rPr>
          <w:i/>
          <w:iCs/>
        </w:rPr>
        <w:t xml:space="preserve">p</w:t>
      </w:r>
      <w:r>
        <w:t xml:space="preserve"> </w:t>
      </w:r>
      <w:r>
        <w:t xml:space="preserve">&lt; .001) with FEF communities in their host species (</w:t>
      </w:r>
      <w:hyperlink w:anchor="fig-figure5">
        <w:r>
          <w:rPr>
            <w:rStyle w:val="Hyperlink"/>
          </w:rPr>
          <w:t xml:space="preserve">Fig. 5</w:t>
        </w:r>
      </w:hyperlink>
      <w:r>
        <w:t xml:space="preserve"> </w:t>
      </w:r>
      <w:r>
        <w:t xml:space="preserve">and</w:t>
      </w:r>
      <w:r>
        <w:t xml:space="preserve"> </w:t>
      </w:r>
      <w:hyperlink w:anchor="supptbl-3">
        <w:r>
          <w:rPr>
            <w:rStyle w:val="Hyperlink"/>
          </w:rPr>
          <w:t xml:space="preserve">Table S3</w:t>
        </w:r>
      </w:hyperlink>
      <w:r>
        <w:t xml:space="preserve">). We observed that the first axis (dbRDA1) explained 51.7% and the second axis (dbRDA2) explained 15.9% of the constrained variance (</w:t>
      </w:r>
      <w:hyperlink w:anchor="fig-figure5">
        <w:r>
          <w:rPr>
            <w:rStyle w:val="Hyperlink"/>
          </w:rPr>
          <w:t xml:space="preserve">Fig. 5</w:t>
        </w:r>
      </w:hyperlink>
      <w:r>
        <w:t xml:space="preserve">) which support that host species and elevation interactions structure FEF communities. Communities showed greater overlap at low elevations but became distinct at high elevations (</w:t>
      </w:r>
      <w:hyperlink w:anchor="fig-figure5">
        <w:r>
          <w:rPr>
            <w:rStyle w:val="Hyperlink"/>
          </w:rPr>
          <w:t xml:space="preserve">Fig. 5</w:t>
        </w:r>
      </w:hyperlink>
      <w:r>
        <w:t xml:space="preserve">).</w:t>
      </w:r>
    </w:p>
    <w:p>
      <w:pPr>
        <w:pStyle w:val="BodyText"/>
      </w:pPr>
      <w:r>
        <w:t xml:space="preserve">FEF community composition differed significantly among host species (</w:t>
      </w:r>
      <w:r>
        <w:rPr>
          <w:i/>
          <w:iCs/>
        </w:rPr>
        <w:t xml:space="preserve">F</w:t>
      </w:r>
      <w:r>
        <w:rPr>
          <w:vertAlign w:val="subscript"/>
        </w:rPr>
        <w:t xml:space="preserve">2,</w:t>
      </w:r>
      <w:r>
        <w:t xml:space="preserve"> </w:t>
      </w:r>
      <w:r>
        <w:rPr>
          <w:vertAlign w:val="subscript"/>
        </w:rPr>
        <w:t xml:space="preserve">4197</w:t>
      </w:r>
      <w:r>
        <w:t xml:space="preserve">= 320.3,</w:t>
      </w:r>
      <w:r>
        <w:t xml:space="preserve"> </w:t>
      </w:r>
      <w:r>
        <w:rPr>
          <w:i/>
          <w:iCs/>
        </w:rPr>
        <w:t xml:space="preserve">p</w:t>
      </w:r>
      <w:r>
        <w:t xml:space="preserve"> </w:t>
      </w:r>
      <w:r>
        <w:t xml:space="preserve">&lt; .001) and among elevation zones (</w:t>
      </w:r>
      <w:r>
        <w:rPr>
          <w:i/>
          <w:iCs/>
        </w:rPr>
        <w:t xml:space="preserve">F</w:t>
      </w:r>
      <w:r>
        <w:rPr>
          <w:vertAlign w:val="subscript"/>
        </w:rPr>
        <w:t xml:space="preserve">2,</w:t>
      </w:r>
      <w:r>
        <w:t xml:space="preserve"> </w:t>
      </w:r>
      <w:r>
        <w:rPr>
          <w:vertAlign w:val="subscript"/>
        </w:rPr>
        <w:t xml:space="preserve">4197</w:t>
      </w:r>
      <w:r>
        <w:t xml:space="preserve">= 228.1,</w:t>
      </w:r>
      <w:r>
        <w:t xml:space="preserve"> </w:t>
      </w:r>
      <w:r>
        <w:rPr>
          <w:i/>
          <w:iCs/>
        </w:rPr>
        <w:t xml:space="preserve">p</w:t>
      </w:r>
      <w:r>
        <w:t xml:space="preserve"> </w:t>
      </w:r>
      <w:r>
        <w:t xml:space="preserve">&lt; .001), with all pairwise comparisons significant by post-hoc Tukey’s test (⍺ = 0.05); the interaction between log LBI and elevation zone showed the same pattern (</w:t>
      </w:r>
      <w:r>
        <w:rPr>
          <w:i/>
          <w:iCs/>
        </w:rPr>
        <w:t xml:space="preserve">F</w:t>
      </w:r>
      <w:r>
        <w:rPr>
          <w:vertAlign w:val="subscript"/>
        </w:rPr>
        <w:t xml:space="preserve">2,</w:t>
      </w:r>
      <w:r>
        <w:t xml:space="preserve"> </w:t>
      </w:r>
      <w:r>
        <w:rPr>
          <w:vertAlign w:val="subscript"/>
        </w:rPr>
        <w:t xml:space="preserve">4192</w:t>
      </w:r>
      <w:r>
        <w:t xml:space="preserve">= 268.1,</w:t>
      </w:r>
      <w:r>
        <w:t xml:space="preserve"> </w:t>
      </w:r>
      <w:r>
        <w:rPr>
          <w:i/>
          <w:iCs/>
        </w:rPr>
        <w:t xml:space="preserve">p</w:t>
      </w:r>
      <w:r>
        <w:t xml:space="preserve"> </w:t>
      </w:r>
      <w:r>
        <w:t xml:space="preserve">&lt; .001). PERMDISP tests showed that within-group dispersion also differed for most of these same comparisons, so dispersion is a plausible contributor to some of the apparent compositional differences. However, dispersion was not universally different — it was homogeneous for</w:t>
      </w:r>
      <w:r>
        <w:t xml:space="preserve"> </w:t>
      </w:r>
      <w:r>
        <w:rPr>
          <w:i/>
          <w:iCs/>
        </w:rPr>
        <w:t xml:space="preserve">M. guttatus</w:t>
      </w:r>
      <w:r>
        <w:t xml:space="preserve"> across all elevations, for</w:t>
      </w:r>
      <w:r>
        <w:t xml:space="preserve"> </w:t>
      </w:r>
      <w:r>
        <w:rPr>
          <w:i/>
          <w:iCs/>
        </w:rPr>
        <w:t xml:space="preserve">M. laciniatus</w:t>
      </w:r>
      <w:r>
        <w:t xml:space="preserve"> (LOW/MID) vs. </w:t>
      </w:r>
      <w:r>
        <w:rPr>
          <w:i/>
          <w:iCs/>
        </w:rPr>
        <w:t xml:space="preserve">M. guttatus</w:t>
      </w:r>
      <w:r>
        <w:t xml:space="preserve"> (HIGH), and for</w:t>
      </w:r>
      <w:r>
        <w:t xml:space="preserve"> </w:t>
      </w:r>
      <w:r>
        <w:rPr>
          <w:i/>
          <w:iCs/>
        </w:rPr>
        <w:t xml:space="preserve">M. nasutus</w:t>
      </w:r>
      <w:r>
        <w:t xml:space="preserve"> (MID/HIGH) vs. </w:t>
      </w:r>
      <w:r>
        <w:rPr>
          <w:i/>
          <w:iCs/>
        </w:rPr>
        <w:t xml:space="preserve">M. laciniatus</w:t>
      </w:r>
      <w:r>
        <w:t xml:space="preserve"> (MID) (Tukey’s test, ⍺ = 0.05) — and the same host-species and elevation effects on composition were independently recovered by the dbRDA above and by the GLMM below, neither of which relies on the PERMDISP test. This convergence across independent analyses indicates that dispersion differences are unlikely to fully explain the observed community structure.</w:t>
      </w:r>
    </w:p>
    <w:p>
      <w:pPr>
        <w:pStyle w:val="BodyText"/>
      </w:pPr>
      <w:r>
        <w:rPr>
          <w:b/>
          <w:bCs/>
        </w:rPr>
        <w:t xml:space="preserve">Leaf functional traits, not elevation, predicted β‑diversity.</w:t>
      </w:r>
      <w:r>
        <w:t xml:space="preserve"> </w:t>
      </w:r>
      <w:r>
        <w:t xml:space="preserve">GLMMs identified leaf functional traits, not elevation, as primary predictors of mean β-diversity (Model 4, Table 1). Anthocyanin content (ACI) showed the strongest negative association (estimate = -0.078,</w:t>
      </w:r>
      <w:r>
        <w:t xml:space="preserve"> </w:t>
      </w:r>
      <w:r>
        <w:rPr>
          <w:i/>
          <w:iCs/>
        </w:rPr>
        <w:t xml:space="preserve">t</w:t>
      </w:r>
      <w:r>
        <w:t xml:space="preserve">(4200) = -32.48,</w:t>
      </w:r>
      <w:r>
        <w:t xml:space="preserve"> </w:t>
      </w:r>
      <w:r>
        <w:rPr>
          <w:i/>
          <w:iCs/>
        </w:rPr>
        <w:t xml:space="preserve">p</w:t>
      </w:r>
      <w:r>
        <w:t xml:space="preserve"> </w:t>
      </w:r>
      <w:r>
        <w:t xml:space="preserve">&lt; .001), followed by leaf thickness (LT; estimate = -0.051,</w:t>
      </w:r>
      <w:r>
        <w:t xml:space="preserve"> </w:t>
      </w:r>
      <w:r>
        <w:rPr>
          <w:i/>
          <w:iCs/>
        </w:rPr>
        <w:t xml:space="preserve">t</w:t>
      </w:r>
      <w:r>
        <w:t xml:space="preserve">(4200) = -9.51,</w:t>
      </w:r>
      <w:r>
        <w:t xml:space="preserve"> </w:t>
      </w:r>
      <w:r>
        <w:rPr>
          <w:i/>
          <w:iCs/>
        </w:rPr>
        <w:t xml:space="preserve">p</w:t>
      </w:r>
      <w:r>
        <w:t xml:space="preserve"> </w:t>
      </w:r>
      <w:r>
        <w:t xml:space="preserve">&lt; .001) and leaf mass per area (LMA; estimate = 0.013,</w:t>
      </w:r>
      <w:r>
        <w:t xml:space="preserve"> </w:t>
      </w:r>
      <w:r>
        <w:rPr>
          <w:i/>
          <w:iCs/>
        </w:rPr>
        <w:t xml:space="preserve">t</w:t>
      </w:r>
      <w:r>
        <w:t xml:space="preserve">(4200) = 3.74,</w:t>
      </w:r>
      <w:r>
        <w:t xml:space="preserve"> </w:t>
      </w:r>
      <w:r>
        <w:rPr>
          <w:i/>
          <w:iCs/>
        </w:rPr>
        <w:t xml:space="preserve">p</w:t>
      </w:r>
      <w:r>
        <w:t xml:space="preserve"> </w:t>
      </w:r>
      <w:r>
        <w:t xml:space="preserve">&lt; .001). Simple linear regressions showed that</w:t>
      </w:r>
      <w:r>
        <w:t xml:space="preserve"> </w:t>
      </w:r>
      <w:r>
        <w:rPr>
          <w:i/>
          <w:iCs/>
        </w:rPr>
        <w:t xml:space="preserve">M. nasutus</w:t>
      </w:r>
      <w:r>
        <w:t xml:space="preserve"> </w:t>
      </w:r>
      <w:r>
        <w:t xml:space="preserve">(</w:t>
      </w:r>
      <w:r>
        <w:rPr>
          <w:i/>
          <w:iCs/>
        </w:rPr>
        <w:t xml:space="preserve">R</w:t>
      </w:r>
      <w:r>
        <w:rPr>
          <w:i/>
          <w:iCs/>
          <w:vertAlign w:val="superscript"/>
        </w:rPr>
        <w:t xml:space="preserve">2</w:t>
      </w:r>
      <w:r>
        <w:rPr>
          <w:i/>
          <w:iCs/>
          <w:vertAlign w:val="subscript"/>
        </w:rPr>
        <w:t xml:space="preserve">adj</w:t>
      </w:r>
      <w:r>
        <w:t xml:space="preserve"> </w:t>
      </w:r>
      <w:r>
        <w:t xml:space="preserve">= .46,</w:t>
      </w:r>
      <w:r>
        <w:t xml:space="preserve"> </w:t>
      </w:r>
      <w:r>
        <w:rPr>
          <w:i/>
          <w:iCs/>
        </w:rPr>
        <w:t xml:space="preserve">F</w:t>
      </w:r>
      <w:r>
        <w:rPr>
          <w:vertAlign w:val="subscript"/>
        </w:rPr>
        <w:t xml:space="preserve">1,</w:t>
      </w:r>
      <w:r>
        <w:t xml:space="preserve"> </w:t>
      </w:r>
      <w:r>
        <w:rPr>
          <w:vertAlign w:val="subscript"/>
        </w:rPr>
        <w:t xml:space="preserve">748</w:t>
      </w:r>
      <w:r>
        <w:t xml:space="preserve">= 642.3,</w:t>
      </w:r>
      <w:r>
        <w:t xml:space="preserve"> </w:t>
      </w:r>
      <w:r>
        <w:rPr>
          <w:i/>
          <w:iCs/>
        </w:rPr>
        <w:t xml:space="preserve">p</w:t>
      </w:r>
      <w:r>
        <w:t xml:space="preserve"> </w:t>
      </w:r>
      <w:r>
        <w:t xml:space="preserve">&lt; .001) and</w:t>
      </w:r>
      <w:r>
        <w:t xml:space="preserve"> </w:t>
      </w:r>
      <w:r>
        <w:rPr>
          <w:i/>
          <w:iCs/>
        </w:rPr>
        <w:t xml:space="preserve">M. guttatus</w:t>
      </w:r>
      <w:r>
        <w:t xml:space="preserve"> </w:t>
      </w:r>
      <w:r>
        <w:t xml:space="preserve">(</w:t>
      </w:r>
      <w:r>
        <w:rPr>
          <w:i/>
          <w:iCs/>
        </w:rPr>
        <w:t xml:space="preserve">R</w:t>
      </w:r>
      <w:r>
        <w:rPr>
          <w:i/>
          <w:iCs/>
          <w:vertAlign w:val="superscript"/>
        </w:rPr>
        <w:t xml:space="preserve">2</w:t>
      </w:r>
      <w:r>
        <w:rPr>
          <w:i/>
          <w:iCs/>
          <w:vertAlign w:val="subscript"/>
        </w:rPr>
        <w:t xml:space="preserve">adj</w:t>
      </w:r>
      <w:r>
        <w:t xml:space="preserve"> </w:t>
      </w:r>
      <w:r>
        <w:t xml:space="preserve">&lt; .01,</w:t>
      </w:r>
      <w:r>
        <w:t xml:space="preserve"> </w:t>
      </w:r>
      <w:r>
        <w:rPr>
          <w:i/>
          <w:iCs/>
        </w:rPr>
        <w:t xml:space="preserve">F</w:t>
      </w:r>
      <w:r>
        <w:rPr>
          <w:vertAlign w:val="subscript"/>
        </w:rPr>
        <w:t xml:space="preserve">1,</w:t>
      </w:r>
      <w:r>
        <w:t xml:space="preserve"> </w:t>
      </w:r>
      <w:r>
        <w:rPr>
          <w:vertAlign w:val="subscript"/>
        </w:rPr>
        <w:t xml:space="preserve">1848</w:t>
      </w:r>
      <w:r>
        <w:t xml:space="preserve">= 38.3,</w:t>
      </w:r>
      <w:r>
        <w:t xml:space="preserve"> </w:t>
      </w:r>
      <w:r>
        <w:rPr>
          <w:i/>
          <w:iCs/>
        </w:rPr>
        <w:t xml:space="preserve">p</w:t>
      </w:r>
      <w:r>
        <w:t xml:space="preserve"> </w:t>
      </w:r>
      <w:r>
        <w:t xml:space="preserve">&lt; .001) exhibited elevational declines in β-diversity, while</w:t>
      </w:r>
      <w:r>
        <w:t xml:space="preserve"> </w:t>
      </w:r>
      <w:r>
        <w:rPr>
          <w:i/>
          <w:iCs/>
        </w:rPr>
        <w:t xml:space="preserve">M. laciniatus</w:t>
      </w:r>
      <w:r>
        <w:t xml:space="preserve"> </w:t>
      </w:r>
      <w:r>
        <w:t xml:space="preserve">showed no elevational trend (</w:t>
      </w:r>
      <w:r>
        <w:rPr>
          <w:i/>
          <w:iCs/>
        </w:rPr>
        <w:t xml:space="preserve">R</w:t>
      </w:r>
      <w:r>
        <w:rPr>
          <w:i/>
          <w:iCs/>
          <w:vertAlign w:val="superscript"/>
        </w:rPr>
        <w:t xml:space="preserve">2</w:t>
      </w:r>
      <w:r>
        <w:rPr>
          <w:i/>
          <w:iCs/>
          <w:vertAlign w:val="subscript"/>
        </w:rPr>
        <w:t xml:space="preserve">adj</w:t>
      </w:r>
      <w:r>
        <w:t xml:space="preserve"> </w:t>
      </w:r>
      <w:r>
        <w:t xml:space="preserve">&lt; .01,</w:t>
      </w:r>
      <w:r>
        <w:t xml:space="preserve"> </w:t>
      </w:r>
      <w:r>
        <w:rPr>
          <w:i/>
          <w:iCs/>
        </w:rPr>
        <w:t xml:space="preserve">F</w:t>
      </w:r>
      <w:r>
        <w:rPr>
          <w:vertAlign w:val="subscript"/>
        </w:rPr>
        <w:t xml:space="preserve">1,</w:t>
      </w:r>
      <w:r>
        <w:t xml:space="preserve"> </w:t>
      </w:r>
      <w:r>
        <w:rPr>
          <w:vertAlign w:val="subscript"/>
        </w:rPr>
        <w:t xml:space="preserve">1598</w:t>
      </w:r>
      <w:r>
        <w:t xml:space="preserve">= 1.84,</w:t>
      </w:r>
      <w:r>
        <w:t xml:space="preserve"> </w:t>
      </w:r>
      <w:r>
        <w:rPr>
          <w:i/>
          <w:iCs/>
        </w:rPr>
        <w:t xml:space="preserve">p</w:t>
      </w:r>
      <w:r>
        <w:t xml:space="preserve"> </w:t>
      </w:r>
      <w:r>
        <w:t xml:space="preserve">= .176,</w:t>
      </w:r>
      <w:r>
        <w:t xml:space="preserve"> </w:t>
      </w:r>
      <w:hyperlink w:anchor="fig-figure6">
        <w:r>
          <w:rPr>
            <w:rStyle w:val="Hyperlink"/>
          </w:rPr>
          <w:t xml:space="preserve">Fig. 6</w:t>
        </w:r>
      </w:hyperlink>
      <w:r>
        <w:t xml:space="preserve">).</w:t>
      </w:r>
    </w:p>
    <w:bookmarkEnd w:id="25"/>
    <w:bookmarkStart w:id="26" w:name="X7d289c10480f9b794e4399bd76569c3a220eacf"/>
    <w:p>
      <w:pPr>
        <w:pStyle w:val="Heading2"/>
      </w:pPr>
      <w:r>
        <w:t xml:space="preserve">4.4 Q4) Geographic distance predicts FEF turnover in M. laciniatus and M. nasutus but not M. guttatus</w:t>
      </w:r>
    </w:p>
    <w:p>
      <w:pPr>
        <w:pStyle w:val="FirstParagraph"/>
      </w:pPr>
      <w:r>
        <w:t xml:space="preserve">Finally (Q4), we detected clear distance-decay in FEF mean β‑diversity turnover in</w:t>
      </w:r>
      <w:r>
        <w:t xml:space="preserve"> </w:t>
      </w:r>
      <w:r>
        <w:rPr>
          <w:i/>
          <w:iCs/>
        </w:rPr>
        <w:t xml:space="preserve">M. laciniatus</w:t>
      </w:r>
      <w:r>
        <w:t xml:space="preserve"> </w:t>
      </w:r>
      <w:r>
        <w:t xml:space="preserve">(</w:t>
      </w:r>
      <w:r>
        <w:rPr>
          <w:i/>
          <w:iCs/>
        </w:rPr>
        <w:t xml:space="preserve">r</w:t>
      </w:r>
      <w:r>
        <w:t xml:space="preserve"> </w:t>
      </w:r>
      <w:r>
        <w:t xml:space="preserve">= 0.27,</w:t>
      </w:r>
      <w:r>
        <w:t xml:space="preserve"> </w:t>
      </w:r>
      <w:r>
        <w:rPr>
          <w:i/>
          <w:iCs/>
        </w:rPr>
        <w:t xml:space="preserve">p</w:t>
      </w:r>
      <w:r>
        <w:t xml:space="preserve"> </w:t>
      </w:r>
      <w:r>
        <w:t xml:space="preserve">= .01) and</w:t>
      </w:r>
      <w:r>
        <w:t xml:space="preserve"> </w:t>
      </w:r>
      <w:r>
        <w:rPr>
          <w:i/>
          <w:iCs/>
        </w:rPr>
        <w:t xml:space="preserve">M. nasutus</w:t>
      </w:r>
      <w:r>
        <w:t xml:space="preserve"> </w:t>
      </w:r>
      <w:r>
        <w:t xml:space="preserve">(</w:t>
      </w:r>
      <w:r>
        <w:rPr>
          <w:i/>
          <w:iCs/>
        </w:rPr>
        <w:t xml:space="preserve">r</w:t>
      </w:r>
      <w:r>
        <w:t xml:space="preserve"> </w:t>
      </w:r>
      <w:r>
        <w:t xml:space="preserve">= 0.29,</w:t>
      </w:r>
      <w:r>
        <w:t xml:space="preserve"> </w:t>
      </w:r>
      <w:r>
        <w:rPr>
          <w:i/>
          <w:iCs/>
        </w:rPr>
        <w:t xml:space="preserve">p</w:t>
      </w:r>
      <w:r>
        <w:t xml:space="preserve"> </w:t>
      </w:r>
      <w:r>
        <w:t xml:space="preserve">&lt; .01,</w:t>
      </w:r>
      <w:r>
        <w:t xml:space="preserve"> </w:t>
      </w:r>
      <w:hyperlink w:anchor="fig-figure7">
        <w:r>
          <w:rPr>
            <w:rStyle w:val="Hyperlink"/>
          </w:rPr>
          <w:t xml:space="preserve">Fig. 7</w:t>
        </w:r>
      </w:hyperlink>
      <w:r>
        <w:t xml:space="preserve">), consistent with isolation by distance and/or spatially structured environmental filters acting on foliar fungi. In contrast,</w:t>
      </w:r>
      <w:r>
        <w:t xml:space="preserve"> </w:t>
      </w:r>
      <w:r>
        <w:rPr>
          <w:i/>
          <w:iCs/>
        </w:rPr>
        <w:t xml:space="preserve">M. guttatus</w:t>
      </w:r>
      <w:r>
        <w:t xml:space="preserve"> </w:t>
      </w:r>
      <w:r>
        <w:t xml:space="preserve">(</w:t>
      </w:r>
      <w:r>
        <w:rPr>
          <w:i/>
          <w:iCs/>
        </w:rPr>
        <w:t xml:space="preserve">r</w:t>
      </w:r>
      <w:r>
        <w:t xml:space="preserve"> </w:t>
      </w:r>
      <w:r>
        <w:t xml:space="preserve">= -0.004,</w:t>
      </w:r>
      <w:r>
        <w:t xml:space="preserve"> </w:t>
      </w:r>
      <w:r>
        <w:rPr>
          <w:i/>
          <w:iCs/>
        </w:rPr>
        <w:t xml:space="preserve">p</w:t>
      </w:r>
      <w:r>
        <w:t xml:space="preserve"> </w:t>
      </w:r>
      <w:r>
        <w:t xml:space="preserve">= .48) showed no evidence of distance-decay (</w:t>
      </w:r>
      <w:hyperlink w:anchor="fig-figure7">
        <w:r>
          <w:rPr>
            <w:rStyle w:val="Hyperlink"/>
          </w:rPr>
          <w:t xml:space="preserve">Fig. 7</w:t>
        </w:r>
      </w:hyperlink>
      <w:r>
        <w:t xml:space="preserve">), consistent with broader dispersal of its dominant endophytes, greater host gene flow that weakens population structure and geographic filtering, or stronger local environmental/host-trait filtering that overwhelms spatial effects. Distance-decay in two selfing species but not in</w:t>
      </w:r>
      <w:r>
        <w:t xml:space="preserve"> </w:t>
      </w:r>
      <w:r>
        <w:rPr>
          <w:i/>
          <w:iCs/>
        </w:rPr>
        <w:t xml:space="preserve">M. guttatus</w:t>
      </w:r>
      <w:r>
        <w:t xml:space="preserve"> </w:t>
      </w:r>
      <w:r>
        <w:t xml:space="preserve">suggests that dispersal limitation and host spatial structure shape FEF communities, with species-specific balances between geographic and environmental filtering.</w:t>
      </w:r>
    </w:p>
    <w:bookmarkEnd w:id="26"/>
    <w:bookmarkStart w:id="27" w:name="Xb1ccc19631353fe3736e69267b81492dfe2debf"/>
    <w:p>
      <w:pPr>
        <w:pStyle w:val="Heading2"/>
      </w:pPr>
      <w:r>
        <w:t xml:space="preserve">4.5 Additional finding: a consistent, prevalent core of foliar taxa across hosts and elevations</w:t>
      </w:r>
    </w:p>
    <w:p>
      <w:pPr>
        <w:pStyle w:val="FirstParagraph"/>
      </w:pPr>
      <w:r>
        <w:t xml:space="preserve">After rarefaction of sequences, we were left with 84 samples in which we found the most prevalent taxa:</w:t>
      </w:r>
      <w:r>
        <w:t xml:space="preserve"> </w:t>
      </w:r>
      <w:r>
        <w:rPr>
          <w:i/>
          <w:iCs/>
        </w:rPr>
        <w:t xml:space="preserve">Vishniacozyma victoriae</w:t>
      </w:r>
      <w:r>
        <w:t xml:space="preserve"> </w:t>
      </w:r>
      <w:r>
        <w:t xml:space="preserve">(Basidiomycota, ASV_1),</w:t>
      </w:r>
      <w:r>
        <w:t xml:space="preserve"> </w:t>
      </w:r>
      <w:r>
        <w:rPr>
          <w:i/>
          <w:iCs/>
        </w:rPr>
        <w:t xml:space="preserve">Cladosporium herbanum</w:t>
      </w:r>
      <w:r>
        <w:t xml:space="preserve"> </w:t>
      </w:r>
      <w:r>
        <w:t xml:space="preserve">(Ascomycota, ASV_2) and</w:t>
      </w:r>
      <w:r>
        <w:t xml:space="preserve"> </w:t>
      </w:r>
      <w:r>
        <w:rPr>
          <w:i/>
          <w:iCs/>
        </w:rPr>
        <w:t xml:space="preserve">Cladosporium</w:t>
      </w:r>
      <w:r>
        <w:t xml:space="preserve"> </w:t>
      </w:r>
      <w:r>
        <w:t xml:space="preserve">spp. (Ascomycota, ASV_7),</w:t>
      </w:r>
      <w:r>
        <w:t xml:space="preserve"> </w:t>
      </w:r>
      <w:r>
        <w:rPr>
          <w:i/>
          <w:iCs/>
        </w:rPr>
        <w:t xml:space="preserve">Dyszogia patagonica</w:t>
      </w:r>
      <w:r>
        <w:t xml:space="preserve"> </w:t>
      </w:r>
      <w:r>
        <w:t xml:space="preserve">(ASV_3),</w:t>
      </w:r>
      <w:r>
        <w:t xml:space="preserve"> </w:t>
      </w:r>
      <w:r>
        <w:rPr>
          <w:i/>
          <w:iCs/>
        </w:rPr>
        <w:t xml:space="preserve">Filobasidium chernovii</w:t>
      </w:r>
      <w:r>
        <w:t xml:space="preserve"> </w:t>
      </w:r>
      <w:r>
        <w:t xml:space="preserve">(Basidiomycota, ASV_5), and</w:t>
      </w:r>
      <w:r>
        <w:t xml:space="preserve"> </w:t>
      </w:r>
      <w:r>
        <w:rPr>
          <w:i/>
          <w:iCs/>
        </w:rPr>
        <w:t xml:space="preserve">Alternaria tenuissima</w:t>
      </w:r>
      <w:r>
        <w:t xml:space="preserve"> </w:t>
      </w:r>
      <w:r>
        <w:t xml:space="preserve">(Ascomycota, ASV_8) (Fig. S2). These taxa were consistently detected across host species and elevation zones (see Discussion).</w:t>
      </w:r>
    </w:p>
    <w:bookmarkEnd w:id="27"/>
    <w:bookmarkEnd w:id="28"/>
    <w:bookmarkStart w:id="34" w:name="discussion"/>
    <w:p>
      <w:pPr>
        <w:pStyle w:val="Heading1"/>
      </w:pPr>
      <w:r>
        <w:t xml:space="preserve">5. Discussion</w:t>
      </w:r>
    </w:p>
    <w:p>
      <w:pPr>
        <w:pStyle w:val="FirstParagraph"/>
      </w:pPr>
      <w:r>
        <w:t xml:space="preserve">In this study, we examined how leaf functional traits and foliar endophytic fungal (FEF) communities vary among three sympatric</w:t>
      </w:r>
      <w:r>
        <w:t xml:space="preserve"> </w:t>
      </w:r>
      <w:r>
        <w:rPr>
          <w:i/>
          <w:iCs/>
        </w:rPr>
        <w:t xml:space="preserve">Mimulus</w:t>
      </w:r>
      <w:r>
        <w:t xml:space="preserve"> </w:t>
      </w:r>
      <w:r>
        <w:t xml:space="preserve">species across elevation gradients, and whether elevation, host identity, and leaf traits jointly structure FEF richness, diversity, composition, and spatial turnover. Below, we discuss our findings in the same order as our four guiding questions: interspecific differences in leaf functional traits at shared elevations (Q1), species-specific trait-elevation relationships (Q2), how host species and elevation jointly shape FEF richness and community composition (Q3), and geographic distance-decay in FEF turnover (Q4), followed by the consistent dominant taxa observed across sites.</w:t>
      </w:r>
    </w:p>
    <w:bookmarkStart w:id="29" w:name="X22efb1bbfb3d6150b63bace5fb89211dec411ef"/>
    <w:p>
      <w:pPr>
        <w:pStyle w:val="Heading2"/>
      </w:pPr>
      <w:r>
        <w:t xml:space="preserve">5.1 Q1) Host species differ in leaf functional traits at shared elevations</w:t>
      </w:r>
    </w:p>
    <w:p>
      <w:pPr>
        <w:pStyle w:val="FirstParagraph"/>
      </w:pPr>
      <w:r>
        <w:t xml:space="preserve"> </w:t>
      </w:r>
      <w:r>
        <w:t xml:space="preserve">We found clear interspecific differentiation in leaf functional traits among sympatric</w:t>
      </w:r>
      <w:r>
        <w:t xml:space="preserve"> </w:t>
      </w:r>
      <w:r>
        <w:rPr>
          <w:i/>
          <w:iCs/>
        </w:rPr>
        <w:t xml:space="preserve">Mimulus</w:t>
      </w:r>
      <w:r>
        <w:t xml:space="preserve"> </w:t>
      </w:r>
      <w:r>
        <w:t xml:space="preserve">species, with leaf lobing (LBI) providing a particularly strong axis of separation among hosts. The Principal Component Analysis (PCA) (</w:t>
      </w:r>
      <w:hyperlink w:anchor="fig-figure2">
        <w:r>
          <w:rPr>
            <w:rStyle w:val="Hyperlink"/>
          </w:rPr>
          <w:t xml:space="preserve">Fig. 2</w:t>
        </w:r>
      </w:hyperlink>
      <w:r>
        <w:t xml:space="preserve">) illustrated correlations between leaf functional traits while demonstrating the distinct groupings of</w:t>
      </w:r>
      <w:r>
        <w:t xml:space="preserve"> </w:t>
      </w:r>
      <w:r>
        <w:rPr>
          <w:i/>
          <w:iCs/>
        </w:rPr>
        <w:t xml:space="preserve">M. laciniatus</w:t>
      </w:r>
      <w:r>
        <w:t xml:space="preserve">,</w:t>
      </w:r>
      <w:r>
        <w:t xml:space="preserve"> </w:t>
      </w:r>
      <w:r>
        <w:rPr>
          <w:i/>
          <w:iCs/>
        </w:rPr>
        <w:t xml:space="preserve">M. guttatus</w:t>
      </w:r>
      <w:r>
        <w:t xml:space="preserve">, and</w:t>
      </w:r>
      <w:r>
        <w:t xml:space="preserve"> </w:t>
      </w:r>
      <w:r>
        <w:rPr>
          <w:i/>
          <w:iCs/>
        </w:rPr>
        <w:t xml:space="preserve">M. nasutus</w:t>
      </w:r>
      <w:r>
        <w:t xml:space="preserve"> </w:t>
      </w:r>
      <w:r>
        <w:t xml:space="preserve">based on LBI differences compared to the rest of the traits: ACI, LMA, LPS and LT.</w:t>
      </w:r>
    </w:p>
    <w:bookmarkEnd w:id="29"/>
    <w:bookmarkStart w:id="30" w:name="X93899f12376d1e54a1b23907b1edecafcdb8840"/>
    <w:p>
      <w:pPr>
        <w:pStyle w:val="Heading2"/>
      </w:pPr>
      <w:r>
        <w:t xml:space="preserve">5.2 Q2) Trait-elevation relationships are species-specific</w:t>
      </w:r>
    </w:p>
    <w:p>
      <w:pPr>
        <w:pStyle w:val="FirstParagraph"/>
      </w:pPr>
      <w:r>
        <w:t xml:space="preserve">Across the pooled dataset, LMA, LPS and LT were weakly but significantly positively correlated with elevation at the genus level; however, per-species regressions showed that this trend was not shared uniformly among species (see Results).</w:t>
      </w:r>
      <w:r>
        <w:t xml:space="preserve"> </w:t>
      </w:r>
      <w:r>
        <w:rPr>
          <w:i/>
          <w:iCs/>
        </w:rPr>
        <w:t xml:space="preserve">Mimulus nasutus</w:t>
      </w:r>
      <w:r>
        <w:t xml:space="preserve"> </w:t>
      </w:r>
      <w:r>
        <w:t xml:space="preserve">showed the clearest and most consistent elevational increase across all three traits,</w:t>
      </w:r>
      <w:r>
        <w:t xml:space="preserve"> </w:t>
      </w:r>
      <w:r>
        <w:rPr>
          <w:i/>
          <w:iCs/>
        </w:rPr>
        <w:t xml:space="preserve">M. laciniatus</w:t>
      </w:r>
      <w:r>
        <w:t xml:space="preserve"> </w:t>
      </w:r>
      <w:r>
        <w:t xml:space="preserve">increased significantly in LMA and LT but not LPS, and</w:t>
      </w:r>
      <w:r>
        <w:t xml:space="preserve"> </w:t>
      </w:r>
      <w:r>
        <w:rPr>
          <w:i/>
          <w:iCs/>
        </w:rPr>
        <w:t xml:space="preserve">M. guttatus</w:t>
      </w:r>
      <w:r>
        <w:t xml:space="preserve"> </w:t>
      </w:r>
      <w:r>
        <w:t xml:space="preserve">showed no significant elevational increase in LMA or LPS and, notably, a significant elevational</w:t>
      </w:r>
      <w:r>
        <w:t xml:space="preserve"> </w:t>
      </w:r>
      <w:r>
        <w:rPr>
          <w:i/>
          <w:iCs/>
        </w:rPr>
        <w:t xml:space="preserve">decrease</w:t>
      </w:r>
      <w:r>
        <w:t xml:space="preserve"> </w:t>
      </w:r>
      <w:r>
        <w:t xml:space="preserve">in LT.</w:t>
      </w:r>
      <w:r>
        <w:t xml:space="preserve"> </w:t>
      </w:r>
      <w:r>
        <w:rPr>
          <w:i/>
          <w:iCs/>
        </w:rPr>
        <w:t xml:space="preserve">Mimulus laciniatus</w:t>
      </w:r>
      <w:r>
        <w:t xml:space="preserve"> </w:t>
      </w:r>
      <w:r>
        <w:t xml:space="preserve">is the most lobed species (</w:t>
      </w:r>
      <w:hyperlink w:anchor="fig-figure2">
        <w:r>
          <w:rPr>
            <w:rStyle w:val="Hyperlink"/>
          </w:rPr>
          <w:t xml:space="preserve">Fig. 2</w:t>
        </w:r>
      </w:hyperlink>
      <w:r>
        <w:t xml:space="preserve"> </w:t>
      </w:r>
      <w:r>
        <w:t xml:space="preserve">and Fig. S7)</w:t>
      </w:r>
      <w:r>
        <w:t xml:space="preserve"> </w:t>
      </w:r>
      <w:r>
        <w:t xml:space="preserve">(Ferris et al., 2015; Ferris, 2016; Sexton et al., 2013; Tataru et al., 2023)</w:t>
      </w:r>
      <w:r>
        <w:t xml:space="preserve">, and thrives at higher elevation. For serrated/lobed leaves, it has been observed that physiological adaptations in the leaf margin are a response to the average air temperature, but this is not a simple relationship</w:t>
      </w:r>
      <w:r>
        <w:t xml:space="preserve"> </w:t>
      </w:r>
      <w:r>
        <w:t xml:space="preserve">(Nicotra et al., 2011; Tsukaya, 2018)</w:t>
      </w:r>
      <w:r>
        <w:t xml:space="preserve">.</w:t>
      </w:r>
    </w:p>
    <w:p>
      <w:pPr>
        <w:pStyle w:val="BodyText"/>
      </w:pPr>
      <w:r>
        <w:t xml:space="preserve">The elevational increase in leaf lobing suggests that</w:t>
      </w:r>
      <w:r>
        <w:t xml:space="preserve"> </w:t>
      </w:r>
      <w:r>
        <w:rPr>
          <w:i/>
          <w:iCs/>
        </w:rPr>
        <w:t xml:space="preserve">M. laciniatus</w:t>
      </w:r>
      <w:r>
        <w:t xml:space="preserve"> </w:t>
      </w:r>
      <w:r>
        <w:t xml:space="preserve">leaf morphology tracks microhabitat rather than ambient elevational temperature.</w:t>
      </w:r>
      <w:r>
        <w:t xml:space="preserve"> </w:t>
      </w:r>
      <w:r>
        <w:rPr>
          <w:i/>
          <w:iCs/>
        </w:rPr>
        <w:t xml:space="preserve">M. laciniatus</w:t>
      </w:r>
      <w:r>
        <w:t xml:space="preserve"> </w:t>
      </w:r>
      <w:r>
        <w:t xml:space="preserve">is distinguished from its congeners by its specialization on exposed granite rock-outcrop habitats with shallow, well-drained soils and high solar exposure</w:t>
      </w:r>
      <w:r>
        <w:t xml:space="preserve"> </w:t>
      </w:r>
      <w:r>
        <w:t xml:space="preserve">(Ferris et al., 2014; Ferris, 2014)</w:t>
      </w:r>
      <w:r>
        <w:t xml:space="preserve">, which can create locally hot, dry growing conditions largely independent of — and sometimes opposite to — the average cooling and increased snowmelt that typically accompany elevation gain in this system;</w:t>
      </w:r>
      <w:r>
        <w:t xml:space="preserve"> </w:t>
      </w:r>
      <w:r>
        <w:rPr>
          <w:i/>
          <w:iCs/>
        </w:rPr>
        <w:t xml:space="preserve">M. guttatus</w:t>
      </w:r>
      <w:r>
        <w:t xml:space="preserve"> </w:t>
      </w:r>
      <w:r>
        <w:t xml:space="preserve">and</w:t>
      </w:r>
      <w:r>
        <w:t xml:space="preserve"> </w:t>
      </w:r>
      <w:r>
        <w:rPr>
          <w:i/>
          <w:iCs/>
        </w:rPr>
        <w:t xml:space="preserve">M. nasutus</w:t>
      </w:r>
      <w:r>
        <w:t xml:space="preserve"> </w:t>
      </w:r>
      <w:r>
        <w:t xml:space="preserve">more typically occupy moister streamside and seep habitats within the same elevation bands</w:t>
      </w:r>
      <w:r>
        <w:t xml:space="preserve"> </w:t>
      </w:r>
      <w:r>
        <w:t xml:space="preserve">(Wu et al., 2008)</w:t>
      </w:r>
      <w:r>
        <w:t xml:space="preserve">. Reciprocal transplant work between</w:t>
      </w:r>
      <w:r>
        <w:t xml:space="preserve"> </w:t>
      </w:r>
      <w:r>
        <w:rPr>
          <w:i/>
          <w:iCs/>
        </w:rPr>
        <w:t xml:space="preserve">M. guttatus</w:t>
      </w:r>
      <w:r>
        <w:t xml:space="preserve"> </w:t>
      </w:r>
      <w:r>
        <w:t xml:space="preserve">and</w:t>
      </w:r>
      <w:r>
        <w:t xml:space="preserve"> </w:t>
      </w:r>
      <w:r>
        <w:rPr>
          <w:i/>
          <w:iCs/>
        </w:rPr>
        <w:t xml:space="preserve">M. laciniatus</w:t>
      </w:r>
      <w:r>
        <w:t xml:space="preserve"> </w:t>
      </w:r>
      <w:r>
        <w:t xml:space="preserve">similarly found the strongest divergent, habitat-mediated selection on quantitative traits during a drought year rather than a wet year, consistent with outcrop microhabitat, rather than elevation</w:t>
      </w:r>
      <w:r>
        <w:t xml:space="preserve"> </w:t>
      </w:r>
      <w:r>
        <w:rPr>
          <w:i/>
          <w:iCs/>
        </w:rPr>
        <w:t xml:space="preserve">per se</w:t>
      </w:r>
      <w:r>
        <w:t xml:space="preserve">, driving trait divergence between these species</w:t>
      </w:r>
      <w:r>
        <w:t xml:space="preserve"> </w:t>
      </w:r>
      <w:r>
        <w:t xml:space="preserve">(Tataru et al., 2023)</w:t>
      </w:r>
      <w:r>
        <w:t xml:space="preserve">. The observed increase in LBI with elevation, previously documented in</w:t>
      </w:r>
      <w:r>
        <w:t xml:space="preserve"> </w:t>
      </w:r>
      <w:r>
        <w:rPr>
          <w:i/>
          <w:iCs/>
        </w:rPr>
        <w:t xml:space="preserve">M. laciniatus</w:t>
      </w:r>
      <w:r>
        <w:t xml:space="preserve"> </w:t>
      </w:r>
      <w:r>
        <w:t xml:space="preserve">by Love and Ferris</w:t>
      </w:r>
      <w:r>
        <w:t xml:space="preserve"> </w:t>
      </w:r>
      <w:r>
        <w:t xml:space="preserve">(2024)</w:t>
      </w:r>
      <w:r>
        <w:t xml:space="preserve">, is therefore more plausibly linked to this outcrop microhabitat than to ambient elevational cooling: lobed leaves are expected to have increased hydraulic efficiency and an advantage in locally hot, dry microsites by reducing the leaf boundary layer, an area of still air adjacent the leaf’s abaxial surface</w:t>
      </w:r>
      <w:r>
        <w:t xml:space="preserve"> </w:t>
      </w:r>
      <w:r>
        <w:t xml:space="preserve">(Nobel, 2009; Oguchi et al., 2018)</w:t>
      </w:r>
      <w:r>
        <w:t xml:space="preserve">, which affects a leaf’s gas and heat exchange</w:t>
      </w:r>
      <w:r>
        <w:t xml:space="preserve"> </w:t>
      </w:r>
      <w:r>
        <w:t xml:space="preserve">(Nobel, 2009; Schuepp, 1993)</w:t>
      </w:r>
      <w:r>
        <w:t xml:space="preserve">. We restrict this interpretation to</w:t>
      </w:r>
      <w:r>
        <w:t xml:space="preserve"> </w:t>
      </w:r>
      <w:r>
        <w:rPr>
          <w:i/>
          <w:iCs/>
        </w:rPr>
        <w:t xml:space="preserve">M. laciniatus</w:t>
      </w:r>
      <w:r>
        <w:t xml:space="preserve"> </w:t>
      </w:r>
      <w:r>
        <w:t xml:space="preserve">because it is the only species with a documented elevational increase in LBI and the only one specializing on outcrop microhabitats;</w:t>
      </w:r>
      <w:r>
        <w:t xml:space="preserve"> </w:t>
      </w:r>
      <w:r>
        <w:rPr>
          <w:i/>
          <w:iCs/>
        </w:rPr>
        <w:t xml:space="preserve">M. nasutus</w:t>
      </w:r>
      <w:r>
        <w:t xml:space="preserve"> </w:t>
      </w:r>
      <w:r>
        <w:t xml:space="preserve">is not a notably lobed species in our data (</w:t>
      </w:r>
      <w:hyperlink w:anchor="fig-figure2">
        <w:r>
          <w:rPr>
            <w:rStyle w:val="Hyperlink"/>
          </w:rPr>
          <w:t xml:space="preserve">Fig. 2</w:t>
        </w:r>
      </w:hyperlink>
      <w:r>
        <w:t xml:space="preserve">), and neither</w:t>
      </w:r>
      <w:r>
        <w:t xml:space="preserve"> </w:t>
      </w:r>
      <w:r>
        <w:t xml:space="preserve">Wu et al. (2008)</w:t>
      </w:r>
      <w:r>
        <w:t xml:space="preserve"> </w:t>
      </w:r>
      <w:r>
        <w:t xml:space="preserve">nor</w:t>
      </w:r>
      <w:r>
        <w:t xml:space="preserve"> </w:t>
      </w:r>
      <w:r>
        <w:t xml:space="preserve">Ferris et al. (2014)</w:t>
      </w:r>
      <w:r>
        <w:t xml:space="preserve"> </w:t>
      </w:r>
      <w:r>
        <w:t xml:space="preserve">characterize</w:t>
      </w:r>
      <w:r>
        <w:t xml:space="preserve"> </w:t>
      </w:r>
      <w:r>
        <w:rPr>
          <w:i/>
          <w:iCs/>
        </w:rPr>
        <w:t xml:space="preserve">M. nasutus</w:t>
      </w:r>
      <w:r>
        <w:t xml:space="preserve"> </w:t>
      </w:r>
      <w:r>
        <w:t xml:space="preserve">habitat as comparable to</w:t>
      </w:r>
      <w:r>
        <w:t xml:space="preserve"> </w:t>
      </w:r>
      <w:r>
        <w:rPr>
          <w:i/>
          <w:iCs/>
        </w:rPr>
        <w:t xml:space="preserve">M. laciniatus</w:t>
      </w:r>
      <w:r>
        <w:t xml:space="preserve">’s outcrop specialization.</w:t>
      </w:r>
    </w:p>
    <w:p>
      <w:pPr>
        <w:pStyle w:val="BodyText"/>
      </w:pPr>
      <w:r>
        <w:t xml:space="preserve">The genus-wide increase in LMA, LT and LPS with elevation is harder to attribute to a single mechanism from our data alone. A straightforward</w:t>
      </w:r>
      <w:r>
        <w:t xml:space="preserve"> </w:t>
      </w:r>
      <w:r>
        <w:t xml:space="preserve">“reduce water loss”</w:t>
      </w:r>
      <w:r>
        <w:t xml:space="preserve"> </w:t>
      </w:r>
      <w:r>
        <w:t xml:space="preserve">explanation is difficult to reconcile with this system, where higher elevations receive more snowmelt and cooler ambient temperatures rather than drier or hotter conditions, if anything, water availability likely increases with elevation here. Structural trait increases at elevation could instead reflect other, non-mutually-exclusive pressures such as greater UV exposure, wind, or diurnal freeze-thaw cycling, but we did not measure these variables directly and cannot distinguish among them with the present data. This pattern was driven primarily by</w:t>
      </w:r>
      <w:r>
        <w:t xml:space="preserve"> </w:t>
      </w:r>
      <w:r>
        <w:rPr>
          <w:i/>
          <w:iCs/>
        </w:rPr>
        <w:t xml:space="preserve">M. nasutus</w:t>
      </w:r>
      <w:r>
        <w:t xml:space="preserve"> </w:t>
      </w:r>
      <w:r>
        <w:t xml:space="preserve">and, to a lesser extent,</w:t>
      </w:r>
      <w:r>
        <w:t xml:space="preserve"> </w:t>
      </w:r>
      <w:r>
        <w:rPr>
          <w:i/>
          <w:iCs/>
        </w:rPr>
        <w:t xml:space="preserve">M. laciniatus</w:t>
      </w:r>
      <w:r>
        <w:t xml:space="preserve">;</w:t>
      </w:r>
      <w:r>
        <w:t xml:space="preserve"> </w:t>
      </w:r>
      <w:r>
        <w:rPr>
          <w:i/>
          <w:iCs/>
        </w:rPr>
        <w:t xml:space="preserve">M. guttatus</w:t>
      </w:r>
      <w:r>
        <w:t xml:space="preserve"> </w:t>
      </w:r>
      <w:r>
        <w:t xml:space="preserve">showed no comparable increase in LMA or LPS and an elevational decline in LT, suggesting either weaker selection for these traits at elevation in this species or a distinct, uncharacterized strategy for coping with elevational conditions.</w:t>
      </w:r>
    </w:p>
    <w:p>
      <w:pPr>
        <w:pStyle w:val="BodyText"/>
      </w:pPr>
      <w:r>
        <w:t xml:space="preserve">Disentangling environmental and genetic drivers of leaf trait variation will require various experimental approaches such as common gardens (as in Ferris and Willis,</w:t>
      </w:r>
      <w:r>
        <w:t xml:space="preserve"> </w:t>
      </w:r>
      <w:r>
        <w:t xml:space="preserve">(2018)</w:t>
      </w:r>
      <w:r>
        <w:t xml:space="preserve">; Dong et al</w:t>
      </w:r>
      <w:r>
        <w:t xml:space="preserve"> </w:t>
      </w:r>
      <w:r>
        <w:t xml:space="preserve">(2024)</w:t>
      </w:r>
      <w:r>
        <w:t xml:space="preserve">; Love and Ferris</w:t>
      </w:r>
      <w:r>
        <w:t xml:space="preserve"> </w:t>
      </w:r>
      <w:r>
        <w:t xml:space="preserve">(2024)</w:t>
      </w:r>
      <w:r>
        <w:t xml:space="preserve">; Love and Ferris</w:t>
      </w:r>
      <w:r>
        <w:t xml:space="preserve"> </w:t>
      </w:r>
      <w:r>
        <w:t xml:space="preserve">Love &amp; Ferris (2026)</w:t>
      </w:r>
      <w:r>
        <w:t xml:space="preserve">; Love et al</w:t>
      </w:r>
      <w:r>
        <w:t xml:space="preserve"> </w:t>
      </w:r>
      <w:r>
        <w:t xml:space="preserve">Love et al. (2026)</w:t>
      </w:r>
      <w:r>
        <w:t xml:space="preserve">; ) to fully answer questions about the functional significance of leaf traits for local adaptation to different elevations. Experimental manipulation with</w:t>
      </w:r>
      <w:r>
        <w:t xml:space="preserve"> </w:t>
      </w:r>
      <w:r>
        <w:rPr>
          <w:i/>
          <w:iCs/>
        </w:rPr>
        <w:t xml:space="preserve">Mimulus</w:t>
      </w:r>
      <w:r>
        <w:t xml:space="preserve"> </w:t>
      </w:r>
      <w:r>
        <w:t xml:space="preserve">is relatively easy due to its short generation time, high fecundity, self-compatibility, and ease of greenhouse propagation</w:t>
      </w:r>
      <w:r>
        <w:t xml:space="preserve"> </w:t>
      </w:r>
      <w:r>
        <w:t xml:space="preserve">(Society, 2019; Wu et al., 2008)</w:t>
      </w:r>
      <w:r>
        <w:t xml:space="preserve">. The same tractability makes it possible to extend these designs beyond leaf traits: manipulating host genotype and functional traits directly, rather than inferring their effects from natural variation, would let future work test whether host genetic loci shape FEF community assembly and how these communities in turn affect host performance under elevational stress. Because these traits can act as host filters on microbial colonization, we next consider whether FEF diversity shows parallel elevational patterns within species.</w:t>
      </w:r>
    </w:p>
    <w:bookmarkEnd w:id="30"/>
    <w:bookmarkStart w:id="31" w:name="Xf7d83081faa8df0095b5d70a1c1e68d5619f2b6"/>
    <w:p>
      <w:pPr>
        <w:pStyle w:val="Heading2"/>
      </w:pPr>
      <w:r>
        <w:t xml:space="preserve">5.3 Q3) Host species and elevation jointly shape FEF richness and community composition; leaf functional traits predict β-diversity</w:t>
      </w:r>
    </w:p>
    <w:p>
      <w:pPr>
        <w:pStyle w:val="FirstParagraph"/>
      </w:pPr>
      <w:r>
        <w:rPr>
          <w:b/>
          <w:bCs/>
        </w:rPr>
        <w:t xml:space="preserve">Within-species symbiont α-diversity declined with elevation.</w:t>
      </w:r>
      <w:r>
        <w:t xml:space="preserve"> </w:t>
      </w:r>
      <w:r>
        <w:t xml:space="preserve">Foliar endophytic fungi α-diversity declined with elevation (</w:t>
      </w:r>
      <w:hyperlink w:anchor="fig-figure4">
        <w:r>
          <w:rPr>
            <w:rStyle w:val="Hyperlink"/>
          </w:rPr>
          <w:t xml:space="preserve">Fig. 4</w:t>
        </w:r>
      </w:hyperlink>
      <w:r>
        <w:t xml:space="preserve">), consistent with broader macroecological patterns of biodiversity</w:t>
      </w:r>
      <w:r>
        <w:t xml:space="preserve"> </w:t>
      </w:r>
      <w:r>
        <w:t xml:space="preserve">(Jiménez-Hernández et al., 2020; Kraft et al., 2011; Sabatini et al., 2018; Villacampa et al., 2019)</w:t>
      </w:r>
      <w:r>
        <w:t xml:space="preserve">, but the strength and direction of this pattern differed among host species. Alpha diversity declined with elevation for</w:t>
      </w:r>
      <w:r>
        <w:t xml:space="preserve"> </w:t>
      </w:r>
      <w:r>
        <w:rPr>
          <w:i/>
          <w:iCs/>
        </w:rPr>
        <w:t xml:space="preserve">M. nasutus</w:t>
      </w:r>
      <w:r>
        <w:t xml:space="preserve">,</w:t>
      </w:r>
      <w:r>
        <w:t xml:space="preserve"> </w:t>
      </w:r>
      <w:r>
        <w:rPr>
          <w:i/>
          <w:iCs/>
        </w:rPr>
        <w:t xml:space="preserve">M. laciniatus</w:t>
      </w:r>
      <w:r>
        <w:t xml:space="preserve"> </w:t>
      </w:r>
      <w:r>
        <w:t xml:space="preserve">exhibited the opposite, while</w:t>
      </w:r>
      <w:r>
        <w:t xml:space="preserve"> </w:t>
      </w:r>
      <w:r>
        <w:rPr>
          <w:i/>
          <w:iCs/>
        </w:rPr>
        <w:t xml:space="preserve">M. guttatus</w:t>
      </w:r>
      <w:r>
        <w:t xml:space="preserve"> </w:t>
      </w:r>
      <w:r>
        <w:t xml:space="preserve">displayed mixed trends (</w:t>
      </w:r>
      <w:hyperlink w:anchor="fig-figure4">
        <w:r>
          <w:rPr>
            <w:rStyle w:val="Hyperlink"/>
          </w:rPr>
          <w:t xml:space="preserve">Fig. 4</w:t>
        </w:r>
      </w:hyperlink>
      <w:r>
        <w:t xml:space="preserve">). The observed decline in α-diversity appears to be driven by</w:t>
      </w:r>
      <w:r>
        <w:t xml:space="preserve"> </w:t>
      </w:r>
      <w:r>
        <w:rPr>
          <w:i/>
          <w:iCs/>
        </w:rPr>
        <w:t xml:space="preserve">M. nasutus’</w:t>
      </w:r>
      <w:r>
        <w:t xml:space="preserve"> </w:t>
      </w:r>
      <w:r>
        <w:t xml:space="preserve">decrease and</w:t>
      </w:r>
      <w:r>
        <w:t xml:space="preserve"> </w:t>
      </w:r>
      <w:r>
        <w:rPr>
          <w:i/>
          <w:iCs/>
        </w:rPr>
        <w:t xml:space="preserve">M. guttatus</w:t>
      </w:r>
      <w:r>
        <w:t xml:space="preserve">’ unchanged diversity levels with increased elevation. This species specificity motivates examining not only diversity patterns but also how elevation, host identity, and leaf traits structure the composition of FEF communities.</w:t>
      </w:r>
    </w:p>
    <w:p>
      <w:pPr>
        <w:pStyle w:val="BodyText"/>
      </w:pPr>
      <w:r>
        <w:rPr>
          <w:b/>
          <w:bCs/>
        </w:rPr>
        <w:t xml:space="preserve">Host species and elevation jointly structured FEF community composition.</w:t>
      </w:r>
      <w:r>
        <w:t xml:space="preserve"> </w:t>
      </w:r>
      <w:r>
        <w:t xml:space="preserve">Consistent with the idea that both abiotic gradients and host identity filter symbiont communities, we found that host species, elevation, and LBI were associated with differences in FEF community composition. Our dbRDA results (</w:t>
      </w:r>
      <w:hyperlink w:anchor="fig-figure4">
        <w:r>
          <w:rPr>
            <w:rStyle w:val="Hyperlink"/>
          </w:rPr>
          <w:t xml:space="preserve">Fig. 4</w:t>
        </w:r>
      </w:hyperlink>
      <w:r>
        <w:t xml:space="preserve">) indicate that host species, elevation, and LBI account for 17% of the variance in FEF community composition. Subsequent PERMDISP analyses also support significant differences in FEF community composition between host species at low, mid, and high elevations. However, when we modeled mean β-diversity directly, leaf functional traits rather than elevation emerged as the strongest predictors, prompting a closer look at how analytical approaches shape inference.</w:t>
      </w:r>
    </w:p>
    <w:p>
      <w:pPr>
        <w:pStyle w:val="BodyText"/>
      </w:pPr>
      <w:r>
        <w:t xml:space="preserve">Although ordination-based results highlighted elevation and host identity, GLMM results showed that ACI, LT, and LMA are more direct predictors of mean β-diversity than elevation</w:t>
      </w:r>
      <w:r>
        <w:t xml:space="preserve"> </w:t>
      </w:r>
      <w:r>
        <w:rPr>
          <w:i/>
          <w:iCs/>
        </w:rPr>
        <w:t xml:space="preserve">per se</w:t>
      </w:r>
      <w:r>
        <w:t xml:space="preserve"> </w:t>
      </w:r>
      <w:r>
        <w:t xml:space="preserve">(</w:t>
      </w:r>
      <w:hyperlink w:anchor="fig-figure6">
        <w:r>
          <w:rPr>
            <w:rStyle w:val="Hyperlink"/>
          </w:rPr>
          <w:t xml:space="preserve">Fig. 6</w:t>
        </w:r>
      </w:hyperlink>
      <w:r>
        <w:t xml:space="preserve">). Apparent discrepancies likely arise from model specification: the GLMM explicitly modeled site-level variance (Table</w:t>
      </w:r>
      <w:r>
        <w:t xml:space="preserve"> </w:t>
      </w:r>
      <w:hyperlink w:anchor="tbl-table1">
        <w:r>
          <w:rPr>
            <w:rStyle w:val="Hyperlink"/>
          </w:rPr>
          <w:t xml:space="preserve">Table 1</w:t>
        </w:r>
      </w:hyperlink>
      <w:r>
        <w:t xml:space="preserve">), whereas the dbRDA did not partition site from elevation, potentially introducing unaccounted site effects.</w:t>
      </w:r>
    </w:p>
    <w:bookmarkEnd w:id="31"/>
    <w:bookmarkStart w:id="32" w:name="X097851ffcaa944135414b3a58edc769791be0dd"/>
    <w:p>
      <w:pPr>
        <w:pStyle w:val="Heading2"/>
      </w:pPr>
      <w:r>
        <w:t xml:space="preserve">5.4 Q4) Geographic distance predicts FEF turnover in M. laciniatus and M. nasutus but not M. guttatus</w:t>
      </w:r>
    </w:p>
    <w:p>
      <w:pPr>
        <w:pStyle w:val="FirstParagraph"/>
      </w:pPr>
      <w:r>
        <w:t xml:space="preserve">Within species, spatial structure also contributed to FEF turnover: community dissimilarity increased with geographic distance in</w:t>
      </w:r>
      <w:r>
        <w:t xml:space="preserve"> </w:t>
      </w:r>
      <w:r>
        <w:rPr>
          <w:i/>
          <w:iCs/>
        </w:rPr>
        <w:t xml:space="preserve">M. laciniatus</w:t>
      </w:r>
      <w:r>
        <w:t xml:space="preserve"> </w:t>
      </w:r>
      <w:r>
        <w:t xml:space="preserve">and</w:t>
      </w:r>
      <w:r>
        <w:t xml:space="preserve"> </w:t>
      </w:r>
      <w:r>
        <w:rPr>
          <w:i/>
          <w:iCs/>
        </w:rPr>
        <w:t xml:space="preserve">M. nasutus</w:t>
      </w:r>
      <w:r>
        <w:t xml:space="preserve"> </w:t>
      </w:r>
      <w:r>
        <w:t xml:space="preserve">according to our Mantel tests, providing evidence in support of spatially driven differences in FEF community composition. It is interesting to note that the most dissimilar FEF communities due to geographical distance are in the two species that have self-fertilizing mating systems,</w:t>
      </w:r>
      <w:r>
        <w:t xml:space="preserve"> </w:t>
      </w:r>
      <w:r>
        <w:rPr>
          <w:i/>
          <w:iCs/>
        </w:rPr>
        <w:t xml:space="preserve">M. laciniatus</w:t>
      </w:r>
      <w:r>
        <w:t xml:space="preserve"> </w:t>
      </w:r>
      <w:r>
        <w:t xml:space="preserve">(Ferris et al., 2014)</w:t>
      </w:r>
      <w:r>
        <w:t xml:space="preserve"> </w:t>
      </w:r>
      <w:r>
        <w:t xml:space="preserve">and</w:t>
      </w:r>
      <w:r>
        <w:t xml:space="preserve"> </w:t>
      </w:r>
      <w:r>
        <w:rPr>
          <w:i/>
          <w:iCs/>
        </w:rPr>
        <w:t xml:space="preserve">M. nasutus</w:t>
      </w:r>
      <w:r>
        <w:t xml:space="preserve"> </w:t>
      </w:r>
      <w:r>
        <w:t xml:space="preserve">(Brandvain et al., 2014)</w:t>
      </w:r>
      <w:r>
        <w:t xml:space="preserve">. This could indicate that mating systems and host species’ genetic structure could play a role in structuring FEF communities. Self-fertilizing species tend to have reduced within population genetic diversity and increased between population divergence due to high levels of inbreeding and reduced gene flow</w:t>
      </w:r>
      <w:r>
        <w:t xml:space="preserve"> </w:t>
      </w:r>
      <w:r>
        <w:t xml:space="preserve">(Hartfield et al., 2017; Sexton et al., 2016; Sweigart &amp; Willis, 2003)</w:t>
      </w:r>
      <w:r>
        <w:t xml:space="preserve">. Our findings overall support the idea that distinct FEF communities are structured by the interplay of host specific leaf functional traits and geographic distance. To place these patterns in a broader microbial-ecology context, we next compare our results with elevation-gradient studies in other plant systems and tissue types.</w:t>
      </w:r>
    </w:p>
    <w:p>
      <w:pPr>
        <w:pStyle w:val="BodyText"/>
      </w:pPr>
      <w:r>
        <w:t xml:space="preserve">Comparisons with other elevation-gradient studies suggest that the relative importance of elevation, host identity, and tissue type can vary substantially across systems. Patterns of diversity and community composition in microbial ecology are often constrained by both biotic and abiotic factors. For example, Bowman and Arnold</w:t>
      </w:r>
      <w:r>
        <w:t xml:space="preserve"> </w:t>
      </w:r>
      <w:r>
        <w:t xml:space="preserve">(2021)</w:t>
      </w:r>
      <w:r>
        <w:t xml:space="preserve"> </w:t>
      </w:r>
      <w:r>
        <w:t xml:space="preserve">showed distance decay in ectomychorrizal fungi (EMF) and foliar endophytes, but drivers differed for each: EMF were constrained by dispersal limitation, whereas foliar endophytes were constrained environmental conditions. Meanwhile, in an experimental setup, Kivlin et al.,</w:t>
      </w:r>
      <w:r>
        <w:t xml:space="preserve"> </w:t>
      </w:r>
      <w:r>
        <w:t xml:space="preserve">(2022)</w:t>
      </w:r>
      <w:r>
        <w:t xml:space="preserve"> </w:t>
      </w:r>
      <w:r>
        <w:t xml:space="preserve">reported that host species (alpine grasses) was a stronger predictor than elevation of α-diversity and community composition of leaf endophytes. In contrast, root endophyte communities responded to both host species and elevation</w:t>
      </w:r>
      <w:r>
        <w:t xml:space="preserve"> </w:t>
      </w:r>
      <w:r>
        <w:t xml:space="preserve">(Kivlin et al., 2022)</w:t>
      </w:r>
      <w:r>
        <w:t xml:space="preserve">. It is possible that our results differ due to the different phenologies and tissue types of herbaceous and gramineous plants. Similarly, Kezenel et al.</w:t>
      </w:r>
      <w:r>
        <w:t xml:space="preserve"> </w:t>
      </w:r>
      <w:r>
        <w:t xml:space="preserve">(2019)</w:t>
      </w:r>
      <w:r>
        <w:t xml:space="preserve"> </w:t>
      </w:r>
      <w:r>
        <w:t xml:space="preserve">found greater change in leaf endophytes due to altitude and warming when compared to root colonizing fungi, but the direction and magnitude of responses varied among host species and fungal functional groups. A major difference in this study is the low ASV count and the use of multiple rarefied data sets compared to Kazenel et al.</w:t>
      </w:r>
      <w:r>
        <w:t xml:space="preserve"> </w:t>
      </w:r>
      <w:r>
        <w:t xml:space="preserve">(2019)</w:t>
      </w:r>
      <w:r>
        <w:t xml:space="preserve">. A study by Cordier et al.</w:t>
      </w:r>
      <w:r>
        <w:t xml:space="preserve"> </w:t>
      </w:r>
      <w:r>
        <w:t xml:space="preserve">(2012)</w:t>
      </w:r>
      <w:r>
        <w:t xml:space="preserve"> </w:t>
      </w:r>
      <w:r>
        <w:t xml:space="preserve">focused on the fungal phyllosphere in European beech along an elevation gradient, and found that climatic variables, especially temperature, showed the strongest correlations with fungal community dissimilarities. While the phyllosphere of beech varies widely, Cordier et al.</w:t>
      </w:r>
      <w:r>
        <w:t xml:space="preserve"> </w:t>
      </w:r>
      <w:r>
        <w:t xml:space="preserve">(2012)</w:t>
      </w:r>
      <w:r>
        <w:t xml:space="preserve"> </w:t>
      </w:r>
      <w:r>
        <w:t xml:space="preserve">also found a strong affinity of fungal taxa to elevation and site, supporting regional spatial structure. An important distinction is that they focused on the outer and inner phyllosphere, hence observing patterns that reflected the outer leaf dynamics. These may have been more susceptible to climatic factors, as opposed to inner leaf dynamics that we explored in our study. Other key differences are the host species phenology and functional leaf traits of European beech compared to herbaceous</w:t>
      </w:r>
      <w:r>
        <w:t xml:space="preserve"> </w:t>
      </w:r>
      <w:r>
        <w:rPr>
          <w:i/>
          <w:iCs/>
        </w:rPr>
        <w:t xml:space="preserve">Mimulus</w:t>
      </w:r>
      <w:r>
        <w:t xml:space="preserve"> </w:t>
      </w:r>
      <w:r>
        <w:t xml:space="preserve">spp.</w:t>
      </w:r>
    </w:p>
    <w:bookmarkEnd w:id="32"/>
    <w:bookmarkStart w:id="33" w:name="Xc32e88c62e0876be6cf1a65ab70df25bb84cecc"/>
    <w:p>
      <w:pPr>
        <w:pStyle w:val="Heading2"/>
      </w:pPr>
      <w:r>
        <w:t xml:space="preserve">5.5</w:t>
      </w:r>
      <w:r>
        <w:t xml:space="preserve"> </w:t>
      </w:r>
      <w:r>
        <w:rPr>
          <w:i/>
          <w:iCs/>
        </w:rPr>
        <w:t xml:space="preserve">Additional finding: consistent taxa underpin FEF communities across elevations</w:t>
      </w:r>
    </w:p>
    <w:p>
      <w:pPr>
        <w:pStyle w:val="FirstParagraph"/>
      </w:pPr>
      <w:r>
        <w:t xml:space="preserve">Despite turnover with elevation and distance, several taxa were consistently prevalent across sites and hosts, suggesting a core set of widespread foliar symbionts associated with in Sierran</w:t>
      </w:r>
      <w:r>
        <w:t xml:space="preserve"> </w:t>
      </w:r>
      <w:r>
        <w:rPr>
          <w:i/>
          <w:iCs/>
        </w:rPr>
        <w:t xml:space="preserve">Mimulus</w:t>
      </w:r>
      <w:r>
        <w:t xml:space="preserve">. The widespread detection of</w:t>
      </w:r>
      <w:r>
        <w:t xml:space="preserve"> </w:t>
      </w:r>
      <w:r>
        <w:rPr>
          <w:i/>
          <w:iCs/>
        </w:rPr>
        <w:t xml:space="preserve">V. victoriae</w:t>
      </w:r>
      <w:r>
        <w:t xml:space="preserve"> </w:t>
      </w:r>
      <w:r>
        <w:t xml:space="preserve">across the elevation gradient is particularly notable given its documented associations with cold environments and its proposed functional roles. Additionally, we detected the consistent prevalence of</w:t>
      </w:r>
      <w:r>
        <w:t xml:space="preserve"> </w:t>
      </w:r>
      <w:r>
        <w:rPr>
          <w:i/>
          <w:iCs/>
        </w:rPr>
        <w:t xml:space="preserve">Cladosporium herbanum</w:t>
      </w:r>
      <w:r>
        <w:t xml:space="preserve">, and</w:t>
      </w:r>
      <w:r>
        <w:t xml:space="preserve"> </w:t>
      </w:r>
      <w:r>
        <w:rPr>
          <w:i/>
          <w:iCs/>
        </w:rPr>
        <w:t xml:space="preserve">Cladosporium</w:t>
      </w:r>
      <w:r>
        <w:t xml:space="preserve"> </w:t>
      </w:r>
      <w:r>
        <w:t xml:space="preserve">in across all sites and samples.</w:t>
      </w:r>
      <w:r>
        <w:t xml:space="preserve"> </w:t>
      </w:r>
      <w:r>
        <w:t xml:space="preserve"> </w:t>
      </w:r>
      <w:r>
        <w:t xml:space="preserve">The basidiomycetous yeast</w:t>
      </w:r>
      <w:r>
        <w:t xml:space="preserve"> </w:t>
      </w:r>
      <w:r>
        <w:rPr>
          <w:i/>
          <w:iCs/>
        </w:rPr>
        <w:t xml:space="preserve">V. victoriae</w:t>
      </w:r>
      <w:r>
        <w:t xml:space="preserve"> </w:t>
      </w:r>
      <w:r>
        <w:t xml:space="preserve">(formerly</w:t>
      </w:r>
      <w:r>
        <w:t xml:space="preserve"> </w:t>
      </w:r>
      <w:r>
        <w:rPr>
          <w:i/>
          <w:iCs/>
        </w:rPr>
        <w:t xml:space="preserve">Cryptococcus victoriae</w:t>
      </w:r>
      <w:r>
        <w:t xml:space="preserve">) is also a well-known environmentally abundant fungus capable of causing respiratory issues in humans</w:t>
      </w:r>
      <w:r>
        <w:t xml:space="preserve"> </w:t>
      </w:r>
      <w:r>
        <w:t xml:space="preserve">(Rush et al., 2023)</w:t>
      </w:r>
      <w:r>
        <w:t xml:space="preserve">. It was first isolated in the Antarctic</w:t>
      </w:r>
      <w:r>
        <w:t xml:space="preserve"> </w:t>
      </w:r>
      <w:r>
        <w:t xml:space="preserve">(Montes et al., 1999)</w:t>
      </w:r>
      <w:r>
        <w:t xml:space="preserve"> </w:t>
      </w:r>
      <w:r>
        <w:t xml:space="preserve">and has since been detected worldwide</w:t>
      </w:r>
      <w:r>
        <w:t xml:space="preserve"> </w:t>
      </w:r>
      <w:r>
        <w:t xml:space="preserve">(De Menezes et al., 2019)</w:t>
      </w:r>
      <w:r>
        <w:t xml:space="preserve">. It is proposed that through the production of various bio-active compounds,</w:t>
      </w:r>
      <w:r>
        <w:t xml:space="preserve"> </w:t>
      </w:r>
      <w:r>
        <w:rPr>
          <w:i/>
          <w:iCs/>
        </w:rPr>
        <w:t xml:space="preserve">V.victoriae</w:t>
      </w:r>
      <w:r>
        <w:t xml:space="preserve"> </w:t>
      </w:r>
      <w:r>
        <w:t xml:space="preserve">can contribute to plant growth and ecological adaptation to cold environments</w:t>
      </w:r>
      <w:r>
        <w:t xml:space="preserve"> </w:t>
      </w:r>
      <w:r>
        <w:t xml:space="preserve">(Buzzini et al., 2018; Vujanovic, 2021)</w:t>
      </w:r>
      <w:r>
        <w:t xml:space="preserve">.</w:t>
      </w:r>
      <w:r>
        <w:t xml:space="preserve"> </w:t>
      </w:r>
      <w:r>
        <w:t xml:space="preserve"> </w:t>
      </w:r>
      <w:r>
        <w:t xml:space="preserve">Despite potential respiratory health detriments,</w:t>
      </w:r>
      <w:r>
        <w:t xml:space="preserve"> </w:t>
      </w:r>
      <w:r>
        <w:rPr>
          <w:i/>
          <w:iCs/>
        </w:rPr>
        <w:t xml:space="preserve">V. victoriae</w:t>
      </w:r>
      <w:r>
        <w:t xml:space="preserve"> </w:t>
      </w:r>
      <w:r>
        <w:t xml:space="preserve">has been utilized in agricultural settings for the post-harvest control of fruit diseases</w:t>
      </w:r>
      <w:r>
        <w:t xml:space="preserve"> </w:t>
      </w:r>
      <w:r>
        <w:t xml:space="preserve">(Lutz et al., 2020)</w:t>
      </w:r>
      <w:r>
        <w:t xml:space="preserve">. It thrives at low temperatures (15 °C), but it is known to tolerate a variety of environmental conditions, and lacks a polysaccharide capsule, which is thought to contribute to its lack of pathogenicity</w:t>
      </w:r>
      <w:r>
        <w:t xml:space="preserve"> </w:t>
      </w:r>
      <w:r>
        <w:t xml:space="preserve">(Rush et al., 2023)</w:t>
      </w:r>
      <w:r>
        <w:t xml:space="preserve">. Its applications in wheat agriculture suggest that kernel weight is influenced by</w:t>
      </w:r>
      <w:r>
        <w:t xml:space="preserve"> </w:t>
      </w:r>
      <w:r>
        <w:rPr>
          <w:i/>
          <w:iCs/>
        </w:rPr>
        <w:t xml:space="preserve">V. victoriae</w:t>
      </w:r>
      <w:r>
        <w:t xml:space="preserve">’s coexistence with other plant acquired endophytic fungi</w:t>
      </w:r>
      <w:r>
        <w:t xml:space="preserve"> </w:t>
      </w:r>
      <w:r>
        <w:t xml:space="preserve">(Vujanovic, 2021)</w:t>
      </w:r>
      <w:r>
        <w:t xml:space="preserve">. Its presence might serve as an indicator of wheat’s kernel resistance to pathobiota</w:t>
      </w:r>
      <w:r>
        <w:t xml:space="preserve"> </w:t>
      </w:r>
      <w:r>
        <w:t xml:space="preserve">(Lutz et al., 2020)</w:t>
      </w:r>
      <w:r>
        <w:t xml:space="preserve">. We need further quantitative studies to confirm the existence of cold-adapted microbial taxa and their associated hosts</w:t>
      </w:r>
      <w:r>
        <w:t xml:space="preserve"> </w:t>
      </w:r>
      <w:r>
        <w:t xml:space="preserve">(Marian et al., 2022)</w:t>
      </w:r>
      <w:r>
        <w:t xml:space="preserve">. The presence of</w:t>
      </w:r>
      <w:r>
        <w:t xml:space="preserve"> </w:t>
      </w:r>
      <w:r>
        <w:rPr>
          <w:i/>
          <w:iCs/>
        </w:rPr>
        <w:t xml:space="preserve">V. victoriae</w:t>
      </w:r>
      <w:r>
        <w:t xml:space="preserve"> </w:t>
      </w:r>
      <w:r>
        <w:t xml:space="preserve">in our samples might be indicative of its potential role in the local adaptation of</w:t>
      </w:r>
      <w:r>
        <w:t xml:space="preserve"> </w:t>
      </w:r>
      <w:r>
        <w:rPr>
          <w:i/>
          <w:iCs/>
        </w:rPr>
        <w:t xml:space="preserve">Mimulus</w:t>
      </w:r>
      <w:r>
        <w:t xml:space="preserve"> </w:t>
      </w:r>
      <w:r>
        <w:t xml:space="preserve">to cold and high elevation environments. Future surveys using fresh or rapidly frozen tissue rather than room-temperature CTAB preservation may improve DNA extraction yields and taxon recovery, sharpening inference on which taxa are truly core versus under-detected in our sampling.</w:t>
      </w:r>
    </w:p>
    <w:bookmarkEnd w:id="33"/>
    <w:bookmarkEnd w:id="34"/>
    <w:bookmarkStart w:id="35" w:name="conclusions"/>
    <w:p>
      <w:pPr>
        <w:pStyle w:val="Heading1"/>
      </w:pPr>
      <w:r>
        <w:t xml:space="preserve">6. Conclusions</w:t>
      </w:r>
    </w:p>
    <w:p>
      <w:pPr>
        <w:pStyle w:val="FirstParagraph"/>
      </w:pPr>
      <w:r>
        <w:t xml:space="preserve">Overall, our results show variation in leaf functional traits and FEF diversity, composition, and spatial turnover across elevation in three sympatric Mimulus species. From our results, PCA and trait-elevation trends highlight host filtering; dbRDA shows host-elevation interactions; GLMMs point to leaf functional traits as strong predictor over elevation for mean β-diversity; Mantel tests reveal distance-decay where dispersal and host structure limit mixing.</w:t>
      </w:r>
    </w:p>
    <w:p>
      <w:pPr>
        <w:pStyle w:val="BodyText"/>
      </w:pPr>
      <w:r>
        <w:t xml:space="preserve">Across mountain landscapes, foliar symbiont communities emerge from the joint action of three broad ecological filters: host functional traits, abiotic gradients, and spatial processes. In our system, trait differences among closely related hosts (Q1-Q2), a community-wide decline in α-diversity with elevation (Q3), trait-linked shifts in β-diversity (Q3), and distance-decay in selfing species (Q4) collectively point to an overarching assembly framework in which: (1) Host trait filtering (e.g., leaf thickness, toughness, lobing) sets the local rules of colonization and persistence within leaves; (2)Environmental gradients (e.g., temperature, water availability indexed by elevation) modulate trait distributions and community overlap across sites; (3) Spatial processes (e.g., dispersal limitation, isolation by distance) and host population structure determine the scale and strength of symbiont turnover.</w:t>
      </w:r>
    </w:p>
    <w:p>
      <w:pPr>
        <w:pStyle w:val="BodyText"/>
      </w:pPr>
      <w:r>
        <w:t xml:space="preserve">These findings motivate several general ecological questions that extend beyond the focal hosts: (a) What is the relative importance of host trait filtering versus abiotic filtering and how does it shift across spatial scales, plant tissues, and seasons?; (b) How and when does host genetic structure amplify geographic filtering of symbionts? (c) What functional roles do cosmopolitan, cold-associated taxa play in plant performance across climate gradients, and how stable are these roles over time?; (d) How can trait-based and spatially explicit models be integrated to forecast microbiome assembly and function under climate change? (e) To what extent are these assembly rules conserved across plant lineages and fungal guilds, and where do they break down?</w:t>
      </w:r>
    </w:p>
    <w:p>
      <w:pPr>
        <w:pStyle w:val="BodyText"/>
      </w:pPr>
      <w:r>
        <w:t xml:space="preserve">Addressing these questions will require synthesis across comparative field surveys, manipulative experiments, and trait-informed community models (see Discussion for the specific common-garden, genotype-manipulation, and tissue-preservation directions this system enables). By situating foliar symbionts within a trait-environment-space framework, future work can move from pattern to mechanistic models that quantify how plant traits and geography govern symbiont assembly, and how those communities feed back to influence plant resilience as climates change and distributions shift.</w:t>
      </w:r>
    </w:p>
    <w:bookmarkEnd w:id="35"/>
    <w:bookmarkStart w:id="36" w:name="author-contributions"/>
    <w:p>
      <w:pPr>
        <w:pStyle w:val="Heading1"/>
      </w:pPr>
      <w:r>
        <w:t xml:space="preserve">7. Author Contributions</w:t>
      </w:r>
    </w:p>
    <w:p>
      <w:pPr>
        <w:pStyle w:val="FirstParagraph"/>
      </w:pPr>
      <w:r>
        <w:t xml:space="preserve">B.A.R, K.G.F. and S.A.V. designed research study. B.A.R. conducted field surveys, laboratory work, and collected data. B.A.R. processed the data and performed statistical analyses. B.A.R. wrote the manuscript with input from all authors. All authors gave final approval for publication.</w:t>
      </w:r>
    </w:p>
    <w:bookmarkEnd w:id="36"/>
    <w:bookmarkStart w:id="37" w:name="acknowledgements"/>
    <w:p>
      <w:pPr>
        <w:pStyle w:val="Heading1"/>
      </w:pPr>
      <w:r>
        <w:t xml:space="preserve">8. Acknowledgements</w:t>
      </w:r>
    </w:p>
    <w:p>
      <w:pPr>
        <w:pStyle w:val="FirstParagraph"/>
      </w:pPr>
      <w:r>
        <w:t xml:space="preserve">This work was supported by the National Institute of General Medicinal Sciences of the National Institute of Health (NIH) under award number R35GM138224 to KGF. We thank the Yosemite National Park Service for permit support (YOSE-2021-SCI-0033, YOSE-2022-SCI-0051), and Breeanne Jackson at Yosemite Field Station (doi:10.21973/n3v36c) for logistical support and providing accommodation. We thank the USDA Forest Service for providing access to the Sierra National Forest and Stanislaus National Forest (Botanical Collection Permit: 031528). We thank Caroline, M. Dong, Fidel J. Machado Perez, Elizabeth MacDougal, Rachael Dennis, and Lissette Montano for field assistance. This research was supported in part using high performance computing (HPC) resources and services provided by Information Technology at Tulane University, New Orleans, LA. Lastly, we would like to acknowledge the original inhabitants of the unceded land on which our research was conducted, the Southern Sierra Miwuk Nation, Bishop Paiute Tribe, Bridgeport Indian Colony, Mono Lake Kutzadikaa, North Fork Rancheria of Mono Indians of California, Picayune Rancheria of the Chukchansi Indians and the Tuolumne Band of Me-Wuk Indians. Their culture and stewardship remain an integral part of the land. As scientists we strive to take responsibility for the impacts of colonialism in our field and move forward with respect and support of indigenous movements and knowledge.</w:t>
      </w:r>
    </w:p>
    <w:bookmarkEnd w:id="37"/>
    <w:bookmarkStart w:id="38" w:name="conflict-of-interest-statement"/>
    <w:p>
      <w:pPr>
        <w:pStyle w:val="Heading1"/>
      </w:pPr>
      <w:r>
        <w:t xml:space="preserve">9. Conflict of Interest Statement</w:t>
      </w:r>
    </w:p>
    <w:p>
      <w:pPr>
        <w:pStyle w:val="FirstParagraph"/>
      </w:pPr>
      <w:r>
        <w:t xml:space="preserve">The authors declare no competing interests.</w:t>
      </w:r>
    </w:p>
    <w:bookmarkEnd w:id="38"/>
    <w:bookmarkStart w:id="40" w:name="data-accessibility-statement"/>
    <w:p>
      <w:pPr>
        <w:pStyle w:val="Heading1"/>
      </w:pPr>
      <w:r>
        <w:t xml:space="preserve">10. Data Accessibility Statement</w:t>
      </w:r>
    </w:p>
    <w:p>
      <w:pPr>
        <w:pStyle w:val="FirstParagraph"/>
      </w:pPr>
      <w:r>
        <w:t xml:space="preserve">The genomic data that support the findings of this study will be submitted to NCBI-GenBank upon acceptance of this manuscript. The manuscript and code for reproducibility is available from corresponding author’s GitHub:</w:t>
      </w:r>
      <w:hyperlink r:id="rId39">
        <w:r>
          <w:rPr>
            <w:rStyle w:val="Hyperlink"/>
          </w:rPr>
          <w:t xml:space="preserve">https://github.com/jibarozzo/endophyte_mimulus.git</w:t>
        </w:r>
      </w:hyperlink>
    </w:p>
    <w:bookmarkEnd w:id="40"/>
    <w:bookmarkStart w:id="41" w:name="benefit-sharing-statement"/>
    <w:p>
      <w:pPr>
        <w:pStyle w:val="Heading1"/>
      </w:pPr>
      <w:r>
        <w:t xml:space="preserve">11. Benefit Sharing Statement</w:t>
      </w:r>
    </w:p>
    <w:bookmarkEnd w:id="41"/>
    <w:bookmarkStart w:id="42" w:name="author-contributions-1"/>
    <w:p>
      <w:pPr>
        <w:pStyle w:val="Heading1"/>
      </w:pPr>
      <w:r>
        <w:t xml:space="preserve">12. Author Contributions</w:t>
      </w:r>
    </w:p>
    <w:p>
      <w:pPr>
        <w:pStyle w:val="FirstParagraph"/>
      </w:pPr>
      <w:r>
        <w:t xml:space="preserve">B.A.R, K.G.F. and S.A.V. designed research study. B.A.R. conducted field surveys, laboratory work, and collected data. B.A.R. processed the data, performed statistical analyses, and maintains code for reproducibility. B.A.R. wrote the manuscript with input from all authors. All authors gave final approval for publication.</w:t>
      </w:r>
    </w:p>
    <w:bookmarkEnd w:id="42"/>
    <w:bookmarkStart w:id="237" w:name="references"/>
    <w:p>
      <w:pPr>
        <w:pStyle w:val="Heading1"/>
      </w:pPr>
      <w:r>
        <w:t xml:space="preserve">13. References</w:t>
      </w:r>
    </w:p>
    <w:bookmarkStart w:id="236" w:name="refs"/>
    <w:bookmarkStart w:id="44" w:name="ref-abarenkov2023a"/>
    <w:p>
      <w:pPr>
        <w:pStyle w:val="Bibliography"/>
      </w:pPr>
      <w:r>
        <w:t xml:space="preserve">Abarenkov, K., Zirk, A., Piirmann, T., Pöhönen, R., Ivanov, F., Nilsson, R. H., &amp; Kõljalg, U. (2023).</w:t>
      </w:r>
      <w:r>
        <w:t xml:space="preserve"> </w:t>
      </w:r>
      <w:r>
        <w:rPr>
          <w:i/>
          <w:iCs/>
        </w:rPr>
        <w:t xml:space="preserve">UNITE general FASTA release for Fungi 2</w:t>
      </w:r>
      <w:r>
        <w:t xml:space="preserve"> </w:t>
      </w:r>
      <w:r>
        <w:t xml:space="preserve">[Application/gzip]. UNITE Community.</w:t>
      </w:r>
      <w:r>
        <w:t xml:space="preserve"> </w:t>
      </w:r>
      <w:hyperlink r:id="rId43">
        <w:r>
          <w:rPr>
            <w:rStyle w:val="Hyperlink"/>
          </w:rPr>
          <w:t xml:space="preserve">https://doi.org/10.15156/BIO/2938068</w:t>
        </w:r>
      </w:hyperlink>
    </w:p>
    <w:bookmarkEnd w:id="44"/>
    <w:bookmarkStart w:id="46" w:name="ref-adams2002"/>
    <w:p>
      <w:pPr>
        <w:pStyle w:val="Bibliography"/>
      </w:pPr>
      <w:r>
        <w:t xml:space="preserve">Adams, D. G. (2002). Symbiotic Interactions. In B. A. Whitton &amp; M. Potts (Eds.),</w:t>
      </w:r>
      <w:r>
        <w:t xml:space="preserve"> </w:t>
      </w:r>
      <w:r>
        <w:rPr>
          <w:i/>
          <w:iCs/>
        </w:rPr>
        <w:t xml:space="preserve">The Ecology of Cyanobacteria</w:t>
      </w:r>
      <w:r>
        <w:t xml:space="preserve"> </w:t>
      </w:r>
      <w:r>
        <w:t xml:space="preserve">(pp. 523–561). Kluwer Academic Publishers.</w:t>
      </w:r>
      <w:r>
        <w:t xml:space="preserve"> </w:t>
      </w:r>
      <w:hyperlink r:id="rId45">
        <w:r>
          <w:rPr>
            <w:rStyle w:val="Hyperlink"/>
          </w:rPr>
          <w:t xml:space="preserve">https://doi.org/10.1007/0-306-46855-7_19</w:t>
        </w:r>
      </w:hyperlink>
    </w:p>
    <w:bookmarkEnd w:id="46"/>
    <w:bookmarkStart w:id="48" w:name="ref-aimone2023"/>
    <w:p>
      <w:pPr>
        <w:pStyle w:val="Bibliography"/>
      </w:pPr>
      <w:r>
        <w:t xml:space="preserve">Aimone, C. D., Giauque, H., &amp; Hawkes, C. V. (2023). Fungal Symbionts Generate Water-Saver and Water-Spender Plant Drought Strategies via Diverse Effects on Host Gene Expression.</w:t>
      </w:r>
      <w:r>
        <w:t xml:space="preserve"> </w:t>
      </w:r>
      <w:r>
        <w:rPr>
          <w:i/>
          <w:iCs/>
        </w:rPr>
        <w:t xml:space="preserve">Phytobiomes Journal</w:t>
      </w:r>
      <w:r>
        <w:t xml:space="preserve">,</w:t>
      </w:r>
      <w:r>
        <w:t xml:space="preserve"> </w:t>
      </w:r>
      <w:r>
        <w:rPr>
          <w:i/>
          <w:iCs/>
        </w:rPr>
        <w:t xml:space="preserve">7</w:t>
      </w:r>
      <w:r>
        <w:t xml:space="preserve">(2), 172–183.</w:t>
      </w:r>
      <w:r>
        <w:t xml:space="preserve"> </w:t>
      </w:r>
      <w:hyperlink r:id="rId47">
        <w:r>
          <w:rPr>
            <w:rStyle w:val="Hyperlink"/>
          </w:rPr>
          <w:t xml:space="preserve">https://doi.org/10.1094/PBIOMES-01-22-0006-FI</w:t>
        </w:r>
      </w:hyperlink>
    </w:p>
    <w:bookmarkEnd w:id="48"/>
    <w:bookmarkStart w:id="50" w:name="ref-anderson2017"/>
    <w:p>
      <w:pPr>
        <w:pStyle w:val="Bibliography"/>
      </w:pPr>
      <w:r>
        <w:t xml:space="preserve">Anderson, M. J. (2017). Permutational Multivariate Analysis of Variance (PERMANOVA). In</w:t>
      </w:r>
      <w:r>
        <w:t xml:space="preserve"> </w:t>
      </w:r>
      <w:r>
        <w:rPr>
          <w:i/>
          <w:iCs/>
        </w:rPr>
        <w:t xml:space="preserve">Wiley StatsRef: Statistics Reference Online</w:t>
      </w:r>
      <w:r>
        <w:t xml:space="preserve"> </w:t>
      </w:r>
      <w:r>
        <w:t xml:space="preserve">(pp. 1–15). Wiley.</w:t>
      </w:r>
      <w:r>
        <w:t xml:space="preserve"> </w:t>
      </w:r>
      <w:hyperlink r:id="rId49">
        <w:r>
          <w:rPr>
            <w:rStyle w:val="Hyperlink"/>
          </w:rPr>
          <w:t xml:space="preserve">https://doi.org/10.1002/9781118445112.stat07841</w:t>
        </w:r>
      </w:hyperlink>
    </w:p>
    <w:bookmarkEnd w:id="50"/>
    <w:bookmarkStart w:id="51" w:name="ref-andrews2010"/>
    <w:p>
      <w:pPr>
        <w:pStyle w:val="Bibliography"/>
      </w:pPr>
      <w:r>
        <w:t xml:space="preserve">Andrews, S., Krueger, F., Segonds-Pichon, A., Biggins, L., Krueger, C., &amp; Wingett, S. (2010).</w:t>
      </w:r>
      <w:r>
        <w:t xml:space="preserve"> </w:t>
      </w:r>
      <w:r>
        <w:rPr>
          <w:i/>
          <w:iCs/>
        </w:rPr>
        <w:t xml:space="preserve">FastQC</w:t>
      </w:r>
      <w:r>
        <w:t xml:space="preserve"> </w:t>
      </w:r>
      <w:r>
        <w:t xml:space="preserve">(Version 0.12.1) [Computer software].</w:t>
      </w:r>
    </w:p>
    <w:bookmarkEnd w:id="51"/>
    <w:bookmarkStart w:id="53" w:name="ref-aponterolon2023a"/>
    <w:p>
      <w:pPr>
        <w:pStyle w:val="Bibliography"/>
      </w:pPr>
      <w:r>
        <w:t xml:space="preserve">Aponte Rolón, B. (2023).</w:t>
      </w:r>
      <w:r>
        <w:t xml:space="preserve"> </w:t>
      </w:r>
      <w:r>
        <w:rPr>
          <w:i/>
          <w:iCs/>
        </w:rPr>
        <w:t xml:space="preserve">High-Molecular-Weight SPRI-aided DNA extraction from Mimulus (Phrymaceae) leaf tissue.</w:t>
      </w:r>
      <w:r>
        <w:t xml:space="preserve"> </w:t>
      </w:r>
      <w:hyperlink r:id="rId52">
        <w:r>
          <w:rPr>
            <w:rStyle w:val="Hyperlink"/>
          </w:rPr>
          <w:t xml:space="preserve">dx.doi.org/10.17504/protocols.io.bp2l6xn8rlqe/v2</w:t>
        </w:r>
      </w:hyperlink>
    </w:p>
    <w:bookmarkEnd w:id="53"/>
    <w:bookmarkStart w:id="55" w:name="ref-aponterolon2024"/>
    <w:p>
      <w:pPr>
        <w:pStyle w:val="Bibliography"/>
      </w:pPr>
      <w:r>
        <w:t xml:space="preserve">Aponte Rolón, B., Arnold, A. E., Sánchez Juliá, M., &amp; Van Bael, S. A. (2024). Evaluating endophyte‐rich leaves and leaf functional traits for protection of tropical trees against natural enemies.</w:t>
      </w:r>
      <w:r>
        <w:t xml:space="preserve"> </w:t>
      </w:r>
      <w:r>
        <w:rPr>
          <w:i/>
          <w:iCs/>
        </w:rPr>
        <w:t xml:space="preserve">Functional Ecology</w:t>
      </w:r>
      <w:r>
        <w:t xml:space="preserve">, 1365–2435.14717.</w:t>
      </w:r>
      <w:r>
        <w:t xml:space="preserve"> </w:t>
      </w:r>
      <w:hyperlink r:id="rId54">
        <w:r>
          <w:rPr>
            <w:rStyle w:val="Hyperlink"/>
          </w:rPr>
          <w:t xml:space="preserve">https://doi.org/10.1111/1365-2435.14717</w:t>
        </w:r>
      </w:hyperlink>
    </w:p>
    <w:bookmarkEnd w:id="55"/>
    <w:bookmarkStart w:id="57" w:name="ref-arnold2003"/>
    <w:p>
      <w:pPr>
        <w:pStyle w:val="Bibliography"/>
      </w:pPr>
      <w:r>
        <w:t xml:space="preserve">Arnold, A. E., Mejía, L. C., Kyllo, D., Rojas, E. I., Maynard, Z., Robbins, N., &amp; Herre, E. A. (2003). Fungal endophytes limit pathogen damage in a tropical tree.</w:t>
      </w:r>
      <w:r>
        <w:t xml:space="preserve"> </w:t>
      </w:r>
      <w:r>
        <w:rPr>
          <w:i/>
          <w:iCs/>
        </w:rPr>
        <w:t xml:space="preserve">Proceedings of the National Academy of Sciences</w:t>
      </w:r>
      <w:r>
        <w:t xml:space="preserve">,</w:t>
      </w:r>
      <w:r>
        <w:t xml:space="preserve"> </w:t>
      </w:r>
      <w:r>
        <w:rPr>
          <w:i/>
          <w:iCs/>
        </w:rPr>
        <w:t xml:space="preserve">100</w:t>
      </w:r>
      <w:r>
        <w:t xml:space="preserve">(26), 15649–15654.</w:t>
      </w:r>
      <w:r>
        <w:t xml:space="preserve"> </w:t>
      </w:r>
      <w:hyperlink r:id="rId56">
        <w:r>
          <w:rPr>
            <w:rStyle w:val="Hyperlink"/>
          </w:rPr>
          <w:t xml:space="preserve">https://doi.org/10.1073/pnas.2533483100</w:t>
        </w:r>
      </w:hyperlink>
    </w:p>
    <w:bookmarkEnd w:id="57"/>
    <w:bookmarkStart w:id="59" w:name="ref-barton2023"/>
    <w:p>
      <w:pPr>
        <w:pStyle w:val="Bibliography"/>
      </w:pPr>
      <w:r>
        <w:t xml:space="preserve">Bartoń, K. (2023).</w:t>
      </w:r>
      <w:r>
        <w:t xml:space="preserve"> </w:t>
      </w:r>
      <w:r>
        <w:rPr>
          <w:i/>
          <w:iCs/>
        </w:rPr>
        <w:t xml:space="preserve">MuMIn: Multi-model inference</w:t>
      </w:r>
      <w:r>
        <w:t xml:space="preserve"> </w:t>
      </w:r>
      <w:r>
        <w:t xml:space="preserve">[Manual].</w:t>
      </w:r>
      <w:r>
        <w:t xml:space="preserve"> </w:t>
      </w:r>
      <w:hyperlink r:id="rId58">
        <w:r>
          <w:rPr>
            <w:rStyle w:val="Hyperlink"/>
          </w:rPr>
          <w:t xml:space="preserve">https://CRAN.R-project.org/package=MuMIn</w:t>
        </w:r>
      </w:hyperlink>
    </w:p>
    <w:bookmarkEnd w:id="59"/>
    <w:bookmarkStart w:id="61" w:name="ref-belisle2012"/>
    <w:p>
      <w:pPr>
        <w:pStyle w:val="Bibliography"/>
      </w:pPr>
      <w:r>
        <w:t xml:space="preserve">Belisle, M., Peay, K. G., &amp; Fukami, T. (2012). Flowers as Islands: Spatial Distribution of Nectar-Inhabiting Microfungi among Plants of</w:t>
      </w:r>
      <w:r>
        <w:t xml:space="preserve"> </w:t>
      </w:r>
      <w:r>
        <w:rPr>
          <w:i/>
          <w:iCs/>
        </w:rPr>
        <w:t xml:space="preserve">Mimulus aurantiacus</w:t>
      </w:r>
      <w:r>
        <w:t xml:space="preserve">, a Hummingbird-Pollinated Shrub.</w:t>
      </w:r>
      <w:r>
        <w:t xml:space="preserve"> </w:t>
      </w:r>
      <w:r>
        <w:rPr>
          <w:i/>
          <w:iCs/>
        </w:rPr>
        <w:t xml:space="preserve">Microbial Ecology</w:t>
      </w:r>
      <w:r>
        <w:t xml:space="preserve">,</w:t>
      </w:r>
      <w:r>
        <w:t xml:space="preserve"> </w:t>
      </w:r>
      <w:r>
        <w:rPr>
          <w:i/>
          <w:iCs/>
        </w:rPr>
        <w:t xml:space="preserve">63</w:t>
      </w:r>
      <w:r>
        <w:t xml:space="preserve">(4), 711–718.</w:t>
      </w:r>
      <w:r>
        <w:t xml:space="preserve"> </w:t>
      </w:r>
      <w:hyperlink r:id="rId60">
        <w:r>
          <w:rPr>
            <w:rStyle w:val="Hyperlink"/>
          </w:rPr>
          <w:t xml:space="preserve">https://doi.org/10.1007/s00248-011-9975-8</w:t>
        </w:r>
      </w:hyperlink>
    </w:p>
    <w:bookmarkEnd w:id="61"/>
    <w:bookmarkStart w:id="63" w:name="ref-benjamini1995"/>
    <w:p>
      <w:pPr>
        <w:pStyle w:val="Bibliography"/>
      </w:pPr>
      <w:r>
        <w:t xml:space="preserve">Benjamini, Y., &amp; Hochberg, Y. (1995). Controlling the false discovery rate: A practical and powerful approach to multiple testing.</w:t>
      </w:r>
      <w:r>
        <w:t xml:space="preserve"> </w:t>
      </w:r>
      <w:r>
        <w:rPr>
          <w:i/>
          <w:iCs/>
        </w:rPr>
        <w:t xml:space="preserve">Journal of the Royal Statistical Society: Series B (Methodological)</w:t>
      </w:r>
      <w:r>
        <w:t xml:space="preserve">,</w:t>
      </w:r>
      <w:r>
        <w:t xml:space="preserve"> </w:t>
      </w:r>
      <w:r>
        <w:rPr>
          <w:i/>
          <w:iCs/>
        </w:rPr>
        <w:t xml:space="preserve">57</w:t>
      </w:r>
      <w:r>
        <w:t xml:space="preserve">(1), 289–300.</w:t>
      </w:r>
      <w:r>
        <w:t xml:space="preserve"> </w:t>
      </w:r>
      <w:hyperlink r:id="rId62">
        <w:r>
          <w:rPr>
            <w:rStyle w:val="Hyperlink"/>
          </w:rPr>
          <w:t xml:space="preserve">https://doi.org/10.1111/j.2517-6161.1995.tb02031.x</w:t>
        </w:r>
      </w:hyperlink>
    </w:p>
    <w:bookmarkEnd w:id="63"/>
    <w:bookmarkStart w:id="65" w:name="ref-bowman2021"/>
    <w:p>
      <w:pPr>
        <w:pStyle w:val="Bibliography"/>
      </w:pPr>
      <w:r>
        <w:t xml:space="preserve">Bowman, E. A., &amp; Arnold, A. E. (2021). Drivers and implications of distance decay differ for ectomycorrhizal and foliar endophytic fungi across an anciently fragmented landscape.</w:t>
      </w:r>
      <w:r>
        <w:t xml:space="preserve"> </w:t>
      </w:r>
      <w:r>
        <w:rPr>
          <w:i/>
          <w:iCs/>
        </w:rPr>
        <w:t xml:space="preserve">The ISME Journal</w:t>
      </w:r>
      <w:r>
        <w:t xml:space="preserve">,</w:t>
      </w:r>
      <w:r>
        <w:t xml:space="preserve"> </w:t>
      </w:r>
      <w:r>
        <w:rPr>
          <w:i/>
          <w:iCs/>
        </w:rPr>
        <w:t xml:space="preserve">15</w:t>
      </w:r>
      <w:r>
        <w:t xml:space="preserve">(12), 3437–3454.</w:t>
      </w:r>
      <w:r>
        <w:t xml:space="preserve"> </w:t>
      </w:r>
      <w:hyperlink r:id="rId64">
        <w:r>
          <w:rPr>
            <w:rStyle w:val="Hyperlink"/>
          </w:rPr>
          <w:t xml:space="preserve">https://doi.org/10.1038/s41396-021-01006-9</w:t>
        </w:r>
      </w:hyperlink>
    </w:p>
    <w:bookmarkEnd w:id="65"/>
    <w:bookmarkStart w:id="67" w:name="ref-brandvain2014"/>
    <w:p>
      <w:pPr>
        <w:pStyle w:val="Bibliography"/>
      </w:pPr>
      <w:r>
        <w:t xml:space="preserve">Brandvain, Y., Kenney, A. M., Flagel, L., Coop, G., &amp; Sweigart, A. L. (2014). Speciation and Introgression Between</w:t>
      </w:r>
      <w:r>
        <w:t xml:space="preserve"> </w:t>
      </w:r>
      <w:r>
        <w:rPr>
          <w:i/>
          <w:iCs/>
        </w:rPr>
        <w:t xml:space="preserve">Mimulus nasutus</w:t>
      </w:r>
      <w:r>
        <w:t xml:space="preserve"> </w:t>
      </w:r>
      <w:r>
        <w:t xml:space="preserve">and</w:t>
      </w:r>
      <w:r>
        <w:t xml:space="preserve"> </w:t>
      </w:r>
      <w:r>
        <w:rPr>
          <w:i/>
          <w:iCs/>
        </w:rPr>
        <w:t xml:space="preserve">Mimulus guttatus</w:t>
      </w:r>
      <w:r>
        <w:t xml:space="preserve">.</w:t>
      </w:r>
      <w:r>
        <w:t xml:space="preserve"> </w:t>
      </w:r>
      <w:r>
        <w:rPr>
          <w:i/>
          <w:iCs/>
        </w:rPr>
        <w:t xml:space="preserve">PLoS Genetics</w:t>
      </w:r>
      <w:r>
        <w:t xml:space="preserve">,</w:t>
      </w:r>
      <w:r>
        <w:t xml:space="preserve"> </w:t>
      </w:r>
      <w:r>
        <w:rPr>
          <w:i/>
          <w:iCs/>
        </w:rPr>
        <w:t xml:space="preserve">10</w:t>
      </w:r>
      <w:r>
        <w:t xml:space="preserve">(6), e1004410.</w:t>
      </w:r>
      <w:r>
        <w:t xml:space="preserve"> </w:t>
      </w:r>
      <w:hyperlink r:id="rId66">
        <w:r>
          <w:rPr>
            <w:rStyle w:val="Hyperlink"/>
          </w:rPr>
          <w:t xml:space="preserve">https://doi.org/10.1371/journal.pgen.1004410</w:t>
        </w:r>
      </w:hyperlink>
    </w:p>
    <w:bookmarkEnd w:id="67"/>
    <w:bookmarkStart w:id="69" w:name="ref-bunn2009"/>
    <w:p>
      <w:pPr>
        <w:pStyle w:val="Bibliography"/>
      </w:pPr>
      <w:r>
        <w:t xml:space="preserve">Bunn, R., Lekberg, Y., &amp; Zabinski, C. (2009). Arbuscular mycorrhizal fungi ameliorate temperature stress in thermophilic plants.</w:t>
      </w:r>
      <w:r>
        <w:t xml:space="preserve"> </w:t>
      </w:r>
      <w:r>
        <w:rPr>
          <w:i/>
          <w:iCs/>
        </w:rPr>
        <w:t xml:space="preserve">Ecology</w:t>
      </w:r>
      <w:r>
        <w:t xml:space="preserve">,</w:t>
      </w:r>
      <w:r>
        <w:t xml:space="preserve"> </w:t>
      </w:r>
      <w:r>
        <w:rPr>
          <w:i/>
          <w:iCs/>
        </w:rPr>
        <w:t xml:space="preserve">90</w:t>
      </w:r>
      <w:r>
        <w:t xml:space="preserve">(5), 1378–1388.</w:t>
      </w:r>
      <w:r>
        <w:t xml:space="preserve"> </w:t>
      </w:r>
      <w:hyperlink r:id="rId68">
        <w:r>
          <w:rPr>
            <w:rStyle w:val="Hyperlink"/>
          </w:rPr>
          <w:t xml:space="preserve">https://doi.org/10.1890/07-2080.1</w:t>
        </w:r>
      </w:hyperlink>
    </w:p>
    <w:bookmarkEnd w:id="69"/>
    <w:bookmarkStart w:id="71" w:name="ref-buzzini2018"/>
    <w:p>
      <w:pPr>
        <w:pStyle w:val="Bibliography"/>
      </w:pPr>
      <w:r>
        <w:t xml:space="preserve">Buzzini, P., Turchetti, B., &amp; Yurkov, A. (2018). Extremophilic yeasts: the toughest yeasts around?</w:t>
      </w:r>
      <w:r>
        <w:t xml:space="preserve"> </w:t>
      </w:r>
      <w:r>
        <w:rPr>
          <w:i/>
          <w:iCs/>
        </w:rPr>
        <w:t xml:space="preserve">Yeast</w:t>
      </w:r>
      <w:r>
        <w:t xml:space="preserve">,</w:t>
      </w:r>
      <w:r>
        <w:t xml:space="preserve"> </w:t>
      </w:r>
      <w:r>
        <w:rPr>
          <w:i/>
          <w:iCs/>
        </w:rPr>
        <w:t xml:space="preserve">35</w:t>
      </w:r>
      <w:r>
        <w:t xml:space="preserve">(8), 487–497.</w:t>
      </w:r>
      <w:r>
        <w:t xml:space="preserve"> </w:t>
      </w:r>
      <w:hyperlink r:id="rId70">
        <w:r>
          <w:rPr>
            <w:rStyle w:val="Hyperlink"/>
          </w:rPr>
          <w:t xml:space="preserve">https://doi.org/10.1002/yea.3314</w:t>
        </w:r>
      </w:hyperlink>
    </w:p>
    <w:bookmarkEnd w:id="71"/>
    <w:bookmarkStart w:id="73" w:name="ref-callahan2016"/>
    <w:p>
      <w:pPr>
        <w:pStyle w:val="Bibliography"/>
      </w:pPr>
      <w:r>
        <w:t xml:space="preserve">Callahan, B. J., McMurdie, P. J., Rosen, M. J., Han, A. W., Johnson, A. J. A., &amp; Holmes, S. P. (2016). DADA2: High-resolution sample inference from Illumina amplicon data.</w:t>
      </w:r>
      <w:r>
        <w:t xml:space="preserve"> </w:t>
      </w:r>
      <w:r>
        <w:rPr>
          <w:i/>
          <w:iCs/>
        </w:rPr>
        <w:t xml:space="preserve">Nature Methods</w:t>
      </w:r>
      <w:r>
        <w:t xml:space="preserve">,</w:t>
      </w:r>
      <w:r>
        <w:t xml:space="preserve"> </w:t>
      </w:r>
      <w:r>
        <w:rPr>
          <w:i/>
          <w:iCs/>
        </w:rPr>
        <w:t xml:space="preserve">13</w:t>
      </w:r>
      <w:r>
        <w:t xml:space="preserve">(7), 581–583.</w:t>
      </w:r>
      <w:r>
        <w:t xml:space="preserve"> </w:t>
      </w:r>
      <w:hyperlink r:id="rId72">
        <w:r>
          <w:rPr>
            <w:rStyle w:val="Hyperlink"/>
          </w:rPr>
          <w:t xml:space="preserve">https://doi.org/10.1038/nmeth.3869</w:t>
        </w:r>
      </w:hyperlink>
    </w:p>
    <w:bookmarkEnd w:id="73"/>
    <w:bookmarkStart w:id="75" w:name="ref-cameron2021"/>
    <w:p>
      <w:pPr>
        <w:pStyle w:val="Bibliography"/>
      </w:pPr>
      <w:r>
        <w:t xml:space="preserve">Cameron, E., Schmidt, P., Tremblay, B., Emelko, M., &amp; Müller, K. (2021). Enhancing diversity analysis by repeatedly rarefying next generation sequencing data describing microbial communities.</w:t>
      </w:r>
      <w:r>
        <w:t xml:space="preserve"> </w:t>
      </w:r>
      <w:r>
        <w:rPr>
          <w:i/>
          <w:iCs/>
        </w:rPr>
        <w:t xml:space="preserve">Scientific Reports</w:t>
      </w:r>
      <w:r>
        <w:t xml:space="preserve">,</w:t>
      </w:r>
      <w:r>
        <w:t xml:space="preserve"> </w:t>
      </w:r>
      <w:r>
        <w:rPr>
          <w:i/>
          <w:iCs/>
        </w:rPr>
        <w:t xml:space="preserve">11</w:t>
      </w:r>
      <w:r>
        <w:t xml:space="preserve">, 22302.</w:t>
      </w:r>
      <w:r>
        <w:t xml:space="preserve"> </w:t>
      </w:r>
      <w:hyperlink r:id="rId74">
        <w:r>
          <w:rPr>
            <w:rStyle w:val="Hyperlink"/>
          </w:rPr>
          <w:t xml:space="preserve">https://doi.org/10.1038/s41598-021-01636-1</w:t>
        </w:r>
      </w:hyperlink>
    </w:p>
    <w:bookmarkEnd w:id="75"/>
    <w:bookmarkStart w:id="77" w:name="ref-cordier2012"/>
    <w:p>
      <w:pPr>
        <w:pStyle w:val="Bibliography"/>
      </w:pPr>
      <w:r>
        <w:t xml:space="preserve">Cordier, T., Robin, C., Capdevielle, X., Fabreguettes, O., Desprez-Loustau, M.-L., &amp; Vacher, C. (2012). The composition of phyllosphere fungal assemblages of European beech (Fagus sylvatica) varies significantly along an elevation gradient.</w:t>
      </w:r>
      <w:r>
        <w:t xml:space="preserve"> </w:t>
      </w:r>
      <w:r>
        <w:rPr>
          <w:i/>
          <w:iCs/>
        </w:rPr>
        <w:t xml:space="preserve">New Phytologist</w:t>
      </w:r>
      <w:r>
        <w:t xml:space="preserve">,</w:t>
      </w:r>
      <w:r>
        <w:t xml:space="preserve"> </w:t>
      </w:r>
      <w:r>
        <w:rPr>
          <w:i/>
          <w:iCs/>
        </w:rPr>
        <w:t xml:space="preserve">196</w:t>
      </w:r>
      <w:r>
        <w:t xml:space="preserve">(2), 510–519.</w:t>
      </w:r>
      <w:r>
        <w:t xml:space="preserve"> </w:t>
      </w:r>
      <w:hyperlink r:id="rId76">
        <w:r>
          <w:rPr>
            <w:rStyle w:val="Hyperlink"/>
          </w:rPr>
          <w:t xml:space="preserve">https://doi.org/10.1111/j.1469-8137.2012.04284.x</w:t>
        </w:r>
      </w:hyperlink>
    </w:p>
    <w:bookmarkEnd w:id="77"/>
    <w:bookmarkStart w:id="79" w:name="ref-davis2018"/>
    <w:p>
      <w:pPr>
        <w:pStyle w:val="Bibliography"/>
      </w:pPr>
      <w:r>
        <w:t xml:space="preserve">Davis, N. M., Proctor, D. M., Holmes, S. P., Relman, D. A., &amp; Callahan, B. J. (2018). Simple statistical identification and removal of contaminant sequences in marker-gene and metagenomics data.</w:t>
      </w:r>
      <w:r>
        <w:t xml:space="preserve"> </w:t>
      </w:r>
      <w:r>
        <w:rPr>
          <w:i/>
          <w:iCs/>
        </w:rPr>
        <w:t xml:space="preserve">Microbiome</w:t>
      </w:r>
      <w:r>
        <w:t xml:space="preserve">,</w:t>
      </w:r>
      <w:r>
        <w:t xml:space="preserve"> </w:t>
      </w:r>
      <w:r>
        <w:rPr>
          <w:i/>
          <w:iCs/>
        </w:rPr>
        <w:t xml:space="preserve">6</w:t>
      </w:r>
      <w:r>
        <w:t xml:space="preserve">(1), 226.</w:t>
      </w:r>
      <w:r>
        <w:t xml:space="preserve"> </w:t>
      </w:r>
      <w:hyperlink r:id="rId78">
        <w:r>
          <w:rPr>
            <w:rStyle w:val="Hyperlink"/>
          </w:rPr>
          <w:t xml:space="preserve">https://doi.org/10.1186/s40168-018-0605-2</w:t>
        </w:r>
      </w:hyperlink>
    </w:p>
    <w:bookmarkEnd w:id="79"/>
    <w:bookmarkStart w:id="81" w:name="ref-demenezes2019"/>
    <w:p>
      <w:pPr>
        <w:pStyle w:val="Bibliography"/>
      </w:pPr>
      <w:r>
        <w:t xml:space="preserve">De Menezes, G. C. A., Amorim, S. S., Gonçalves, V. N., Godinho, V. M., Simões, J. C., Rosa, C. A., &amp; Rosa, L. H. (2019). Diversity, Distribution, and Ecology of Fungi in the Seasonal Snow of Antarctica.</w:t>
      </w:r>
      <w:r>
        <w:t xml:space="preserve"> </w:t>
      </w:r>
      <w:r>
        <w:rPr>
          <w:i/>
          <w:iCs/>
        </w:rPr>
        <w:t xml:space="preserve">Microorganisms</w:t>
      </w:r>
      <w:r>
        <w:t xml:space="preserve">,</w:t>
      </w:r>
      <w:r>
        <w:t xml:space="preserve"> </w:t>
      </w:r>
      <w:r>
        <w:rPr>
          <w:i/>
          <w:iCs/>
        </w:rPr>
        <w:t xml:space="preserve">7</w:t>
      </w:r>
      <w:r>
        <w:t xml:space="preserve">(10), 445.</w:t>
      </w:r>
      <w:r>
        <w:t xml:space="preserve"> </w:t>
      </w:r>
      <w:hyperlink r:id="rId80">
        <w:r>
          <w:rPr>
            <w:rStyle w:val="Hyperlink"/>
          </w:rPr>
          <w:t xml:space="preserve">https://doi.org/10.3390/microorganisms7100445</w:t>
        </w:r>
      </w:hyperlink>
    </w:p>
    <w:bookmarkEnd w:id="81"/>
    <w:bookmarkStart w:id="83" w:name="ref-delaux2015"/>
    <w:p>
      <w:pPr>
        <w:pStyle w:val="Bibliography"/>
      </w:pPr>
      <w:r>
        <w:t xml:space="preserve">Delaux, P.-M., Radhakrishnan, G., &amp; Oldroyd, G. (2015). Tracing the evolutionary path to nitrogen-fixing crops.</w:t>
      </w:r>
      <w:r>
        <w:t xml:space="preserve"> </w:t>
      </w:r>
      <w:r>
        <w:rPr>
          <w:i/>
          <w:iCs/>
        </w:rPr>
        <w:t xml:space="preserve">Current Opinion in Plant Biology</w:t>
      </w:r>
      <w:r>
        <w:t xml:space="preserve">,</w:t>
      </w:r>
      <w:r>
        <w:t xml:space="preserve"> </w:t>
      </w:r>
      <w:r>
        <w:rPr>
          <w:i/>
          <w:iCs/>
        </w:rPr>
        <w:t xml:space="preserve">26</w:t>
      </w:r>
      <w:r>
        <w:t xml:space="preserve">, 95–99.</w:t>
      </w:r>
      <w:r>
        <w:t xml:space="preserve"> </w:t>
      </w:r>
      <w:hyperlink r:id="rId82">
        <w:r>
          <w:rPr>
            <w:rStyle w:val="Hyperlink"/>
          </w:rPr>
          <w:t xml:space="preserve">https://doi.org/10.1016/j.pbi.2015.06.003</w:t>
        </w:r>
      </w:hyperlink>
    </w:p>
    <w:bookmarkEnd w:id="83"/>
    <w:bookmarkStart w:id="85" w:name="ref-dong2024"/>
    <w:p>
      <w:pPr>
        <w:pStyle w:val="Bibliography"/>
      </w:pPr>
      <w:r>
        <w:t xml:space="preserve">Dong, C. M., Aponte Rolón, B., Sullivan, J. K., Tataru, D., Deleon, M., Dennis, R., Dutton, S., Machado Perez, F. J., Montano, L., &amp; Ferris, K. G. (2024).</w:t>
      </w:r>
      <w:r>
        <w:t xml:space="preserve"> </w:t>
      </w:r>
      <w:r>
        <w:rPr>
          <w:i/>
          <w:iCs/>
        </w:rPr>
        <w:t xml:space="preserve">Short-term fluctuating and long-term divergent selection on sympatric Monkeyflowers: insights from decade-spanning reciprocal transplants</w:t>
      </w:r>
      <w:r>
        <w:t xml:space="preserve">.</w:t>
      </w:r>
      <w:r>
        <w:t xml:space="preserve"> </w:t>
      </w:r>
      <w:hyperlink r:id="rId84">
        <w:r>
          <w:rPr>
            <w:rStyle w:val="Hyperlink"/>
          </w:rPr>
          <w:t xml:space="preserve">https://doi.org/10.1101/2024.06.26.600870</w:t>
        </w:r>
      </w:hyperlink>
    </w:p>
    <w:bookmarkEnd w:id="85"/>
    <w:bookmarkStart w:id="87" w:name="ref-edgar2015"/>
    <w:p>
      <w:pPr>
        <w:pStyle w:val="Bibliography"/>
      </w:pPr>
      <w:r>
        <w:t xml:space="preserve">Edgar, R. C., &amp; Flyvbjerg, H. (2015). Error filtering, pair assembly and error correction for next-generation sequencing reads.</w:t>
      </w:r>
      <w:r>
        <w:t xml:space="preserve"> </w:t>
      </w:r>
      <w:r>
        <w:rPr>
          <w:i/>
          <w:iCs/>
        </w:rPr>
        <w:t xml:space="preserve">Bioinformatics (Oxford, England)</w:t>
      </w:r>
      <w:r>
        <w:t xml:space="preserve">,</w:t>
      </w:r>
      <w:r>
        <w:t xml:space="preserve"> </w:t>
      </w:r>
      <w:r>
        <w:rPr>
          <w:i/>
          <w:iCs/>
        </w:rPr>
        <w:t xml:space="preserve">31</w:t>
      </w:r>
      <w:r>
        <w:t xml:space="preserve">(21), 3476–3482.</w:t>
      </w:r>
      <w:r>
        <w:t xml:space="preserve"> </w:t>
      </w:r>
      <w:hyperlink r:id="rId86">
        <w:r>
          <w:rPr>
            <w:rStyle w:val="Hyperlink"/>
          </w:rPr>
          <w:t xml:space="preserve">https://doi.org/10.1093/bioinformatics/btv401</w:t>
        </w:r>
      </w:hyperlink>
    </w:p>
    <w:bookmarkEnd w:id="87"/>
    <w:bookmarkStart w:id="89" w:name="ref-ewels2016"/>
    <w:p>
      <w:pPr>
        <w:pStyle w:val="Bibliography"/>
      </w:pPr>
      <w:r>
        <w:t xml:space="preserve">Ewels, P., Magnusson, M., Lundin, S., &amp; Käller, M. (2016). MultiQC: Summarize analysis results for multiple tools and samples in a single report.</w:t>
      </w:r>
      <w:r>
        <w:t xml:space="preserve"> </w:t>
      </w:r>
      <w:r>
        <w:rPr>
          <w:i/>
          <w:iCs/>
        </w:rPr>
        <w:t xml:space="preserve">Bioinformatics (Oxford, England)</w:t>
      </w:r>
      <w:r>
        <w:t xml:space="preserve">,</w:t>
      </w:r>
      <w:r>
        <w:t xml:space="preserve"> </w:t>
      </w:r>
      <w:r>
        <w:rPr>
          <w:i/>
          <w:iCs/>
        </w:rPr>
        <w:t xml:space="preserve">32</w:t>
      </w:r>
      <w:r>
        <w:t xml:space="preserve">(19), 3047–3048.</w:t>
      </w:r>
      <w:r>
        <w:t xml:space="preserve"> </w:t>
      </w:r>
      <w:hyperlink r:id="rId88">
        <w:r>
          <w:rPr>
            <w:rStyle w:val="Hyperlink"/>
          </w:rPr>
          <w:t xml:space="preserve">https://doi.org/10.1093/bioinformatics/btw354</w:t>
        </w:r>
      </w:hyperlink>
    </w:p>
    <w:bookmarkEnd w:id="89"/>
    <w:bookmarkStart w:id="91" w:name="ref-ferris2016"/>
    <w:p>
      <w:pPr>
        <w:pStyle w:val="Bibliography"/>
      </w:pPr>
      <w:r>
        <w:t xml:space="preserve">Ferris, K. G. (2016). A hot topic: The genetics of adaptation to geothermal vents in</w:t>
      </w:r>
      <w:r>
        <w:t xml:space="preserve"> </w:t>
      </w:r>
      <w:r>
        <w:rPr>
          <w:i/>
          <w:iCs/>
        </w:rPr>
        <w:t xml:space="preserve">Mimulus guttatus</w:t>
      </w:r>
      <w:r>
        <w:t xml:space="preserve">.</w:t>
      </w:r>
      <w:r>
        <w:t xml:space="preserve"> </w:t>
      </w:r>
      <w:r>
        <w:rPr>
          <w:i/>
          <w:iCs/>
        </w:rPr>
        <w:t xml:space="preserve">Molecular Ecology</w:t>
      </w:r>
      <w:r>
        <w:t xml:space="preserve">,</w:t>
      </w:r>
      <w:r>
        <w:t xml:space="preserve"> </w:t>
      </w:r>
      <w:r>
        <w:rPr>
          <w:i/>
          <w:iCs/>
        </w:rPr>
        <w:t xml:space="preserve">25</w:t>
      </w:r>
      <w:r>
        <w:t xml:space="preserve">(22), 5605–5607.</w:t>
      </w:r>
      <w:r>
        <w:t xml:space="preserve"> </w:t>
      </w:r>
      <w:hyperlink r:id="rId90">
        <w:r>
          <w:rPr>
            <w:rStyle w:val="Hyperlink"/>
          </w:rPr>
          <w:t xml:space="preserve">https://doi.org/10.1111/mec.13869</w:t>
        </w:r>
      </w:hyperlink>
    </w:p>
    <w:bookmarkEnd w:id="91"/>
    <w:bookmarkStart w:id="92" w:name="ref-ferris2014a"/>
    <w:p>
      <w:pPr>
        <w:pStyle w:val="Bibliography"/>
      </w:pPr>
      <w:r>
        <w:t xml:space="preserve">Ferris, K. G. (2014).</w:t>
      </w:r>
      <w:r>
        <w:t xml:space="preserve"> </w:t>
      </w:r>
      <w:r>
        <w:rPr>
          <w:i/>
          <w:iCs/>
        </w:rPr>
        <w:t xml:space="preserve">The Genetics of Adaptation to a Harsh Granite Outcrop Environment in</w:t>
      </w:r>
      <w:r>
        <w:rPr>
          <w:i/>
          <w:iCs/>
        </w:rPr>
        <w:t xml:space="preserve"> </w:t>
      </w:r>
      <w:r>
        <w:rPr>
          <w:i/>
          <w:i/>
          <w:iCs/>
          <w:iCs/>
        </w:rPr>
        <w:t xml:space="preserve">Mimulus</w:t>
      </w:r>
      <w:r>
        <w:t xml:space="preserve">.</w:t>
      </w:r>
    </w:p>
    <w:bookmarkEnd w:id="92"/>
    <w:bookmarkStart w:id="94" w:name="ref-ferris2015"/>
    <w:p>
      <w:pPr>
        <w:pStyle w:val="Bibliography"/>
      </w:pPr>
      <w:r>
        <w:t xml:space="preserve">Ferris, K. G., Rushton, T., Greenlee, A. B., Toll, K., Blackman, B. K., &amp; Willis, J. H. (2015). Leaf shape evolution has a similar genetic architecture in three edaphic specialists within the</w:t>
      </w:r>
      <w:r>
        <w:t xml:space="preserve"> </w:t>
      </w:r>
      <w:r>
        <w:rPr>
          <w:i/>
          <w:iCs/>
        </w:rPr>
        <w:t xml:space="preserve">Mimulus guttatus</w:t>
      </w:r>
      <w:r>
        <w:t xml:space="preserve"> </w:t>
      </w:r>
      <w:r>
        <w:t xml:space="preserve">species complex.</w:t>
      </w:r>
      <w:r>
        <w:t xml:space="preserve"> </w:t>
      </w:r>
      <w:r>
        <w:rPr>
          <w:i/>
          <w:iCs/>
        </w:rPr>
        <w:t xml:space="preserve">Annals of Botany</w:t>
      </w:r>
      <w:r>
        <w:t xml:space="preserve">,</w:t>
      </w:r>
      <w:r>
        <w:t xml:space="preserve"> </w:t>
      </w:r>
      <w:r>
        <w:rPr>
          <w:i/>
          <w:iCs/>
        </w:rPr>
        <w:t xml:space="preserve">116</w:t>
      </w:r>
      <w:r>
        <w:t xml:space="preserve">(2), 213–223.</w:t>
      </w:r>
      <w:r>
        <w:t xml:space="preserve"> </w:t>
      </w:r>
      <w:hyperlink r:id="rId93">
        <w:r>
          <w:rPr>
            <w:rStyle w:val="Hyperlink"/>
          </w:rPr>
          <w:t xml:space="preserve">https://doi.org/10.1093/aob/mcv080</w:t>
        </w:r>
      </w:hyperlink>
    </w:p>
    <w:bookmarkEnd w:id="94"/>
    <w:bookmarkStart w:id="96" w:name="ref-ferris2014"/>
    <w:p>
      <w:pPr>
        <w:pStyle w:val="Bibliography"/>
      </w:pPr>
      <w:r>
        <w:t xml:space="preserve">Ferris, K. G., Sexton, J. P., Willis, J. H., &amp; Ferris, K. G. (2014). Speciation on a local geographic scale: The evolution of a rare rock outcrop specialist in</w:t>
      </w:r>
      <w:r>
        <w:t xml:space="preserve"> </w:t>
      </w:r>
      <w:r>
        <w:rPr>
          <w:i/>
          <w:iCs/>
        </w:rPr>
        <w:t xml:space="preserve">Mimulus</w:t>
      </w:r>
      <w:r>
        <w:t xml:space="preserve">.</w:t>
      </w:r>
      <w:r>
        <w:t xml:space="preserve"> </w:t>
      </w:r>
      <w:r>
        <w:rPr>
          <w:i/>
          <w:iCs/>
        </w:rPr>
        <w:t xml:space="preserve">Philosophical Transactions of the Royal Society B: Biological Sciences</w:t>
      </w:r>
      <w:r>
        <w:t xml:space="preserve">,</w:t>
      </w:r>
      <w:r>
        <w:t xml:space="preserve"> </w:t>
      </w:r>
      <w:r>
        <w:rPr>
          <w:i/>
          <w:iCs/>
        </w:rPr>
        <w:t xml:space="preserve">369</w:t>
      </w:r>
      <w:r>
        <w:t xml:space="preserve">(1648), 27–29.</w:t>
      </w:r>
      <w:r>
        <w:t xml:space="preserve"> </w:t>
      </w:r>
      <w:hyperlink r:id="rId95">
        <w:r>
          <w:rPr>
            <w:rStyle w:val="Hyperlink"/>
          </w:rPr>
          <w:t xml:space="preserve">https://doi.org/10.1098/rstb.2014.0001</w:t>
        </w:r>
      </w:hyperlink>
    </w:p>
    <w:bookmarkEnd w:id="96"/>
    <w:bookmarkStart w:id="98" w:name="ref-ferris2018"/>
    <w:p>
      <w:pPr>
        <w:pStyle w:val="Bibliography"/>
      </w:pPr>
      <w:r>
        <w:t xml:space="preserve">Ferris, K. G., &amp; Willis, J. H. (2018). Differential adaptation to a harsh granite outcrop habitat between sympatric</w:t>
      </w:r>
      <w:r>
        <w:t xml:space="preserve"> </w:t>
      </w:r>
      <w:r>
        <w:rPr>
          <w:i/>
          <w:iCs/>
        </w:rPr>
        <w:t xml:space="preserve">Mimulus</w:t>
      </w:r>
      <w:r>
        <w:t xml:space="preserve"> </w:t>
      </w:r>
      <w:r>
        <w:t xml:space="preserve">species.</w:t>
      </w:r>
      <w:r>
        <w:t xml:space="preserve"> </w:t>
      </w:r>
      <w:r>
        <w:rPr>
          <w:i/>
          <w:iCs/>
        </w:rPr>
        <w:t xml:space="preserve">Evolution; International Journal of Organic Evolution</w:t>
      </w:r>
      <w:r>
        <w:t xml:space="preserve">,</w:t>
      </w:r>
      <w:r>
        <w:t xml:space="preserve"> </w:t>
      </w:r>
      <w:r>
        <w:rPr>
          <w:i/>
          <w:iCs/>
        </w:rPr>
        <w:t xml:space="preserve">72</w:t>
      </w:r>
      <w:r>
        <w:t xml:space="preserve">(6), 1225–1241.</w:t>
      </w:r>
      <w:r>
        <w:t xml:space="preserve"> </w:t>
      </w:r>
      <w:hyperlink r:id="rId97">
        <w:r>
          <w:rPr>
            <w:rStyle w:val="Hyperlink"/>
          </w:rPr>
          <w:t xml:space="preserve">https://doi.org/10.1111/evo.13476</w:t>
        </w:r>
      </w:hyperlink>
    </w:p>
    <w:bookmarkEnd w:id="98"/>
    <w:bookmarkStart w:id="100" w:name="ref-field2015"/>
    <w:p>
      <w:pPr>
        <w:pStyle w:val="Bibliography"/>
      </w:pPr>
      <w:r>
        <w:t xml:space="preserve">Field, K. J., Pressel, S., Duckett, J. G., Rimington, W. R., &amp; Bidartondo, M. I. (2015). Symbiotic options for the conquest of land.</w:t>
      </w:r>
      <w:r>
        <w:t xml:space="preserve"> </w:t>
      </w:r>
      <w:r>
        <w:rPr>
          <w:i/>
          <w:iCs/>
        </w:rPr>
        <w:t xml:space="preserve">Trends in Ecology &amp; Evolution</w:t>
      </w:r>
      <w:r>
        <w:t xml:space="preserve">,</w:t>
      </w:r>
      <w:r>
        <w:t xml:space="preserve"> </w:t>
      </w:r>
      <w:r>
        <w:rPr>
          <w:i/>
          <w:iCs/>
        </w:rPr>
        <w:t xml:space="preserve">30</w:t>
      </w:r>
      <w:r>
        <w:t xml:space="preserve">(8), 477–486.</w:t>
      </w:r>
      <w:r>
        <w:t xml:space="preserve"> </w:t>
      </w:r>
      <w:hyperlink r:id="rId99">
        <w:r>
          <w:rPr>
            <w:rStyle w:val="Hyperlink"/>
          </w:rPr>
          <w:t xml:space="preserve">https://doi.org/10.1016/j.tree.2015.05.007</w:t>
        </w:r>
      </w:hyperlink>
    </w:p>
    <w:bookmarkEnd w:id="100"/>
    <w:bookmarkStart w:id="102" w:name="ref-gardes1993"/>
    <w:p>
      <w:pPr>
        <w:pStyle w:val="Bibliography"/>
      </w:pPr>
      <w:r>
        <w:t xml:space="preserve">Gardes, M., &amp; Bruns, T. D. (1993). ITS primers with enhanced specificity for basidiomycetes ‐ application to the identification of mycorrhizae and rusts.</w:t>
      </w:r>
      <w:r>
        <w:t xml:space="preserve"> </w:t>
      </w:r>
      <w:r>
        <w:rPr>
          <w:i/>
          <w:iCs/>
        </w:rPr>
        <w:t xml:space="preserve">Molecular Ecology</w:t>
      </w:r>
      <w:r>
        <w:t xml:space="preserve">,</w:t>
      </w:r>
      <w:r>
        <w:t xml:space="preserve"> </w:t>
      </w:r>
      <w:r>
        <w:rPr>
          <w:i/>
          <w:iCs/>
        </w:rPr>
        <w:t xml:space="preserve">2</w:t>
      </w:r>
      <w:r>
        <w:t xml:space="preserve">(2), 113–118.</w:t>
      </w:r>
      <w:r>
        <w:t xml:space="preserve"> </w:t>
      </w:r>
      <w:hyperlink r:id="rId101">
        <w:r>
          <w:rPr>
            <w:rStyle w:val="Hyperlink"/>
          </w:rPr>
          <w:t xml:space="preserve">https://doi.org/10.1111/j.1365-294X.1993.tb00005.x</w:t>
        </w:r>
      </w:hyperlink>
    </w:p>
    <w:bookmarkEnd w:id="102"/>
    <w:bookmarkStart w:id="104" w:name="ref-giauque2019"/>
    <w:p>
      <w:pPr>
        <w:pStyle w:val="Bibliography"/>
      </w:pPr>
      <w:r>
        <w:t xml:space="preserve">Giauque, H., Connor, E. W., &amp; Hawkes, C. V. (2019). Endophyte traits relevant to stress tolerance, resource use and habitat of origin predict effects on host plants.</w:t>
      </w:r>
      <w:r>
        <w:t xml:space="preserve"> </w:t>
      </w:r>
      <w:r>
        <w:rPr>
          <w:i/>
          <w:iCs/>
        </w:rPr>
        <w:t xml:space="preserve">New Phytologist</w:t>
      </w:r>
      <w:r>
        <w:t xml:space="preserve">,</w:t>
      </w:r>
      <w:r>
        <w:t xml:space="preserve"> </w:t>
      </w:r>
      <w:r>
        <w:rPr>
          <w:i/>
          <w:iCs/>
        </w:rPr>
        <w:t xml:space="preserve">221</w:t>
      </w:r>
      <w:r>
        <w:t xml:space="preserve">(4), 2239–2249.</w:t>
      </w:r>
      <w:r>
        <w:t xml:space="preserve"> </w:t>
      </w:r>
      <w:hyperlink r:id="rId103">
        <w:r>
          <w:rPr>
            <w:rStyle w:val="Hyperlink"/>
          </w:rPr>
          <w:t xml:space="preserve">https://doi.org/10.1111/nph.15504</w:t>
        </w:r>
      </w:hyperlink>
    </w:p>
    <w:bookmarkEnd w:id="104"/>
    <w:bookmarkStart w:id="106" w:name="ref-giauque2013"/>
    <w:p>
      <w:pPr>
        <w:pStyle w:val="Bibliography"/>
      </w:pPr>
      <w:r>
        <w:t xml:space="preserve">Giauque, H., &amp; Hawkes, C. V. (2013). Climate affects symbiotic fungal endophyte diversity and performance.</w:t>
      </w:r>
      <w:r>
        <w:t xml:space="preserve"> </w:t>
      </w:r>
      <w:r>
        <w:rPr>
          <w:i/>
          <w:iCs/>
        </w:rPr>
        <w:t xml:space="preserve">American Journal of Botany</w:t>
      </w:r>
      <w:r>
        <w:t xml:space="preserve">,</w:t>
      </w:r>
      <w:r>
        <w:t xml:space="preserve"> </w:t>
      </w:r>
      <w:r>
        <w:rPr>
          <w:i/>
          <w:iCs/>
        </w:rPr>
        <w:t xml:space="preserve">100</w:t>
      </w:r>
      <w:r>
        <w:t xml:space="preserve">(7), 1435–1444.</w:t>
      </w:r>
      <w:r>
        <w:t xml:space="preserve"> </w:t>
      </w:r>
      <w:hyperlink r:id="rId105">
        <w:r>
          <w:rPr>
            <w:rStyle w:val="Hyperlink"/>
          </w:rPr>
          <w:t xml:space="preserve">https://doi.org/10.3732/ajb.1200568</w:t>
        </w:r>
      </w:hyperlink>
    </w:p>
    <w:bookmarkEnd w:id="106"/>
    <w:bookmarkStart w:id="108" w:name="ref-gould2004"/>
    <w:p>
      <w:pPr>
        <w:pStyle w:val="Bibliography"/>
      </w:pPr>
      <w:r>
        <w:t xml:space="preserve">Gould, K. S. (2004). Nature′s Swiss Army Knife: The Diverse Protective Roles of Anthocyanins in Leaves.</w:t>
      </w:r>
      <w:r>
        <w:t xml:space="preserve"> </w:t>
      </w:r>
      <w:r>
        <w:rPr>
          <w:i/>
          <w:iCs/>
        </w:rPr>
        <w:t xml:space="preserve">BioMed Research International</w:t>
      </w:r>
      <w:r>
        <w:t xml:space="preserve">,</w:t>
      </w:r>
      <w:r>
        <w:t xml:space="preserve"> </w:t>
      </w:r>
      <w:r>
        <w:rPr>
          <w:i/>
          <w:iCs/>
        </w:rPr>
        <w:t xml:space="preserve">2004</w:t>
      </w:r>
      <w:r>
        <w:t xml:space="preserve">(5), 314–320.</w:t>
      </w:r>
      <w:r>
        <w:t xml:space="preserve"> </w:t>
      </w:r>
      <w:hyperlink r:id="rId107">
        <w:r>
          <w:rPr>
            <w:rStyle w:val="Hyperlink"/>
          </w:rPr>
          <w:t xml:space="preserve">https://doi.org/10.1155/S1110724304406147</w:t>
        </w:r>
      </w:hyperlink>
    </w:p>
    <w:bookmarkEnd w:id="108"/>
    <w:bookmarkStart w:id="110" w:name="ref-hartfield2017"/>
    <w:p>
      <w:pPr>
        <w:pStyle w:val="Bibliography"/>
      </w:pPr>
      <w:r>
        <w:t xml:space="preserve">Hartfield, M., Bataillon, T., &amp; Glémin, S. (2017). The Evolutionary Interplay between Adaptation and Self-Fertilization.</w:t>
      </w:r>
      <w:r>
        <w:t xml:space="preserve"> </w:t>
      </w:r>
      <w:r>
        <w:rPr>
          <w:i/>
          <w:iCs/>
        </w:rPr>
        <w:t xml:space="preserve">Trends in Genetics</w:t>
      </w:r>
      <w:r>
        <w:t xml:space="preserve">,</w:t>
      </w:r>
      <w:r>
        <w:t xml:space="preserve"> </w:t>
      </w:r>
      <w:r>
        <w:rPr>
          <w:i/>
          <w:iCs/>
        </w:rPr>
        <w:t xml:space="preserve">33</w:t>
      </w:r>
      <w:r>
        <w:t xml:space="preserve">(6), 420–431.</w:t>
      </w:r>
      <w:r>
        <w:t xml:space="preserve"> </w:t>
      </w:r>
      <w:hyperlink r:id="rId109">
        <w:r>
          <w:rPr>
            <w:rStyle w:val="Hyperlink"/>
          </w:rPr>
          <w:t xml:space="preserve">https://doi.org/10.1016/j.tig.2017.04.002</w:t>
        </w:r>
      </w:hyperlink>
    </w:p>
    <w:bookmarkEnd w:id="110"/>
    <w:bookmarkStart w:id="112" w:name="ref-higgins2014"/>
    <w:p>
      <w:pPr>
        <w:pStyle w:val="Bibliography"/>
      </w:pPr>
      <w:r>
        <w:t xml:space="preserve">Higgins, K. L., Arnold, A. E., Coley, P. D., &amp; Kursar, T. A. (2014). Communities of fungal endophytes in tropical forest grasses: Highly diverse host- and habitat generalists characterized by strong spatial structure.</w:t>
      </w:r>
      <w:r>
        <w:t xml:space="preserve"> </w:t>
      </w:r>
      <w:r>
        <w:rPr>
          <w:i/>
          <w:iCs/>
        </w:rPr>
        <w:t xml:space="preserve">Fungal Ecology</w:t>
      </w:r>
      <w:r>
        <w:t xml:space="preserve">,</w:t>
      </w:r>
      <w:r>
        <w:t xml:space="preserve"> </w:t>
      </w:r>
      <w:r>
        <w:rPr>
          <w:i/>
          <w:iCs/>
        </w:rPr>
        <w:t xml:space="preserve">8</w:t>
      </w:r>
      <w:r>
        <w:t xml:space="preserve">(1), 1–11.</w:t>
      </w:r>
      <w:r>
        <w:t xml:space="preserve"> </w:t>
      </w:r>
      <w:hyperlink r:id="rId111">
        <w:r>
          <w:rPr>
            <w:rStyle w:val="Hyperlink"/>
          </w:rPr>
          <w:t xml:space="preserve">https://doi.org/10.1016/j.funeco.2013.12.005</w:t>
        </w:r>
      </w:hyperlink>
    </w:p>
    <w:bookmarkEnd w:id="112"/>
    <w:bookmarkStart w:id="113" w:name="ref-hijmans2022"/>
    <w:p>
      <w:pPr>
        <w:pStyle w:val="Bibliography"/>
      </w:pPr>
      <w:r>
        <w:t xml:space="preserve">Hijmans, R. J. (2022).</w:t>
      </w:r>
      <w:r>
        <w:t xml:space="preserve"> </w:t>
      </w:r>
      <w:r>
        <w:rPr>
          <w:i/>
          <w:iCs/>
        </w:rPr>
        <w:t xml:space="preserve">geosphere: Spherical trigonometry</w:t>
      </w:r>
      <w:r>
        <w:t xml:space="preserve"> </w:t>
      </w:r>
      <w:r>
        <w:t xml:space="preserve">(Versions R package version 1.5-18) [Computer software].</w:t>
      </w:r>
    </w:p>
    <w:bookmarkEnd w:id="113"/>
    <w:bookmarkStart w:id="115" w:name="ref-horton2014"/>
    <w:p>
      <w:pPr>
        <w:pStyle w:val="Bibliography"/>
      </w:pPr>
      <w:r>
        <w:t xml:space="preserve">Horton, M. W., Bodenhausen, N., Beilsmith, K., Meng, D., Muegge, B. D., Subramanian, S., Vetter, M. M., Vilhjálmsson, B. J., Nordborg, M., Gordon, J. I., &amp; Bergelson, J. (2014). Genome-wide association study of</w:t>
      </w:r>
      <w:r>
        <w:t xml:space="preserve"> </w:t>
      </w:r>
      <w:r>
        <w:rPr>
          <w:i/>
          <w:iCs/>
        </w:rPr>
        <w:t xml:space="preserve">Arabidopsis thaliana</w:t>
      </w:r>
      <w:r>
        <w:t xml:space="preserve"> </w:t>
      </w:r>
      <w:r>
        <w:t xml:space="preserve">leaf microbial community.</w:t>
      </w:r>
      <w:r>
        <w:t xml:space="preserve"> </w:t>
      </w:r>
      <w:r>
        <w:rPr>
          <w:i/>
          <w:iCs/>
        </w:rPr>
        <w:t xml:space="preserve">Nature Communications</w:t>
      </w:r>
      <w:r>
        <w:t xml:space="preserve">,</w:t>
      </w:r>
      <w:r>
        <w:t xml:space="preserve"> </w:t>
      </w:r>
      <w:r>
        <w:rPr>
          <w:i/>
          <w:iCs/>
        </w:rPr>
        <w:t xml:space="preserve">5</w:t>
      </w:r>
      <w:r>
        <w:t xml:space="preserve">(May), 1–7.</w:t>
      </w:r>
      <w:r>
        <w:t xml:space="preserve"> </w:t>
      </w:r>
      <w:hyperlink r:id="rId114">
        <w:r>
          <w:rPr>
            <w:rStyle w:val="Hyperlink"/>
          </w:rPr>
          <w:t xml:space="preserve">https://doi.org/10.1038/ncomms6320</w:t>
        </w:r>
      </w:hyperlink>
    </w:p>
    <w:bookmarkEnd w:id="115"/>
    <w:bookmarkStart w:id="117" w:name="ref-jimenez-hernandez2020"/>
    <w:p>
      <w:pPr>
        <w:pStyle w:val="Bibliography"/>
      </w:pPr>
      <w:r>
        <w:t xml:space="preserve">Jiménez-Hernández, V. S., Villegas-Guzmán, G. A., Casasola-González, J. A., &amp; Vargas-Mendoza, C. F. (2020). Altitudinal distribution of alpha, beta, and gamma diversity of pseudoscorpions (Arachnida) in Oaxaca, Mexico.</w:t>
      </w:r>
      <w:r>
        <w:t xml:space="preserve"> </w:t>
      </w:r>
      <w:r>
        <w:rPr>
          <w:i/>
          <w:iCs/>
        </w:rPr>
        <w:t xml:space="preserve">Acta Oecologica</w:t>
      </w:r>
      <w:r>
        <w:t xml:space="preserve">,</w:t>
      </w:r>
      <w:r>
        <w:t xml:space="preserve"> </w:t>
      </w:r>
      <w:r>
        <w:rPr>
          <w:i/>
          <w:iCs/>
        </w:rPr>
        <w:t xml:space="preserve">103</w:t>
      </w:r>
      <w:r>
        <w:t xml:space="preserve">, 103525.</w:t>
      </w:r>
      <w:r>
        <w:t xml:space="preserve"> </w:t>
      </w:r>
      <w:hyperlink r:id="rId116">
        <w:r>
          <w:rPr>
            <w:rStyle w:val="Hyperlink"/>
          </w:rPr>
          <w:t xml:space="preserve">https://doi.org/10.1016/j.actao.2020.103525</w:t>
        </w:r>
      </w:hyperlink>
    </w:p>
    <w:bookmarkEnd w:id="117"/>
    <w:bookmarkStart w:id="119" w:name="ref-karasov2024"/>
    <w:p>
      <w:pPr>
        <w:pStyle w:val="Bibliography"/>
      </w:pPr>
      <w:r>
        <w:t xml:space="preserve">Karasov, T. L., Neumann, M., Leventhal, L., Symeonidi, E., Shirsekar, G., Hawks, A., Monroe, G., Pathodopsis Team, Barragán, A. C., Bezrukov, I., Friedemann, C., González Hernando, A., Habring, A., Hildebrandt, J., Kersten, S., Lang, P., Latorre, S. M., Lucke, M., Lundberg, D. S., … Schwab, R. (2024). Continental-scale associations of Arabidopsis thaliana phyllosphere members with host genotype and drought.</w:t>
      </w:r>
      <w:r>
        <w:t xml:space="preserve"> </w:t>
      </w:r>
      <w:r>
        <w:rPr>
          <w:i/>
          <w:iCs/>
        </w:rPr>
        <w:t xml:space="preserve">Nature Microbiology</w:t>
      </w:r>
      <w:r>
        <w:t xml:space="preserve">,</w:t>
      </w:r>
      <w:r>
        <w:t xml:space="preserve"> </w:t>
      </w:r>
      <w:r>
        <w:rPr>
          <w:i/>
          <w:iCs/>
        </w:rPr>
        <w:t xml:space="preserve">9</w:t>
      </w:r>
      <w:r>
        <w:t xml:space="preserve">(10), 2748–2758.</w:t>
      </w:r>
      <w:r>
        <w:t xml:space="preserve"> </w:t>
      </w:r>
      <w:hyperlink r:id="rId118">
        <w:r>
          <w:rPr>
            <w:rStyle w:val="Hyperlink"/>
          </w:rPr>
          <w:t xml:space="preserve">https://doi.org/10.1038/s41564-024-01773-z</w:t>
        </w:r>
      </w:hyperlink>
    </w:p>
    <w:bookmarkEnd w:id="119"/>
    <w:bookmarkStart w:id="121" w:name="ref-kassambara2023"/>
    <w:p>
      <w:pPr>
        <w:pStyle w:val="Bibliography"/>
      </w:pPr>
      <w:r>
        <w:t xml:space="preserve">Kassambara, A. (2023).</w:t>
      </w:r>
      <w:r>
        <w:t xml:space="preserve"> </w:t>
      </w:r>
      <w:r>
        <w:rPr>
          <w:i/>
          <w:iCs/>
        </w:rPr>
        <w:t xml:space="preserve">ggpubr:</w:t>
      </w:r>
      <w:r>
        <w:rPr>
          <w:i/>
          <w:iCs/>
        </w:rPr>
        <w:t xml:space="preserve"> </w:t>
      </w:r>
      <w:r>
        <w:rPr>
          <w:i/>
          <w:iCs/>
        </w:rPr>
        <w:t xml:space="preserve">“ggplot2”</w:t>
      </w:r>
      <w:r>
        <w:rPr>
          <w:i/>
          <w:iCs/>
        </w:rPr>
        <w:t xml:space="preserve"> </w:t>
      </w:r>
      <w:r>
        <w:rPr>
          <w:i/>
          <w:iCs/>
        </w:rPr>
        <w:t xml:space="preserve">Based Publication Ready Plots</w:t>
      </w:r>
      <w:r>
        <w:t xml:space="preserve"> </w:t>
      </w:r>
      <w:r>
        <w:t xml:space="preserve">(Versions R package version 0.6.0) [Computer software].</w:t>
      </w:r>
      <w:r>
        <w:t xml:space="preserve"> </w:t>
      </w:r>
      <w:hyperlink r:id="rId120">
        <w:r>
          <w:rPr>
            <w:rStyle w:val="Hyperlink"/>
          </w:rPr>
          <w:t xml:space="preserve">https://rpkgs.datanovia.com/ggpubr/</w:t>
        </w:r>
      </w:hyperlink>
    </w:p>
    <w:bookmarkEnd w:id="121"/>
    <w:bookmarkStart w:id="123" w:name="ref-kazenel2019"/>
    <w:p>
      <w:pPr>
        <w:pStyle w:val="Bibliography"/>
      </w:pPr>
      <w:r>
        <w:t xml:space="preserve">Kazenel, M. R., Kivlin, S. N., Taylor, D. L., Lynn, J. S., &amp; Rudgers, J. A. (2019). Altitudinal gradients fail to predict fungal symbiont responses to warming.</w:t>
      </w:r>
      <w:r>
        <w:t xml:space="preserve"> </w:t>
      </w:r>
      <w:r>
        <w:rPr>
          <w:i/>
          <w:iCs/>
        </w:rPr>
        <w:t xml:space="preserve">Ecology</w:t>
      </w:r>
      <w:r>
        <w:t xml:space="preserve">,</w:t>
      </w:r>
      <w:r>
        <w:t xml:space="preserve"> </w:t>
      </w:r>
      <w:r>
        <w:rPr>
          <w:i/>
          <w:iCs/>
        </w:rPr>
        <w:t xml:space="preserve">100</w:t>
      </w:r>
      <w:r>
        <w:t xml:space="preserve">(8).</w:t>
      </w:r>
      <w:r>
        <w:t xml:space="preserve"> </w:t>
      </w:r>
      <w:hyperlink r:id="rId122">
        <w:r>
          <w:rPr>
            <w:rStyle w:val="Hyperlink"/>
          </w:rPr>
          <w:t xml:space="preserve">https://doi.org/10.1002/ecy.2740</w:t>
        </w:r>
      </w:hyperlink>
    </w:p>
    <w:bookmarkEnd w:id="123"/>
    <w:bookmarkStart w:id="125" w:name="ref-kivlin2022"/>
    <w:p>
      <w:pPr>
        <w:pStyle w:val="Bibliography"/>
      </w:pPr>
      <w:r>
        <w:t xml:space="preserve">Kivlin, S. N., Mann, M. A., Lynn, J. S., Kazenel, M. R., Taylor, D. L., &amp; Rudgers, J. A. (2022). Grass species identity shapes communities of root and leaf fungi more than elevation.</w:t>
      </w:r>
      <w:r>
        <w:t xml:space="preserve"> </w:t>
      </w:r>
      <w:r>
        <w:rPr>
          <w:i/>
          <w:iCs/>
        </w:rPr>
        <w:t xml:space="preserve">ISME Communications</w:t>
      </w:r>
      <w:r>
        <w:t xml:space="preserve">,</w:t>
      </w:r>
      <w:r>
        <w:t xml:space="preserve"> </w:t>
      </w:r>
      <w:r>
        <w:rPr>
          <w:i/>
          <w:iCs/>
        </w:rPr>
        <w:t xml:space="preserve">2</w:t>
      </w:r>
      <w:r>
        <w:t xml:space="preserve">(1), 25.</w:t>
      </w:r>
      <w:r>
        <w:t xml:space="preserve"> </w:t>
      </w:r>
      <w:hyperlink r:id="rId124">
        <w:r>
          <w:rPr>
            <w:rStyle w:val="Hyperlink"/>
          </w:rPr>
          <w:t xml:space="preserve">https://doi.org/10.1038/s43705-022-00107-6</w:t>
        </w:r>
      </w:hyperlink>
    </w:p>
    <w:bookmarkEnd w:id="125"/>
    <w:bookmarkStart w:id="127" w:name="ref-kraft2011"/>
    <w:p>
      <w:pPr>
        <w:pStyle w:val="Bibliography"/>
      </w:pPr>
      <w:r>
        <w:t xml:space="preserve">Kraft, N. J. B., Comita, L. S., Chase, J. M., Sanders, N. J., Swenson, N. G., Crist, T. O., Stegen, J. C., Vellend, M., Boyle, B., Anderson, M. J., Cornell, H. V., Davies, K. F., Freestone, A. L., Inouye, B. D., Harrison, S. P., &amp; Myers, J. A. (2011). Disentangling the Drivers of β Diversity Along Latitudinal and Elevational Gradients.</w:t>
      </w:r>
      <w:r>
        <w:t xml:space="preserve"> </w:t>
      </w:r>
      <w:r>
        <w:rPr>
          <w:i/>
          <w:iCs/>
        </w:rPr>
        <w:t xml:space="preserve">Science</w:t>
      </w:r>
      <w:r>
        <w:t xml:space="preserve">,</w:t>
      </w:r>
      <w:r>
        <w:t xml:space="preserve"> </w:t>
      </w:r>
      <w:r>
        <w:rPr>
          <w:i/>
          <w:iCs/>
        </w:rPr>
        <w:t xml:space="preserve">333</w:t>
      </w:r>
      <w:r>
        <w:t xml:space="preserve">(6050), 1755–1758.</w:t>
      </w:r>
      <w:r>
        <w:t xml:space="preserve"> </w:t>
      </w:r>
      <w:hyperlink r:id="rId126">
        <w:r>
          <w:rPr>
            <w:rStyle w:val="Hyperlink"/>
          </w:rPr>
          <w:t xml:space="preserve">https://doi.org/10.1126/science.1208584</w:t>
        </w:r>
      </w:hyperlink>
    </w:p>
    <w:bookmarkEnd w:id="127"/>
    <w:bookmarkStart w:id="128" w:name="ref-lahti2012"/>
    <w:p>
      <w:pPr>
        <w:pStyle w:val="Bibliography"/>
      </w:pPr>
      <w:r>
        <w:t xml:space="preserve">Lahti, L., &amp; Shetty, S. (2012–2019).</w:t>
      </w:r>
      <w:r>
        <w:t xml:space="preserve"> </w:t>
      </w:r>
      <w:r>
        <w:rPr>
          <w:i/>
          <w:iCs/>
        </w:rPr>
        <w:t xml:space="preserve">microbiome R package</w:t>
      </w:r>
      <w:r>
        <w:t xml:space="preserve">.</w:t>
      </w:r>
    </w:p>
    <w:bookmarkEnd w:id="128"/>
    <w:bookmarkStart w:id="130" w:name="ref-legendre1999"/>
    <w:p>
      <w:pPr>
        <w:pStyle w:val="Bibliography"/>
      </w:pPr>
      <w:r>
        <w:t xml:space="preserve">Legendre, P., &amp; Anderson, M. J. (1999). Distance-based redundancy analysis: Testing multispecies responses in multifactorial ecological experiments.</w:t>
      </w:r>
      <w:r>
        <w:t xml:space="preserve"> </w:t>
      </w:r>
      <w:r>
        <w:rPr>
          <w:i/>
          <w:iCs/>
        </w:rPr>
        <w:t xml:space="preserve">Ecological Monographs</w:t>
      </w:r>
      <w:r>
        <w:t xml:space="preserve">,</w:t>
      </w:r>
      <w:r>
        <w:t xml:space="preserve"> </w:t>
      </w:r>
      <w:r>
        <w:rPr>
          <w:i/>
          <w:iCs/>
        </w:rPr>
        <w:t xml:space="preserve">69</w:t>
      </w:r>
      <w:r>
        <w:t xml:space="preserve">(1), 1–24.</w:t>
      </w:r>
      <w:r>
        <w:t xml:space="preserve"> </w:t>
      </w:r>
      <w:hyperlink r:id="rId129">
        <w:r>
          <w:rPr>
            <w:rStyle w:val="Hyperlink"/>
          </w:rPr>
          <w:t xml:space="preserve">https://doi.org/10.1890/0012-9615(1999)069[0001:DBRATM]2.0.CO;2</w:t>
        </w:r>
      </w:hyperlink>
    </w:p>
    <w:bookmarkEnd w:id="130"/>
    <w:bookmarkStart w:id="131" w:name="ref-legendre2012"/>
    <w:p>
      <w:pPr>
        <w:pStyle w:val="Bibliography"/>
      </w:pPr>
      <w:r>
        <w:t xml:space="preserve">Legendre, P., &amp; Legendre, L. (2012).</w:t>
      </w:r>
      <w:r>
        <w:t xml:space="preserve"> </w:t>
      </w:r>
      <w:r>
        <w:rPr>
          <w:i/>
          <w:iCs/>
        </w:rPr>
        <w:t xml:space="preserve">Numerical ecology</w:t>
      </w:r>
      <w:r>
        <w:t xml:space="preserve"> </w:t>
      </w:r>
      <w:r>
        <w:t xml:space="preserve">(No. 24; 3d English edition). Elsevier.</w:t>
      </w:r>
    </w:p>
    <w:bookmarkEnd w:id="131"/>
    <w:bookmarkStart w:id="133" w:name="ref-legendre2011"/>
    <w:p>
      <w:pPr>
        <w:pStyle w:val="Bibliography"/>
      </w:pPr>
      <w:r>
        <w:t xml:space="preserve">Legendre, P., Oksanen, J., &amp; Ter Braak, C. J. F. (2011). Testing the significance of canonical axes in redundancy analysis.</w:t>
      </w:r>
      <w:r>
        <w:t xml:space="preserve"> </w:t>
      </w:r>
      <w:r>
        <w:rPr>
          <w:i/>
          <w:iCs/>
        </w:rPr>
        <w:t xml:space="preserve">Methods in Ecology and Evolution</w:t>
      </w:r>
      <w:r>
        <w:t xml:space="preserve">,</w:t>
      </w:r>
      <w:r>
        <w:t xml:space="preserve"> </w:t>
      </w:r>
      <w:r>
        <w:rPr>
          <w:i/>
          <w:iCs/>
        </w:rPr>
        <w:t xml:space="preserve">2</w:t>
      </w:r>
      <w:r>
        <w:t xml:space="preserve">(3), 269–277.</w:t>
      </w:r>
      <w:r>
        <w:t xml:space="preserve"> </w:t>
      </w:r>
      <w:hyperlink r:id="rId132">
        <w:r>
          <w:rPr>
            <w:rStyle w:val="Hyperlink"/>
          </w:rPr>
          <w:t xml:space="preserve">https://doi.org/10.1111/j.2041-210X.2010.00078.x</w:t>
        </w:r>
      </w:hyperlink>
    </w:p>
    <w:bookmarkEnd w:id="133"/>
    <w:bookmarkStart w:id="135" w:name="ref-liu2023"/>
    <w:p>
      <w:pPr>
        <w:pStyle w:val="Bibliography"/>
      </w:pPr>
      <w:r>
        <w:t xml:space="preserve">Liu, D., Li, Q., Luo, J., Huang, Q., &amp; Zhang, Y. (2023). An SPRI beads-based DNA purification strategy for flexibility and cost-effectiveness.</w:t>
      </w:r>
      <w:r>
        <w:t xml:space="preserve"> </w:t>
      </w:r>
      <w:r>
        <w:rPr>
          <w:i/>
          <w:iCs/>
        </w:rPr>
        <w:t xml:space="preserve">BMC Genomics</w:t>
      </w:r>
      <w:r>
        <w:t xml:space="preserve">,</w:t>
      </w:r>
      <w:r>
        <w:t xml:space="preserve"> </w:t>
      </w:r>
      <w:r>
        <w:rPr>
          <w:i/>
          <w:iCs/>
        </w:rPr>
        <w:t xml:space="preserve">24</w:t>
      </w:r>
      <w:r>
        <w:t xml:space="preserve">(1), 125.</w:t>
      </w:r>
      <w:r>
        <w:t xml:space="preserve"> </w:t>
      </w:r>
      <w:hyperlink r:id="rId134">
        <w:r>
          <w:rPr>
            <w:rStyle w:val="Hyperlink"/>
          </w:rPr>
          <w:t xml:space="preserve">https://doi.org/10.1186/s12864-023-09211-w</w:t>
        </w:r>
      </w:hyperlink>
    </w:p>
    <w:bookmarkEnd w:id="135"/>
    <w:bookmarkStart w:id="137" w:name="ref-love2024"/>
    <w:p>
      <w:pPr>
        <w:pStyle w:val="Bibliography"/>
      </w:pPr>
      <w:r>
        <w:t xml:space="preserve">Love, J. M., &amp; Ferris, K. G. (2024). Local adaptation to an altitudinal gradient: The interplay between mean phenotypic trait variation and phenotypic plasticity in Mimulus laciniatus.</w:t>
      </w:r>
      <w:r>
        <w:t xml:space="preserve"> </w:t>
      </w:r>
      <w:r>
        <w:rPr>
          <w:i/>
          <w:iCs/>
        </w:rPr>
        <w:t xml:space="preserve">Perspectives in Plant Ecology, Evolution and Systematics</w:t>
      </w:r>
      <w:r>
        <w:t xml:space="preserve">,</w:t>
      </w:r>
      <w:r>
        <w:t xml:space="preserve"> </w:t>
      </w:r>
      <w:r>
        <w:rPr>
          <w:i/>
          <w:iCs/>
        </w:rPr>
        <w:t xml:space="preserve">63</w:t>
      </w:r>
      <w:r>
        <w:t xml:space="preserve">, 125795.</w:t>
      </w:r>
      <w:r>
        <w:t xml:space="preserve"> </w:t>
      </w:r>
      <w:hyperlink r:id="rId136">
        <w:r>
          <w:rPr>
            <w:rStyle w:val="Hyperlink"/>
          </w:rPr>
          <w:t xml:space="preserve">https://doi.org/10.1016/j.ppees.2024.125795</w:t>
        </w:r>
      </w:hyperlink>
    </w:p>
    <w:bookmarkEnd w:id="137"/>
    <w:bookmarkStart w:id="139" w:name="ref-love2025"/>
    <w:p>
      <w:pPr>
        <w:pStyle w:val="Bibliography"/>
      </w:pPr>
      <w:r>
        <w:t xml:space="preserve">Love, J. M., &amp; Ferris, K. G. (2026). Phenotypic plasticity is broadly adaptive across an elevation gradient in the Cutleaf Monkeyflower.</w:t>
      </w:r>
      <w:r>
        <w:t xml:space="preserve"> </w:t>
      </w:r>
      <w:r>
        <w:rPr>
          <w:i/>
          <w:iCs/>
        </w:rPr>
        <w:t xml:space="preserve">New Phytologist</w:t>
      </w:r>
      <w:r>
        <w:t xml:space="preserve">.</w:t>
      </w:r>
      <w:r>
        <w:t xml:space="preserve"> </w:t>
      </w:r>
      <w:hyperlink r:id="rId138">
        <w:r>
          <w:rPr>
            <w:rStyle w:val="Hyperlink"/>
          </w:rPr>
          <w:t xml:space="preserve">https://doi.org/10.1111/nph.71365</w:t>
        </w:r>
      </w:hyperlink>
    </w:p>
    <w:bookmarkEnd w:id="139"/>
    <w:bookmarkStart w:id="141" w:name="ref-love2026"/>
    <w:p>
      <w:pPr>
        <w:pStyle w:val="Bibliography"/>
      </w:pPr>
      <w:r>
        <w:t xml:space="preserve">Love, J. M., Mahesh, A., &amp; Ferris, K. G. (2026).</w:t>
      </w:r>
      <w:r>
        <w:t xml:space="preserve"> </w:t>
      </w:r>
      <w:r>
        <w:rPr>
          <w:i/>
          <w:iCs/>
        </w:rPr>
        <w:t xml:space="preserve">The genomic basis of local adaptation to photoperiod across altitude in a self-fertilizing monkeyflower</w:t>
      </w:r>
      <w:r>
        <w:t xml:space="preserve">. Genomics.</w:t>
      </w:r>
      <w:r>
        <w:t xml:space="preserve"> </w:t>
      </w:r>
      <w:hyperlink r:id="rId140">
        <w:r>
          <w:rPr>
            <w:rStyle w:val="Hyperlink"/>
          </w:rPr>
          <w:t xml:space="preserve">https://doi.org/10.64898/2026.01.14.699501</w:t>
        </w:r>
      </w:hyperlink>
    </w:p>
    <w:bookmarkEnd w:id="141"/>
    <w:bookmarkStart w:id="143" w:name="ref-lumibao2018"/>
    <w:p>
      <w:pPr>
        <w:pStyle w:val="Bibliography"/>
      </w:pPr>
      <w:r>
        <w:t xml:space="preserve">Lumibao, C. Y., Formel, S., Elango, V., Pardue, J. H., Blum, M., &amp; Van Bael, S. A. (2018). Persisting responses of salt marsh fungal communities to the Deepwater Horizon oil spill.</w:t>
      </w:r>
      <w:r>
        <w:t xml:space="preserve"> </w:t>
      </w:r>
      <w:r>
        <w:rPr>
          <w:i/>
          <w:iCs/>
        </w:rPr>
        <w:t xml:space="preserve">Science of The Total Environment</w:t>
      </w:r>
      <w:r>
        <w:t xml:space="preserve">,</w:t>
      </w:r>
      <w:r>
        <w:t xml:space="preserve"> </w:t>
      </w:r>
      <w:r>
        <w:rPr>
          <w:i/>
          <w:iCs/>
        </w:rPr>
        <w:t xml:space="preserve">642</w:t>
      </w:r>
      <w:r>
        <w:t xml:space="preserve">, 904–913.</w:t>
      </w:r>
      <w:r>
        <w:t xml:space="preserve"> </w:t>
      </w:r>
      <w:hyperlink r:id="rId142">
        <w:r>
          <w:rPr>
            <w:rStyle w:val="Hyperlink"/>
          </w:rPr>
          <w:t xml:space="preserve">https://doi.org/10.1016/j.scitotenv.2018.06.077</w:t>
        </w:r>
      </w:hyperlink>
    </w:p>
    <w:bookmarkEnd w:id="143"/>
    <w:bookmarkStart w:id="145" w:name="ref-lutz2020"/>
    <w:p>
      <w:pPr>
        <w:pStyle w:val="Bibliography"/>
      </w:pPr>
      <w:r>
        <w:t xml:space="preserve">Lutz, M. C., Lopes, C. A., Sosa, M. C., &amp; Sangorrín, M. P. (2020). Semi-commercial testing of regional yeasts selected from North Patagonia Argentina for the biocontrol of pear postharvest decays.</w:t>
      </w:r>
      <w:r>
        <w:t xml:space="preserve"> </w:t>
      </w:r>
      <w:r>
        <w:rPr>
          <w:i/>
          <w:iCs/>
        </w:rPr>
        <w:t xml:space="preserve">Biological Control</w:t>
      </w:r>
      <w:r>
        <w:t xml:space="preserve">,</w:t>
      </w:r>
      <w:r>
        <w:t xml:space="preserve"> </w:t>
      </w:r>
      <w:r>
        <w:rPr>
          <w:i/>
          <w:iCs/>
        </w:rPr>
        <w:t xml:space="preserve">150</w:t>
      </w:r>
      <w:r>
        <w:t xml:space="preserve">, 104246.</w:t>
      </w:r>
      <w:r>
        <w:t xml:space="preserve"> </w:t>
      </w:r>
      <w:hyperlink r:id="rId144">
        <w:r>
          <w:rPr>
            <w:rStyle w:val="Hyperlink"/>
          </w:rPr>
          <w:t xml:space="preserve">https://doi.org/10.1016/j.biocontrol.2020.104246</w:t>
        </w:r>
      </w:hyperlink>
    </w:p>
    <w:bookmarkEnd w:id="145"/>
    <w:bookmarkStart w:id="147" w:name="ref-marian2022"/>
    <w:p>
      <w:pPr>
        <w:pStyle w:val="Bibliography"/>
      </w:pPr>
      <w:r>
        <w:t xml:space="preserve">Marian, M., Licciardello, G., Vicelli, B., Pertot, I., &amp; Perazzolli, M. (2022). Ecology and potential functions of plant-associated microbial communities in cold environments.</w:t>
      </w:r>
      <w:r>
        <w:t xml:space="preserve"> </w:t>
      </w:r>
      <w:r>
        <w:rPr>
          <w:i/>
          <w:iCs/>
        </w:rPr>
        <w:t xml:space="preserve">FEMS Microbiology Ecology</w:t>
      </w:r>
      <w:r>
        <w:t xml:space="preserve">,</w:t>
      </w:r>
      <w:r>
        <w:t xml:space="preserve"> </w:t>
      </w:r>
      <w:r>
        <w:rPr>
          <w:i/>
          <w:iCs/>
        </w:rPr>
        <w:t xml:space="preserve">98</w:t>
      </w:r>
      <w:r>
        <w:t xml:space="preserve">(1), fiab161.</w:t>
      </w:r>
      <w:r>
        <w:t xml:space="preserve"> </w:t>
      </w:r>
      <w:hyperlink r:id="rId146">
        <w:r>
          <w:rPr>
            <w:rStyle w:val="Hyperlink"/>
          </w:rPr>
          <w:t xml:space="preserve">https://doi.org/10.1093/femsec/fiab161</w:t>
        </w:r>
      </w:hyperlink>
    </w:p>
    <w:bookmarkEnd w:id="147"/>
    <w:bookmarkStart w:id="149" w:name="ref-martin2011"/>
    <w:p>
      <w:pPr>
        <w:pStyle w:val="Bibliography"/>
      </w:pPr>
      <w:r>
        <w:t xml:space="preserve">Martin, M. (2011). Cutadapt removes adapter sequences from high-throughput sequencing reads.</w:t>
      </w:r>
      <w:r>
        <w:t xml:space="preserve"> </w:t>
      </w:r>
      <w:r>
        <w:rPr>
          <w:i/>
          <w:iCs/>
        </w:rPr>
        <w:t xml:space="preserve">EMBnet.journal</w:t>
      </w:r>
      <w:r>
        <w:t xml:space="preserve">,</w:t>
      </w:r>
      <w:r>
        <w:t xml:space="preserve"> </w:t>
      </w:r>
      <w:r>
        <w:rPr>
          <w:i/>
          <w:iCs/>
        </w:rPr>
        <w:t xml:space="preserve">17</w:t>
      </w:r>
      <w:r>
        <w:t xml:space="preserve">(1), 10.</w:t>
      </w:r>
      <w:r>
        <w:t xml:space="preserve"> </w:t>
      </w:r>
      <w:hyperlink r:id="rId148">
        <w:r>
          <w:rPr>
            <w:rStyle w:val="Hyperlink"/>
          </w:rPr>
          <w:t xml:space="preserve">https://doi.org/10.14806/ej.17.1.200</w:t>
        </w:r>
      </w:hyperlink>
    </w:p>
    <w:bookmarkEnd w:id="149"/>
    <w:bookmarkStart w:id="151" w:name="ref-mcardle2001"/>
    <w:p>
      <w:pPr>
        <w:pStyle w:val="Bibliography"/>
      </w:pPr>
      <w:r>
        <w:t xml:space="preserve">McArdle, B. H., &amp; Anderson, M. J. (2001). Fitting Multivariate Models to Community Data: a Comment on Distance-Based Redundancy Analysis.</w:t>
      </w:r>
      <w:r>
        <w:t xml:space="preserve"> </w:t>
      </w:r>
      <w:r>
        <w:rPr>
          <w:i/>
          <w:iCs/>
        </w:rPr>
        <w:t xml:space="preserve">Ecology</w:t>
      </w:r>
      <w:r>
        <w:t xml:space="preserve">,</w:t>
      </w:r>
      <w:r>
        <w:t xml:space="preserve"> </w:t>
      </w:r>
      <w:r>
        <w:rPr>
          <w:i/>
          <w:iCs/>
        </w:rPr>
        <w:t xml:space="preserve">82</w:t>
      </w:r>
      <w:r>
        <w:t xml:space="preserve">(1), 290–297.</w:t>
      </w:r>
      <w:r>
        <w:t xml:space="preserve"> </w:t>
      </w:r>
      <w:hyperlink r:id="rId150">
        <w:r>
          <w:rPr>
            <w:rStyle w:val="Hyperlink"/>
          </w:rPr>
          <w:t xml:space="preserve">https://doi.org/10.1890/0012-9658(2001)082[0290:FMMTCD]2.0.CO;2</w:t>
        </w:r>
      </w:hyperlink>
    </w:p>
    <w:bookmarkEnd w:id="151"/>
    <w:bookmarkStart w:id="153" w:name="ref-mcintosh2024"/>
    <w:p>
      <w:pPr>
        <w:pStyle w:val="Bibliography"/>
      </w:pPr>
      <w:r>
        <w:t xml:space="preserve">McIntosh, M., Bullington, L. S., Lekberg, Y., &amp; Fishman, L. (2024). Divergence in responsiveness to soil biota and mycorrhizal partner-specificity between montane annual and coastal perennial ecotypes of yellow monkeyflower (</w:t>
      </w:r>
      <w:r>
        <w:rPr>
          <w:i/>
          <w:iCs/>
        </w:rPr>
        <w:t xml:space="preserve">Mimulus guttatus</w:t>
      </w:r>
      <w:r>
        <w:t xml:space="preserve">).</w:t>
      </w:r>
      <w:r>
        <w:t xml:space="preserve"> </w:t>
      </w:r>
      <w:r>
        <w:rPr>
          <w:i/>
          <w:iCs/>
        </w:rPr>
        <w:t xml:space="preserve">International Journal of Plant Sciences</w:t>
      </w:r>
      <w:r>
        <w:t xml:space="preserve">, 730540.</w:t>
      </w:r>
      <w:r>
        <w:t xml:space="preserve"> </w:t>
      </w:r>
      <w:hyperlink r:id="rId152">
        <w:r>
          <w:rPr>
            <w:rStyle w:val="Hyperlink"/>
          </w:rPr>
          <w:t xml:space="preserve">https://doi.org/10.1086/730540</w:t>
        </w:r>
      </w:hyperlink>
    </w:p>
    <w:bookmarkEnd w:id="153"/>
    <w:bookmarkStart w:id="155" w:name="ref-mcmurdie2013"/>
    <w:p>
      <w:pPr>
        <w:pStyle w:val="Bibliography"/>
      </w:pPr>
      <w:r>
        <w:t xml:space="preserve">McMurdie, P. J., &amp; Holmes, S. (2013). phyloseq: An R package for reproducible interactive analysis and graphics of microbiome census data.</w:t>
      </w:r>
      <w:r>
        <w:t xml:space="preserve"> </w:t>
      </w:r>
      <w:r>
        <w:rPr>
          <w:i/>
          <w:iCs/>
        </w:rPr>
        <w:t xml:space="preserve">PLoS ONE</w:t>
      </w:r>
      <w:r>
        <w:t xml:space="preserve">,</w:t>
      </w:r>
      <w:r>
        <w:t xml:space="preserve"> </w:t>
      </w:r>
      <w:r>
        <w:rPr>
          <w:i/>
          <w:iCs/>
        </w:rPr>
        <w:t xml:space="preserve">8</w:t>
      </w:r>
      <w:r>
        <w:t xml:space="preserve">(4), e61217.</w:t>
      </w:r>
      <w:r>
        <w:t xml:space="preserve"> </w:t>
      </w:r>
      <w:hyperlink r:id="rId154">
        <w:r>
          <w:rPr>
            <w:rStyle w:val="Hyperlink"/>
          </w:rPr>
          <w:t xml:space="preserve">https://doi.org/10.1371/journal.pone.0061217</w:t>
        </w:r>
      </w:hyperlink>
    </w:p>
    <w:bookmarkEnd w:id="155"/>
    <w:bookmarkStart w:id="157" w:name="ref-montes1999"/>
    <w:p>
      <w:pPr>
        <w:pStyle w:val="Bibliography"/>
      </w:pPr>
      <w:r>
        <w:t xml:space="preserve">Montes, M. J., Belloch, C., Galiana, M., Garcia, M. D., Andrés, C., Ferrer, S., Torres-Rodriguez, J. M., &amp; Guinea, J. (1999). Polyphasic Taxonomy of a Novel Yeast Isolated from Antarctic Environment; Description of</w:t>
      </w:r>
      <w:r>
        <w:t xml:space="preserve"> </w:t>
      </w:r>
      <w:r>
        <w:rPr>
          <w:i/>
          <w:iCs/>
        </w:rPr>
        <w:t xml:space="preserve">Cryptococcus victoriae</w:t>
      </w:r>
      <w:r>
        <w:t xml:space="preserve"> </w:t>
      </w:r>
      <w:r>
        <w:t xml:space="preserve">Sp. Nov.</w:t>
      </w:r>
      <w:r>
        <w:t xml:space="preserve"> </w:t>
      </w:r>
      <w:r>
        <w:rPr>
          <w:i/>
          <w:iCs/>
        </w:rPr>
        <w:t xml:space="preserve">Systematic and Applied Microbiology</w:t>
      </w:r>
      <w:r>
        <w:t xml:space="preserve">,</w:t>
      </w:r>
      <w:r>
        <w:t xml:space="preserve"> </w:t>
      </w:r>
      <w:r>
        <w:rPr>
          <w:i/>
          <w:iCs/>
        </w:rPr>
        <w:t xml:space="preserve">22</w:t>
      </w:r>
      <w:r>
        <w:t xml:space="preserve">(1), 97–105.</w:t>
      </w:r>
      <w:r>
        <w:t xml:space="preserve"> </w:t>
      </w:r>
      <w:hyperlink r:id="rId156">
        <w:r>
          <w:rPr>
            <w:rStyle w:val="Hyperlink"/>
          </w:rPr>
          <w:t xml:space="preserve">https://doi.org/10.1016/S0723-2020(99)80032-0</w:t>
        </w:r>
      </w:hyperlink>
    </w:p>
    <w:bookmarkEnd w:id="157"/>
    <w:bookmarkStart w:id="159" w:name="ref-nicotra2011"/>
    <w:p>
      <w:pPr>
        <w:pStyle w:val="Bibliography"/>
      </w:pPr>
      <w:r>
        <w:t xml:space="preserve">Nicotra, A. B., Leigh, A., Boyce, C. K., Jones, C. S., Niklas, K. J., Royer, D. L., &amp; Tsukaya, H. (2011). The evolution and functional significance of leaf shape in the angiosperms.</w:t>
      </w:r>
      <w:r>
        <w:t xml:space="preserve"> </w:t>
      </w:r>
      <w:r>
        <w:rPr>
          <w:i/>
          <w:iCs/>
        </w:rPr>
        <w:t xml:space="preserve">Functional Plant Biology</w:t>
      </w:r>
      <w:r>
        <w:t xml:space="preserve">,</w:t>
      </w:r>
      <w:r>
        <w:t xml:space="preserve"> </w:t>
      </w:r>
      <w:r>
        <w:rPr>
          <w:i/>
          <w:iCs/>
        </w:rPr>
        <w:t xml:space="preserve">38</w:t>
      </w:r>
      <w:r>
        <w:t xml:space="preserve">(7), 535.</w:t>
      </w:r>
      <w:r>
        <w:t xml:space="preserve"> </w:t>
      </w:r>
      <w:hyperlink r:id="rId158">
        <w:r>
          <w:rPr>
            <w:rStyle w:val="Hyperlink"/>
          </w:rPr>
          <w:t xml:space="preserve">https://doi.org/10.1071/FP11057</w:t>
        </w:r>
      </w:hyperlink>
    </w:p>
    <w:bookmarkEnd w:id="159"/>
    <w:bookmarkStart w:id="160" w:name="ref-nobel2009"/>
    <w:p>
      <w:pPr>
        <w:pStyle w:val="Bibliography"/>
      </w:pPr>
      <w:r>
        <w:t xml:space="preserve">Nobel, P. S. (2009).</w:t>
      </w:r>
      <w:r>
        <w:t xml:space="preserve"> </w:t>
      </w:r>
      <w:r>
        <w:rPr>
          <w:i/>
          <w:iCs/>
        </w:rPr>
        <w:t xml:space="preserve">Physicochemical and environmental plant physiology</w:t>
      </w:r>
      <w:r>
        <w:t xml:space="preserve"> </w:t>
      </w:r>
      <w:r>
        <w:t xml:space="preserve">(Fourth edition). Academic Press.</w:t>
      </w:r>
    </w:p>
    <w:bookmarkEnd w:id="160"/>
    <w:bookmarkStart w:id="162" w:name="ref-oguchi2018"/>
    <w:p>
      <w:pPr>
        <w:pStyle w:val="Bibliography"/>
      </w:pPr>
      <w:r>
        <w:t xml:space="preserve">Oguchi, R., Onoda, Y., Terashima, I., &amp; Tholen, D. (2018). Leaf Anatomy and Function. In W. W. Adams Iii &amp; I. Terashima (Eds.),</w:t>
      </w:r>
      <w:r>
        <w:t xml:space="preserve"> </w:t>
      </w:r>
      <w:r>
        <w:rPr>
          <w:i/>
          <w:iCs/>
        </w:rPr>
        <w:t xml:space="preserve">The Leaf: A Platform for Performing Photosynthesis</w:t>
      </w:r>
      <w:r>
        <w:t xml:space="preserve"> </w:t>
      </w:r>
      <w:r>
        <w:t xml:space="preserve">(Vol. 44, pp. 97–139). Springer International Publishing.</w:t>
      </w:r>
      <w:r>
        <w:t xml:space="preserve"> </w:t>
      </w:r>
      <w:hyperlink r:id="rId161">
        <w:r>
          <w:rPr>
            <w:rStyle w:val="Hyperlink"/>
          </w:rPr>
          <w:t xml:space="preserve">https://doi.org/10.1007/978-3-319-93594-2_5</w:t>
        </w:r>
      </w:hyperlink>
    </w:p>
    <w:bookmarkEnd w:id="162"/>
    <w:bookmarkStart w:id="164" w:name="ref-oita2021"/>
    <w:p>
      <w:pPr>
        <w:pStyle w:val="Bibliography"/>
      </w:pPr>
      <w:r>
        <w:t xml:space="preserve">Oita, S., Ibáñez, A., Lutzoni, F., Miadlikowska, J., Geml, J., Lewis, L. A., Hom, E. F. Y., Carbone, I., U’Ren, J. M., &amp; Arnold, A. E. (2021). Climate and seasonality drive the richness and composition of tropical fungal endophytes at a landscape scale.</w:t>
      </w:r>
      <w:r>
        <w:t xml:space="preserve"> </w:t>
      </w:r>
      <w:r>
        <w:rPr>
          <w:i/>
          <w:iCs/>
        </w:rPr>
        <w:t xml:space="preserve">Communications Biology</w:t>
      </w:r>
      <w:r>
        <w:t xml:space="preserve">,</w:t>
      </w:r>
      <w:r>
        <w:t xml:space="preserve"> </w:t>
      </w:r>
      <w:r>
        <w:rPr>
          <w:i/>
          <w:iCs/>
        </w:rPr>
        <w:t xml:space="preserve">4</w:t>
      </w:r>
      <w:r>
        <w:t xml:space="preserve">(1), 313.</w:t>
      </w:r>
      <w:r>
        <w:t xml:space="preserve"> </w:t>
      </w:r>
      <w:hyperlink r:id="rId163">
        <w:r>
          <w:rPr>
            <w:rStyle w:val="Hyperlink"/>
          </w:rPr>
          <w:t xml:space="preserve">https://doi.org/10.1038/s42003-021-01826-7</w:t>
        </w:r>
      </w:hyperlink>
    </w:p>
    <w:bookmarkEnd w:id="164"/>
    <w:bookmarkStart w:id="166" w:name="ref-oksanen2022"/>
    <w:p>
      <w:pPr>
        <w:pStyle w:val="Bibliography"/>
      </w:pPr>
      <w:r>
        <w:t xml:space="preserve">Oksanen, J., Simpson, G. L., Blanchet, F. G., Kindt, R., Legendre, P., Minchin, P. R., O’Hara, R. B., Solymos, P., Stevens, M. H. H., Szoecs, E., Wagner, H., Barbour, M., Bedward, M., Bolker, B., Borcard, D., Carvalho, G., Chirico, M., De Caceres, M., Durand, S., … Weedon, J. (2022).</w:t>
      </w:r>
      <w:r>
        <w:t xml:space="preserve"> </w:t>
      </w:r>
      <w:r>
        <w:rPr>
          <w:i/>
          <w:iCs/>
        </w:rPr>
        <w:t xml:space="preserve">Vegan: Community Ecology Package</w:t>
      </w:r>
      <w:r>
        <w:t xml:space="preserve">.</w:t>
      </w:r>
      <w:r>
        <w:t xml:space="preserve"> </w:t>
      </w:r>
      <w:hyperlink r:id="rId165">
        <w:r>
          <w:rPr>
            <w:rStyle w:val="Hyperlink"/>
          </w:rPr>
          <w:t xml:space="preserve">https://github.com/vegandevs/vegan</w:t>
        </w:r>
      </w:hyperlink>
    </w:p>
    <w:bookmarkEnd w:id="166"/>
    <w:bookmarkStart w:id="168" w:name="ref-opti-sciencesinc"/>
    <w:p>
      <w:pPr>
        <w:pStyle w:val="Bibliography"/>
      </w:pPr>
      <w:r>
        <w:t xml:space="preserve">O.-S. Inc. (n.d.).</w:t>
      </w:r>
      <w:r>
        <w:t xml:space="preserve"> </w:t>
      </w:r>
      <w:r>
        <w:rPr>
          <w:i/>
          <w:iCs/>
        </w:rPr>
        <w:t xml:space="preserve">ACM-200plus</w:t>
      </w:r>
      <w:r>
        <w:t xml:space="preserve">. ACM-200plus. Retrieved November 29, 2023, from</w:t>
      </w:r>
      <w:r>
        <w:t xml:space="preserve"> </w:t>
      </w:r>
      <w:hyperlink r:id="rId167">
        <w:r>
          <w:rPr>
            <w:rStyle w:val="Hyperlink"/>
          </w:rPr>
          <w:t xml:space="preserve">https://www.optisci.com/acm-200.html</w:t>
        </w:r>
      </w:hyperlink>
    </w:p>
    <w:bookmarkEnd w:id="168"/>
    <w:bookmarkStart w:id="170" w:name="ref-peay2016"/>
    <w:p>
      <w:pPr>
        <w:pStyle w:val="Bibliography"/>
      </w:pPr>
      <w:r>
        <w:t xml:space="preserve">Peay, K. G., Kennedy, P. G., &amp; Talbot, J. M. (2016). Dimensions of biodiversity in the Earth mycobiome.</w:t>
      </w:r>
      <w:r>
        <w:t xml:space="preserve"> </w:t>
      </w:r>
      <w:r>
        <w:rPr>
          <w:i/>
          <w:iCs/>
        </w:rPr>
        <w:t xml:space="preserve">Nature Reviews Microbiology</w:t>
      </w:r>
      <w:r>
        <w:t xml:space="preserve">,</w:t>
      </w:r>
      <w:r>
        <w:t xml:space="preserve"> </w:t>
      </w:r>
      <w:r>
        <w:rPr>
          <w:i/>
          <w:iCs/>
        </w:rPr>
        <w:t xml:space="preserve">14</w:t>
      </w:r>
      <w:r>
        <w:t xml:space="preserve">(7), 434–447.</w:t>
      </w:r>
      <w:r>
        <w:t xml:space="preserve"> </w:t>
      </w:r>
      <w:hyperlink r:id="rId169">
        <w:r>
          <w:rPr>
            <w:rStyle w:val="Hyperlink"/>
          </w:rPr>
          <w:t xml:space="preserve">https://doi.org/10.1038/nrmicro.2016.59</w:t>
        </w:r>
      </w:hyperlink>
    </w:p>
    <w:bookmarkEnd w:id="170"/>
    <w:bookmarkStart w:id="172" w:name="ref-pinheiro2000"/>
    <w:p>
      <w:pPr>
        <w:pStyle w:val="Bibliography"/>
      </w:pPr>
      <w:r>
        <w:t xml:space="preserve">Pinheiro, J. C., &amp; Bates, D. M. (2000).</w:t>
      </w:r>
      <w:r>
        <w:t xml:space="preserve"> </w:t>
      </w:r>
      <w:r>
        <w:rPr>
          <w:i/>
          <w:iCs/>
        </w:rPr>
        <w:t xml:space="preserve">Mixed-Effects Models in S and S-PLUS</w:t>
      </w:r>
      <w:r>
        <w:t xml:space="preserve">. Springer.</w:t>
      </w:r>
      <w:r>
        <w:t xml:space="preserve"> </w:t>
      </w:r>
      <w:hyperlink r:id="rId171">
        <w:r>
          <w:rPr>
            <w:rStyle w:val="Hyperlink"/>
          </w:rPr>
          <w:t xml:space="preserve">https://doi.org/10.1007/b98882</w:t>
        </w:r>
      </w:hyperlink>
    </w:p>
    <w:bookmarkEnd w:id="172"/>
    <w:bookmarkStart w:id="174" w:name="ref-pinheiro2024"/>
    <w:p>
      <w:pPr>
        <w:pStyle w:val="Bibliography"/>
      </w:pPr>
      <w:r>
        <w:t xml:space="preserve">Pinheiro, J., Bates, D., &amp; R Core Team. (2024).</w:t>
      </w:r>
      <w:r>
        <w:t xml:space="preserve"> </w:t>
      </w:r>
      <w:r>
        <w:rPr>
          <w:i/>
          <w:i/>
          <w:iCs/>
          <w:iCs/>
        </w:rPr>
        <w:t xml:space="preserve">nlme: Linear and Nonlinear Mixed Effects Models</w:t>
      </w:r>
      <w:r>
        <w:rPr>
          <w:i/>
          <w:iCs/>
        </w:rPr>
        <w:t xml:space="preserve">. R package version 3.1-165</w:t>
      </w:r>
      <w:r>
        <w:t xml:space="preserve"> </w:t>
      </w:r>
      <w:r>
        <w:t xml:space="preserve">(Versions 3.1-165) [Computer software].</w:t>
      </w:r>
      <w:r>
        <w:t xml:space="preserve"> </w:t>
      </w:r>
      <w:hyperlink r:id="rId173">
        <w:r>
          <w:rPr>
            <w:rStyle w:val="Hyperlink"/>
          </w:rPr>
          <w:t xml:space="preserve">https://svn.r-project.org/R-packages/trunk/nlme/</w:t>
        </w:r>
      </w:hyperlink>
    </w:p>
    <w:bookmarkEnd w:id="174"/>
    <w:bookmarkStart w:id="176" w:name="ref-rcoreteam2024"/>
    <w:p>
      <w:pPr>
        <w:pStyle w:val="Bibliography"/>
      </w:pPr>
      <w:r>
        <w:t xml:space="preserve">R Core Team. (2024).</w:t>
      </w:r>
      <w:r>
        <w:t xml:space="preserve"> </w:t>
      </w:r>
      <w:r>
        <w:rPr>
          <w:i/>
          <w:iCs/>
        </w:rPr>
        <w:t xml:space="preserve">R: A language and environment for statistical computing</w:t>
      </w:r>
      <w:r>
        <w:t xml:space="preserve"> </w:t>
      </w:r>
      <w:r>
        <w:t xml:space="preserve">[Manual]. R Foundation for Statistical Computing.</w:t>
      </w:r>
      <w:r>
        <w:t xml:space="preserve"> </w:t>
      </w:r>
      <w:hyperlink r:id="rId175">
        <w:r>
          <w:rPr>
            <w:rStyle w:val="Hyperlink"/>
          </w:rPr>
          <w:t xml:space="preserve">https://www.R-project.org/</w:t>
        </w:r>
      </w:hyperlink>
    </w:p>
    <w:bookmarkEnd w:id="176"/>
    <w:bookmarkStart w:id="178" w:name="ref-rebolledagomez2019"/>
    <w:p>
      <w:pPr>
        <w:pStyle w:val="Bibliography"/>
      </w:pPr>
      <w:r>
        <w:t xml:space="preserve">Rebolleda Gómez, M., &amp; Ashman, T. (2019). Floral organs act as environmental filters and interact with pollinators to structure the yellow monkeyflower (</w:t>
      </w:r>
      <w:r>
        <w:rPr>
          <w:i/>
          <w:iCs/>
        </w:rPr>
        <w:t xml:space="preserve">Mimulus guttatus</w:t>
      </w:r>
      <w:r>
        <w:t xml:space="preserve">) floral microbiome.</w:t>
      </w:r>
      <w:r>
        <w:t xml:space="preserve"> </w:t>
      </w:r>
      <w:r>
        <w:rPr>
          <w:i/>
          <w:iCs/>
        </w:rPr>
        <w:t xml:space="preserve">Molecular Ecology</w:t>
      </w:r>
      <w:r>
        <w:t xml:space="preserve">,</w:t>
      </w:r>
      <w:r>
        <w:t xml:space="preserve"> </w:t>
      </w:r>
      <w:r>
        <w:rPr>
          <w:i/>
          <w:iCs/>
        </w:rPr>
        <w:t xml:space="preserve">28</w:t>
      </w:r>
      <w:r>
        <w:t xml:space="preserve">(23), 5155–5171.</w:t>
      </w:r>
      <w:r>
        <w:t xml:space="preserve"> </w:t>
      </w:r>
      <w:hyperlink r:id="rId177">
        <w:r>
          <w:rPr>
            <w:rStyle w:val="Hyperlink"/>
          </w:rPr>
          <w:t xml:space="preserve">https://doi.org/10.1111/mec.15280</w:t>
        </w:r>
      </w:hyperlink>
    </w:p>
    <w:bookmarkEnd w:id="178"/>
    <w:bookmarkStart w:id="180" w:name="ref-remy1994"/>
    <w:p>
      <w:pPr>
        <w:pStyle w:val="Bibliography"/>
      </w:pPr>
      <w:r>
        <w:t xml:space="preserve">Remy, W., Taylor, T. N., Hass, H., &amp; Kerp, H. (1994). Four hundred-million-year-old vesicular arbuscular mycorrhizae.</w:t>
      </w:r>
      <w:r>
        <w:t xml:space="preserve"> </w:t>
      </w:r>
      <w:r>
        <w:rPr>
          <w:i/>
          <w:iCs/>
        </w:rPr>
        <w:t xml:space="preserve">Proceedings of the National Academy of Sciences</w:t>
      </w:r>
      <w:r>
        <w:t xml:space="preserve">,</w:t>
      </w:r>
      <w:r>
        <w:t xml:space="preserve"> </w:t>
      </w:r>
      <w:r>
        <w:rPr>
          <w:i/>
          <w:iCs/>
        </w:rPr>
        <w:t xml:space="preserve">91</w:t>
      </w:r>
      <w:r>
        <w:t xml:space="preserve">(25), 11841–11843.</w:t>
      </w:r>
      <w:r>
        <w:t xml:space="preserve"> </w:t>
      </w:r>
      <w:hyperlink r:id="rId179">
        <w:r>
          <w:rPr>
            <w:rStyle w:val="Hyperlink"/>
          </w:rPr>
          <w:t xml:space="preserve">https://doi.org/10.1073/pnas.91.25.11841</w:t>
        </w:r>
      </w:hyperlink>
    </w:p>
    <w:bookmarkEnd w:id="180"/>
    <w:bookmarkStart w:id="182" w:name="ref-rohland2012"/>
    <w:p>
      <w:pPr>
        <w:pStyle w:val="Bibliography"/>
      </w:pPr>
      <w:r>
        <w:t xml:space="preserve">Rohland, N., &amp; Reich, D. (2012). Cost-effective, high-throughput DNA sequencing libraries for multiplexed target capture.</w:t>
      </w:r>
      <w:r>
        <w:t xml:space="preserve"> </w:t>
      </w:r>
      <w:r>
        <w:rPr>
          <w:i/>
          <w:iCs/>
        </w:rPr>
        <w:t xml:space="preserve">Genome Research</w:t>
      </w:r>
      <w:r>
        <w:t xml:space="preserve">,</w:t>
      </w:r>
      <w:r>
        <w:t xml:space="preserve"> </w:t>
      </w:r>
      <w:r>
        <w:rPr>
          <w:i/>
          <w:iCs/>
        </w:rPr>
        <w:t xml:space="preserve">22</w:t>
      </w:r>
      <w:r>
        <w:t xml:space="preserve">(5), 939–946.</w:t>
      </w:r>
      <w:r>
        <w:t xml:space="preserve"> </w:t>
      </w:r>
      <w:hyperlink r:id="rId181">
        <w:r>
          <w:rPr>
            <w:rStyle w:val="Hyperlink"/>
          </w:rPr>
          <w:t xml:space="preserve">https://doi.org/10.1101/gr.128124.111</w:t>
        </w:r>
      </w:hyperlink>
    </w:p>
    <w:bookmarkEnd w:id="182"/>
    <w:bookmarkStart w:id="184" w:name="ref-rosen2012"/>
    <w:p>
      <w:pPr>
        <w:pStyle w:val="Bibliography"/>
      </w:pPr>
      <w:r>
        <w:t xml:space="preserve">Rosen, M. J., Callahan, B. J., Fisher, D. S., &amp; Holmes, S. P. (2012). Denoising PCR-amplified metagenome data.</w:t>
      </w:r>
      <w:r>
        <w:t xml:space="preserve"> </w:t>
      </w:r>
      <w:r>
        <w:rPr>
          <w:i/>
          <w:iCs/>
        </w:rPr>
        <w:t xml:space="preserve">BMC Bioinformatics</w:t>
      </w:r>
      <w:r>
        <w:t xml:space="preserve">,</w:t>
      </w:r>
      <w:r>
        <w:t xml:space="preserve"> </w:t>
      </w:r>
      <w:r>
        <w:rPr>
          <w:i/>
          <w:iCs/>
        </w:rPr>
        <w:t xml:space="preserve">13</w:t>
      </w:r>
      <w:r>
        <w:t xml:space="preserve">(1), 283.</w:t>
      </w:r>
      <w:r>
        <w:t xml:space="preserve"> </w:t>
      </w:r>
      <w:hyperlink r:id="rId183">
        <w:r>
          <w:rPr>
            <w:rStyle w:val="Hyperlink"/>
          </w:rPr>
          <w:t xml:space="preserve">https://doi.org/10.1186/1471-2105-13-283</w:t>
        </w:r>
      </w:hyperlink>
    </w:p>
    <w:bookmarkEnd w:id="184"/>
    <w:bookmarkStart w:id="186" w:name="ref-rush2023"/>
    <w:p>
      <w:pPr>
        <w:pStyle w:val="Bibliography"/>
      </w:pPr>
      <w:r>
        <w:t xml:space="preserve">Rush, R. E., Blackwood, C. B., Lemons, A. R., Dannemiller, K. C., Green, B. J., &amp; Croston, T. L. (2023). Persisting</w:t>
      </w:r>
      <w:r>
        <w:t xml:space="preserve"> </w:t>
      </w:r>
      <w:r>
        <w:rPr>
          <w:i/>
          <w:iCs/>
        </w:rPr>
        <w:t xml:space="preserve">Cryptococcus</w:t>
      </w:r>
      <w:r>
        <w:t xml:space="preserve"> </w:t>
      </w:r>
      <w:r>
        <w:t xml:space="preserve">yeast species</w:t>
      </w:r>
      <w:r>
        <w:t xml:space="preserve"> </w:t>
      </w:r>
      <w:r>
        <w:rPr>
          <w:i/>
          <w:iCs/>
        </w:rPr>
        <w:t xml:space="preserve">Vishniacozyma victoriae</w:t>
      </w:r>
      <w:r>
        <w:t xml:space="preserve"> </w:t>
      </w:r>
      <w:r>
        <w:t xml:space="preserve">and</w:t>
      </w:r>
      <w:r>
        <w:t xml:space="preserve"> </w:t>
      </w:r>
      <w:r>
        <w:rPr>
          <w:i/>
          <w:iCs/>
        </w:rPr>
        <w:t xml:space="preserve">Cryptococcus neoformans</w:t>
      </w:r>
      <w:r>
        <w:t xml:space="preserve"> </w:t>
      </w:r>
      <w:r>
        <w:t xml:space="preserve">elicit unique airway inflammation in mice following repeated exposure.</w:t>
      </w:r>
      <w:r>
        <w:t xml:space="preserve"> </w:t>
      </w:r>
      <w:r>
        <w:rPr>
          <w:i/>
          <w:iCs/>
        </w:rPr>
        <w:t xml:space="preserve">Frontiers in Cellular and Infection Microbiology</w:t>
      </w:r>
      <w:r>
        <w:t xml:space="preserve">,</w:t>
      </w:r>
      <w:r>
        <w:t xml:space="preserve"> </w:t>
      </w:r>
      <w:r>
        <w:rPr>
          <w:i/>
          <w:iCs/>
        </w:rPr>
        <w:t xml:space="preserve">13</w:t>
      </w:r>
      <w:r>
        <w:t xml:space="preserve">, 1067475.</w:t>
      </w:r>
      <w:r>
        <w:t xml:space="preserve"> </w:t>
      </w:r>
      <w:hyperlink r:id="rId185">
        <w:r>
          <w:rPr>
            <w:rStyle w:val="Hyperlink"/>
          </w:rPr>
          <w:t xml:space="preserve">https://doi.org/10.3389/fcimb.2023.1067475</w:t>
        </w:r>
      </w:hyperlink>
    </w:p>
    <w:bookmarkEnd w:id="186"/>
    <w:bookmarkStart w:id="188" w:name="ref-russo2022"/>
    <w:p>
      <w:pPr>
        <w:pStyle w:val="Bibliography"/>
      </w:pPr>
      <w:r>
        <w:t xml:space="preserve">Russo, A., Mayjonade, B., Frei, D., Potente, G., Kellenberger, R. T., Frachon, L., Copetti, D., Studer, B., Frey, J. E., Grossniklaus, U., &amp; Schlüter, P. M. (2022). Low-Input High-Molecular-Weight DNA Extraction for Long-Read Sequencing From Plants of Diverse Families.</w:t>
      </w:r>
      <w:r>
        <w:t xml:space="preserve"> </w:t>
      </w:r>
      <w:r>
        <w:rPr>
          <w:i/>
          <w:iCs/>
        </w:rPr>
        <w:t xml:space="preserve">Frontiers in Plant Science</w:t>
      </w:r>
      <w:r>
        <w:t xml:space="preserve">,</w:t>
      </w:r>
      <w:r>
        <w:t xml:space="preserve"> </w:t>
      </w:r>
      <w:r>
        <w:rPr>
          <w:i/>
          <w:iCs/>
        </w:rPr>
        <w:t xml:space="preserve">13</w:t>
      </w:r>
      <w:r>
        <w:t xml:space="preserve">, 883897.</w:t>
      </w:r>
      <w:r>
        <w:t xml:space="preserve"> </w:t>
      </w:r>
      <w:hyperlink r:id="rId187">
        <w:r>
          <w:rPr>
            <w:rStyle w:val="Hyperlink"/>
          </w:rPr>
          <w:t xml:space="preserve">https://doi.org/10.3389/fpls.2022.883897</w:t>
        </w:r>
      </w:hyperlink>
    </w:p>
    <w:bookmarkEnd w:id="188"/>
    <w:bookmarkStart w:id="190" w:name="ref-sabatini2018"/>
    <w:p>
      <w:pPr>
        <w:pStyle w:val="Bibliography"/>
      </w:pPr>
      <w:r>
        <w:t xml:space="preserve">Sabatini, F. M., Jiménez‐Alfaro, B., Burrascano, S., Lora, A., &amp; Chytrý, M. (2018). Beta‐diversity of central European forests decreases along an elevational gradient due to the variation in local community assembly processes.</w:t>
      </w:r>
      <w:r>
        <w:t xml:space="preserve"> </w:t>
      </w:r>
      <w:r>
        <w:rPr>
          <w:i/>
          <w:iCs/>
        </w:rPr>
        <w:t xml:space="preserve">Ecography</w:t>
      </w:r>
      <w:r>
        <w:t xml:space="preserve">,</w:t>
      </w:r>
      <w:r>
        <w:t xml:space="preserve"> </w:t>
      </w:r>
      <w:r>
        <w:rPr>
          <w:i/>
          <w:iCs/>
        </w:rPr>
        <w:t xml:space="preserve">41</w:t>
      </w:r>
      <w:r>
        <w:t xml:space="preserve">(6), 1038–1048.</w:t>
      </w:r>
      <w:r>
        <w:t xml:space="preserve"> </w:t>
      </w:r>
      <w:hyperlink r:id="rId189">
        <w:r>
          <w:rPr>
            <w:rStyle w:val="Hyperlink"/>
          </w:rPr>
          <w:t xml:space="preserve">https://doi.org/10.1111/ecog.02809</w:t>
        </w:r>
      </w:hyperlink>
    </w:p>
    <w:bookmarkEnd w:id="190"/>
    <w:bookmarkStart w:id="192" w:name="ref-salinasaguilar2022"/>
    <w:p>
      <w:pPr>
        <w:pStyle w:val="Bibliography"/>
      </w:pPr>
      <w:r>
        <w:t xml:space="preserve">Salinas Aguilar, A. B. (2022). Plant Microbiome Structure Across the Species Range of Mimulus laciniatus [M.S., University of California, Merced]. In</w:t>
      </w:r>
      <w:r>
        <w:t xml:space="preserve"> </w:t>
      </w:r>
      <w:r>
        <w:rPr>
          <w:i/>
          <w:iCs/>
        </w:rPr>
        <w:t xml:space="preserve">ProQuest Dissertations and Theses</w:t>
      </w:r>
      <w:r>
        <w:t xml:space="preserve">. (2847621649).</w:t>
      </w:r>
      <w:r>
        <w:t xml:space="preserve"> </w:t>
      </w:r>
      <w:hyperlink r:id="rId191">
        <w:r>
          <w:rPr>
            <w:rStyle w:val="Hyperlink"/>
          </w:rPr>
          <w:t xml:space="preserve">https://www.proquest.com/dissertations-theses/plant-microbiome-structure-across-species-range/docview/2847621649/se-2?accountid=35115</w:t>
        </w:r>
      </w:hyperlink>
    </w:p>
    <w:bookmarkEnd w:id="192"/>
    <w:bookmarkStart w:id="194" w:name="ref-sarmiento2017"/>
    <w:p>
      <w:pPr>
        <w:pStyle w:val="Bibliography"/>
      </w:pPr>
      <w:r>
        <w:t xml:space="preserve">Sarmiento, C., Zalamea, P. C., Dalling, J. W., Davis, A. S., Simon, S. M., U’Ren, J. M., &amp; Arnold, A. E. (2017). Soilborne fungi have host affinity and host-specific effects on seed germination and survival in a lowland tropical forest.</w:t>
      </w:r>
      <w:r>
        <w:t xml:space="preserve"> </w:t>
      </w:r>
      <w:r>
        <w:rPr>
          <w:i/>
          <w:iCs/>
        </w:rPr>
        <w:t xml:space="preserve">Proceedings of the National Academy of Sciences of the United States of America</w:t>
      </w:r>
      <w:r>
        <w:t xml:space="preserve">,</w:t>
      </w:r>
      <w:r>
        <w:t xml:space="preserve"> </w:t>
      </w:r>
      <w:r>
        <w:rPr>
          <w:i/>
          <w:iCs/>
        </w:rPr>
        <w:t xml:space="preserve">114</w:t>
      </w:r>
      <w:r>
        <w:t xml:space="preserve">(43), 11458–11463.</w:t>
      </w:r>
      <w:r>
        <w:t xml:space="preserve"> </w:t>
      </w:r>
      <w:hyperlink r:id="rId193">
        <w:r>
          <w:rPr>
            <w:rStyle w:val="Hyperlink"/>
          </w:rPr>
          <w:t xml:space="preserve">https://doi.org/10.1073/pnas.1706324114</w:t>
        </w:r>
      </w:hyperlink>
    </w:p>
    <w:bookmarkEnd w:id="194"/>
    <w:bookmarkStart w:id="196" w:name="ref-saunders2010"/>
    <w:p>
      <w:pPr>
        <w:pStyle w:val="Bibliography"/>
      </w:pPr>
      <w:r>
        <w:t xml:space="preserve">Saunders, M., Glenn, A. E., &amp; Kohn, L. M. (2010). Exploring the evolutionary ecology of fungal endophytes in agricultural systems: using functional traits to reveal mechanisms in community processes.</w:t>
      </w:r>
      <w:r>
        <w:t xml:space="preserve"> </w:t>
      </w:r>
      <w:r>
        <w:rPr>
          <w:i/>
          <w:iCs/>
        </w:rPr>
        <w:t xml:space="preserve">Evolutionary Applications</w:t>
      </w:r>
      <w:r>
        <w:t xml:space="preserve">,</w:t>
      </w:r>
      <w:r>
        <w:t xml:space="preserve"> </w:t>
      </w:r>
      <w:r>
        <w:rPr>
          <w:i/>
          <w:iCs/>
        </w:rPr>
        <w:t xml:space="preserve">3</w:t>
      </w:r>
      <w:r>
        <w:t xml:space="preserve">(5–6), 525–537.</w:t>
      </w:r>
      <w:r>
        <w:t xml:space="preserve"> </w:t>
      </w:r>
      <w:hyperlink r:id="rId195">
        <w:r>
          <w:rPr>
            <w:rStyle w:val="Hyperlink"/>
          </w:rPr>
          <w:t xml:space="preserve">https://doi.org/10.1111/j.1752-4571.2010.00141.x</w:t>
        </w:r>
      </w:hyperlink>
    </w:p>
    <w:bookmarkEnd w:id="196"/>
    <w:bookmarkStart w:id="198" w:name="ref-schloss2024"/>
    <w:p>
      <w:pPr>
        <w:pStyle w:val="Bibliography"/>
      </w:pPr>
      <w:r>
        <w:t xml:space="preserve">Schloss, P. D. (2024). Rarefaction is currently the best approach to control for uneven sequencing effort in amplicon sequence analyses.</w:t>
      </w:r>
      <w:r>
        <w:t xml:space="preserve"> </w:t>
      </w:r>
      <w:r>
        <w:rPr>
          <w:i/>
          <w:iCs/>
        </w:rPr>
        <w:t xml:space="preserve">mSphere</w:t>
      </w:r>
      <w:r>
        <w:t xml:space="preserve">,</w:t>
      </w:r>
      <w:r>
        <w:t xml:space="preserve"> </w:t>
      </w:r>
      <w:r>
        <w:rPr>
          <w:i/>
          <w:iCs/>
        </w:rPr>
        <w:t xml:space="preserve">9</w:t>
      </w:r>
      <w:r>
        <w:t xml:space="preserve">(2), e00354–23.</w:t>
      </w:r>
      <w:r>
        <w:t xml:space="preserve"> </w:t>
      </w:r>
      <w:hyperlink r:id="rId197">
        <w:r>
          <w:rPr>
            <w:rStyle w:val="Hyperlink"/>
          </w:rPr>
          <w:t xml:space="preserve">https://doi.org/10.1128/msphere.00354-23</w:t>
        </w:r>
      </w:hyperlink>
    </w:p>
    <w:bookmarkEnd w:id="198"/>
    <w:bookmarkStart w:id="200" w:name="ref-schneider2012a"/>
    <w:p>
      <w:pPr>
        <w:pStyle w:val="Bibliography"/>
      </w:pPr>
      <w:r>
        <w:t xml:space="preserve">Schneider, C. A., Rasband, W. S., &amp; Eliceiri, K. W. (2012). NIH Image to ImageJ: 25 years of image analysis.</w:t>
      </w:r>
      <w:r>
        <w:t xml:space="preserve"> </w:t>
      </w:r>
      <w:r>
        <w:rPr>
          <w:i/>
          <w:iCs/>
        </w:rPr>
        <w:t xml:space="preserve">Nature Methods</w:t>
      </w:r>
      <w:r>
        <w:t xml:space="preserve">,</w:t>
      </w:r>
      <w:r>
        <w:t xml:space="preserve"> </w:t>
      </w:r>
      <w:r>
        <w:rPr>
          <w:i/>
          <w:iCs/>
        </w:rPr>
        <w:t xml:space="preserve">9</w:t>
      </w:r>
      <w:r>
        <w:t xml:space="preserve">(7), 671–675.</w:t>
      </w:r>
      <w:r>
        <w:t xml:space="preserve"> </w:t>
      </w:r>
      <w:hyperlink r:id="rId199">
        <w:r>
          <w:rPr>
            <w:rStyle w:val="Hyperlink"/>
          </w:rPr>
          <w:t xml:space="preserve">https://doi.org/10.1038/nmeth.2089</w:t>
        </w:r>
      </w:hyperlink>
    </w:p>
    <w:bookmarkEnd w:id="200"/>
    <w:bookmarkStart w:id="202" w:name="ref-schuepp1993"/>
    <w:p>
      <w:pPr>
        <w:pStyle w:val="Bibliography"/>
      </w:pPr>
      <w:r>
        <w:t xml:space="preserve">Schuepp, P. H. (1993). Tansley Review No. 59 Leaf boundary layers.</w:t>
      </w:r>
      <w:r>
        <w:t xml:space="preserve"> </w:t>
      </w:r>
      <w:r>
        <w:rPr>
          <w:i/>
          <w:iCs/>
        </w:rPr>
        <w:t xml:space="preserve">New Phytologist</w:t>
      </w:r>
      <w:r>
        <w:t xml:space="preserve">,</w:t>
      </w:r>
      <w:r>
        <w:t xml:space="preserve"> </w:t>
      </w:r>
      <w:r>
        <w:rPr>
          <w:i/>
          <w:iCs/>
        </w:rPr>
        <w:t xml:space="preserve">125</w:t>
      </w:r>
      <w:r>
        <w:t xml:space="preserve">(3), 477–507.</w:t>
      </w:r>
      <w:r>
        <w:t xml:space="preserve"> </w:t>
      </w:r>
      <w:hyperlink r:id="rId201">
        <w:r>
          <w:rPr>
            <w:rStyle w:val="Hyperlink"/>
          </w:rPr>
          <w:t xml:space="preserve">https://doi.org/10.1111/j.1469-8137.1993.tb03898.x</w:t>
        </w:r>
      </w:hyperlink>
    </w:p>
    <w:bookmarkEnd w:id="202"/>
    <w:bookmarkStart w:id="204" w:name="ref-sexton2013a"/>
    <w:p>
      <w:pPr>
        <w:pStyle w:val="Bibliography"/>
      </w:pPr>
      <w:r>
        <w:t xml:space="preserve">Sexton, J. P., Ferris, K. G., &amp; Schoenig, S. E. (2013). The Fern-Leaved Monkeyflower (Phrymaceae), a New Species from the Northern Sierra Nevada of California.</w:t>
      </w:r>
      <w:r>
        <w:t xml:space="preserve"> </w:t>
      </w:r>
      <w:r>
        <w:rPr>
          <w:i/>
          <w:iCs/>
        </w:rPr>
        <w:t xml:space="preserve">Madroño</w:t>
      </w:r>
      <w:r>
        <w:t xml:space="preserve">,</w:t>
      </w:r>
      <w:r>
        <w:t xml:space="preserve"> </w:t>
      </w:r>
      <w:r>
        <w:rPr>
          <w:i/>
          <w:iCs/>
        </w:rPr>
        <w:t xml:space="preserve">60</w:t>
      </w:r>
      <w:r>
        <w:t xml:space="preserve">(3), 236–242.</w:t>
      </w:r>
      <w:r>
        <w:t xml:space="preserve"> </w:t>
      </w:r>
      <w:hyperlink r:id="rId203">
        <w:r>
          <w:rPr>
            <w:rStyle w:val="Hyperlink"/>
          </w:rPr>
          <w:t xml:space="preserve">https://doi.org/10.3120/0024-9637-60.3.236</w:t>
        </w:r>
      </w:hyperlink>
    </w:p>
    <w:bookmarkEnd w:id="204"/>
    <w:bookmarkStart w:id="206" w:name="ref-sexton2016"/>
    <w:p>
      <w:pPr>
        <w:pStyle w:val="Bibliography"/>
      </w:pPr>
      <w:r>
        <w:t xml:space="preserve">Sexton, J. P., Hufford, M. B., C.Bateman, A., Lowry, D. B., Meimberg, H., Strauss, S. Y., &amp; Rice, K. J. (2016). Climate structures genetic variation across a species’ elevation range: a test of range limits hypotheses.</w:t>
      </w:r>
      <w:r>
        <w:t xml:space="preserve"> </w:t>
      </w:r>
      <w:r>
        <w:rPr>
          <w:i/>
          <w:iCs/>
        </w:rPr>
        <w:t xml:space="preserve">Molecular Ecology</w:t>
      </w:r>
      <w:r>
        <w:t xml:space="preserve">,</w:t>
      </w:r>
      <w:r>
        <w:t xml:space="preserve"> </w:t>
      </w:r>
      <w:r>
        <w:rPr>
          <w:i/>
          <w:iCs/>
        </w:rPr>
        <w:t xml:space="preserve">25</w:t>
      </w:r>
      <w:r>
        <w:t xml:space="preserve">(4), 911–928.</w:t>
      </w:r>
      <w:r>
        <w:t xml:space="preserve"> </w:t>
      </w:r>
      <w:hyperlink r:id="rId205">
        <w:r>
          <w:rPr>
            <w:rStyle w:val="Hyperlink"/>
          </w:rPr>
          <w:t xml:space="preserve">https://doi.org/10.1111/mec.13528</w:t>
        </w:r>
      </w:hyperlink>
    </w:p>
    <w:bookmarkEnd w:id="206"/>
    <w:bookmarkStart w:id="208" w:name="ref-shankarnaik2019"/>
    <w:p>
      <w:pPr>
        <w:pStyle w:val="Bibliography"/>
      </w:pPr>
      <w:r>
        <w:t xml:space="preserve">Shankar Naik, B. (2019). Functional roles of fungal endophytes in host fitness during stress conditions.</w:t>
      </w:r>
      <w:r>
        <w:t xml:space="preserve"> </w:t>
      </w:r>
      <w:r>
        <w:rPr>
          <w:i/>
          <w:iCs/>
        </w:rPr>
        <w:t xml:space="preserve">Symbiosis</w:t>
      </w:r>
      <w:r>
        <w:t xml:space="preserve">,</w:t>
      </w:r>
      <w:r>
        <w:t xml:space="preserve"> </w:t>
      </w:r>
      <w:r>
        <w:rPr>
          <w:i/>
          <w:iCs/>
        </w:rPr>
        <w:t xml:space="preserve">79</w:t>
      </w:r>
      <w:r>
        <w:t xml:space="preserve">(2), 99–115.</w:t>
      </w:r>
      <w:r>
        <w:t xml:space="preserve"> </w:t>
      </w:r>
      <w:hyperlink r:id="rId207">
        <w:r>
          <w:rPr>
            <w:rStyle w:val="Hyperlink"/>
          </w:rPr>
          <w:t xml:space="preserve">https://doi.org/10.1007/s13199-019-00635-1</w:t>
        </w:r>
      </w:hyperlink>
    </w:p>
    <w:bookmarkEnd w:id="208"/>
    <w:bookmarkStart w:id="210" w:name="ref-society2019"/>
    <w:p>
      <w:pPr>
        <w:pStyle w:val="Bibliography"/>
      </w:pPr>
      <w:r>
        <w:t xml:space="preserve">Society, C. N. P. (2019).</w:t>
      </w:r>
      <w:r>
        <w:t xml:space="preserve"> </w:t>
      </w:r>
      <w:r>
        <w:rPr>
          <w:i/>
          <w:iCs/>
        </w:rPr>
        <w:t xml:space="preserve">Seep Monkey Flower</w:t>
      </w:r>
      <w:r>
        <w:t xml:space="preserve">.</w:t>
      </w:r>
      <w:r>
        <w:t xml:space="preserve"> </w:t>
      </w:r>
      <w:hyperlink r:id="rId209">
        <w:r>
          <w:rPr>
            <w:rStyle w:val="Hyperlink"/>
          </w:rPr>
          <w:t xml:space="preserve">https://calscape.org/Mimulus-guttatus-(Seep-Monkey-Flower)</w:t>
        </w:r>
      </w:hyperlink>
    </w:p>
    <w:bookmarkEnd w:id="210"/>
    <w:bookmarkStart w:id="212" w:name="ref-soltis1995"/>
    <w:p>
      <w:pPr>
        <w:pStyle w:val="Bibliography"/>
      </w:pPr>
      <w:r>
        <w:t xml:space="preserve">Soltis, D. E., Soltis, P. S., Morgan, D. R., Swensen, S. M., Mullin, B. C., Dowd, J. M., &amp; Martin, P. G. (1995). Chloroplast gene sequence data suggest a single origin of the predisposition for symbiotic nitrogen fixation in angiosperms.</w:t>
      </w:r>
      <w:r>
        <w:t xml:space="preserve"> </w:t>
      </w:r>
      <w:r>
        <w:rPr>
          <w:i/>
          <w:iCs/>
        </w:rPr>
        <w:t xml:space="preserve">Proceedings of the National Academy of Sciences</w:t>
      </w:r>
      <w:r>
        <w:t xml:space="preserve">,</w:t>
      </w:r>
      <w:r>
        <w:t xml:space="preserve"> </w:t>
      </w:r>
      <w:r>
        <w:rPr>
          <w:i/>
          <w:iCs/>
        </w:rPr>
        <w:t xml:space="preserve">92</w:t>
      </w:r>
      <w:r>
        <w:t xml:space="preserve">(7), 2647–2651.</w:t>
      </w:r>
      <w:r>
        <w:t xml:space="preserve"> </w:t>
      </w:r>
      <w:hyperlink r:id="rId211">
        <w:r>
          <w:rPr>
            <w:rStyle w:val="Hyperlink"/>
          </w:rPr>
          <w:t xml:space="preserve">https://doi.org/10.1073/pnas.92.7.2647</w:t>
        </w:r>
      </w:hyperlink>
    </w:p>
    <w:bookmarkEnd w:id="212"/>
    <w:bookmarkStart w:id="214" w:name="ref-song2016"/>
    <w:p>
      <w:pPr>
        <w:pStyle w:val="Bibliography"/>
      </w:pPr>
      <w:r>
        <w:t xml:space="preserve">Song, H., Nan, Z., Song, Q., Xia, C., Li, X., Yao, X., Xu, W., Kuang, Y., Tian, P., &amp; Zhang, Q. (2016). Advances in Research on</w:t>
      </w:r>
      <w:r>
        <w:t xml:space="preserve"> </w:t>
      </w:r>
      <w:r>
        <w:rPr>
          <w:i/>
          <w:iCs/>
        </w:rPr>
        <w:t xml:space="preserve">Epichloë</w:t>
      </w:r>
      <w:r>
        <w:t xml:space="preserve"> </w:t>
      </w:r>
      <w:r>
        <w:t xml:space="preserve">endophytes in Chinese Native Grasses.</w:t>
      </w:r>
      <w:r>
        <w:t xml:space="preserve"> </w:t>
      </w:r>
      <w:r>
        <w:rPr>
          <w:i/>
          <w:iCs/>
        </w:rPr>
        <w:t xml:space="preserve">Frontiers in Microbiology</w:t>
      </w:r>
      <w:r>
        <w:t xml:space="preserve">,</w:t>
      </w:r>
      <w:r>
        <w:t xml:space="preserve"> </w:t>
      </w:r>
      <w:r>
        <w:rPr>
          <w:i/>
          <w:iCs/>
        </w:rPr>
        <w:t xml:space="preserve">7</w:t>
      </w:r>
      <w:r>
        <w:t xml:space="preserve">(SEP), 1399–1399.</w:t>
      </w:r>
      <w:r>
        <w:t xml:space="preserve"> </w:t>
      </w:r>
      <w:hyperlink r:id="rId213">
        <w:r>
          <w:rPr>
            <w:rStyle w:val="Hyperlink"/>
          </w:rPr>
          <w:t xml:space="preserve">https://doi.org/10.3389/fmicb.2016.01399</w:t>
        </w:r>
      </w:hyperlink>
    </w:p>
    <w:bookmarkEnd w:id="214"/>
    <w:bookmarkStart w:id="216" w:name="ref-sweigart2003"/>
    <w:p>
      <w:pPr>
        <w:pStyle w:val="Bibliography"/>
      </w:pPr>
      <w:r>
        <w:t xml:space="preserve">Sweigart, A. L., &amp; Willis, J. H. (2003). Patterns of Nucleotide Diversity in Two Species of Mimulus Are Affected by Mating System and Asymmetric Introgression.</w:t>
      </w:r>
      <w:r>
        <w:t xml:space="preserve"> </w:t>
      </w:r>
      <w:r>
        <w:rPr>
          <w:i/>
          <w:iCs/>
        </w:rPr>
        <w:t xml:space="preserve">Evolution</w:t>
      </w:r>
      <w:r>
        <w:t xml:space="preserve">,</w:t>
      </w:r>
      <w:r>
        <w:t xml:space="preserve"> </w:t>
      </w:r>
      <w:r>
        <w:rPr>
          <w:i/>
          <w:iCs/>
        </w:rPr>
        <w:t xml:space="preserve">57</w:t>
      </w:r>
      <w:r>
        <w:t xml:space="preserve">(11), 2490–2506.</w:t>
      </w:r>
      <w:r>
        <w:t xml:space="preserve"> </w:t>
      </w:r>
      <w:hyperlink r:id="rId215">
        <w:r>
          <w:rPr>
            <w:rStyle w:val="Hyperlink"/>
          </w:rPr>
          <w:t xml:space="preserve">https://doi.org/10.1111/j.0014-3820.2003.tb01494.x</w:t>
        </w:r>
      </w:hyperlink>
    </w:p>
    <w:bookmarkEnd w:id="216"/>
    <w:bookmarkStart w:id="218" w:name="ref-tataru2023"/>
    <w:p>
      <w:pPr>
        <w:pStyle w:val="Bibliography"/>
      </w:pPr>
      <w:r>
        <w:t xml:space="preserve">Tataru, D., Wheeler, E. C., &amp; Ferris, K. G. (2023). Spatially and temporally varying selection influence species boundaries in two sympatric</w:t>
      </w:r>
      <w:r>
        <w:t xml:space="preserve"> </w:t>
      </w:r>
      <w:r>
        <w:rPr>
          <w:i/>
          <w:iCs/>
        </w:rPr>
        <w:t xml:space="preserve">Mimulus</w:t>
      </w:r>
      <w:r>
        <w:t xml:space="preserve">.</w:t>
      </w:r>
      <w:r>
        <w:t xml:space="preserve"> </w:t>
      </w:r>
      <w:r>
        <w:rPr>
          <w:i/>
          <w:iCs/>
        </w:rPr>
        <w:t xml:space="preserve">Proceedings of the Royal Society B: Biological Sciences</w:t>
      </w:r>
      <w:r>
        <w:t xml:space="preserve">,</w:t>
      </w:r>
      <w:r>
        <w:t xml:space="preserve"> </w:t>
      </w:r>
      <w:r>
        <w:rPr>
          <w:i/>
          <w:iCs/>
        </w:rPr>
        <w:t xml:space="preserve">290</w:t>
      </w:r>
      <w:r>
        <w:t xml:space="preserve">(1992), 20222279.</w:t>
      </w:r>
      <w:r>
        <w:t xml:space="preserve"> </w:t>
      </w:r>
      <w:hyperlink r:id="rId217">
        <w:r>
          <w:rPr>
            <w:rStyle w:val="Hyperlink"/>
          </w:rPr>
          <w:t xml:space="preserve">https://doi.org/10.1098/rspb.2022.2279</w:t>
        </w:r>
      </w:hyperlink>
    </w:p>
    <w:bookmarkEnd w:id="218"/>
    <w:bookmarkStart w:id="220" w:name="ref-tellez2022"/>
    <w:p>
      <w:pPr>
        <w:pStyle w:val="Bibliography"/>
      </w:pPr>
      <w:r>
        <w:t xml:space="preserve">Tellez, P. H., Arnold, A. E., Leo, A. B., Kitajima, K., &amp; Van Bael, S. A. (2022). Traits along the leaf economics spectrum are associated with communities of foliar endophytic symbionts.</w:t>
      </w:r>
      <w:r>
        <w:t xml:space="preserve"> </w:t>
      </w:r>
      <w:r>
        <w:rPr>
          <w:i/>
          <w:iCs/>
        </w:rPr>
        <w:t xml:space="preserve">Frontiers in Microbiology</w:t>
      </w:r>
      <w:r>
        <w:t xml:space="preserve">,</w:t>
      </w:r>
      <w:r>
        <w:t xml:space="preserve"> </w:t>
      </w:r>
      <w:r>
        <w:rPr>
          <w:i/>
          <w:iCs/>
        </w:rPr>
        <w:t xml:space="preserve">13</w:t>
      </w:r>
      <w:r>
        <w:t xml:space="preserve">, 927780.</w:t>
      </w:r>
      <w:r>
        <w:t xml:space="preserve"> </w:t>
      </w:r>
      <w:hyperlink r:id="rId219">
        <w:r>
          <w:rPr>
            <w:rStyle w:val="Hyperlink"/>
          </w:rPr>
          <w:t xml:space="preserve">https://doi.org/lutzoni</w:t>
        </w:r>
      </w:hyperlink>
    </w:p>
    <w:bookmarkEnd w:id="220"/>
    <w:bookmarkStart w:id="222" w:name="ref-tsukaya2018"/>
    <w:p>
      <w:pPr>
        <w:pStyle w:val="Bibliography"/>
      </w:pPr>
      <w:r>
        <w:t xml:space="preserve">Tsukaya, H. (2018). A Consideration of Leaf Shape Evolution in the Context of the Primary Function of the Leaf as a Photosynthetic Organ. In W. W. Adams Iii &amp; I. Terashima (Eds.),</w:t>
      </w:r>
      <w:r>
        <w:t xml:space="preserve"> </w:t>
      </w:r>
      <w:r>
        <w:rPr>
          <w:i/>
          <w:iCs/>
        </w:rPr>
        <w:t xml:space="preserve">The Leaf: A Platform for Performing Photosynthesis</w:t>
      </w:r>
      <w:r>
        <w:t xml:space="preserve"> </w:t>
      </w:r>
      <w:r>
        <w:t xml:space="preserve">(Vol. 44, pp. 1–26). Springer International Publishing.</w:t>
      </w:r>
      <w:r>
        <w:t xml:space="preserve"> </w:t>
      </w:r>
      <w:hyperlink r:id="rId221">
        <w:r>
          <w:rPr>
            <w:rStyle w:val="Hyperlink"/>
          </w:rPr>
          <w:t xml:space="preserve">https://doi.org/10.1007/978-3-319-93594-2_1</w:t>
        </w:r>
      </w:hyperlink>
    </w:p>
    <w:bookmarkEnd w:id="222"/>
    <w:bookmarkStart w:id="224" w:name="ref-uren2017"/>
    <w:p>
      <w:pPr>
        <w:pStyle w:val="Bibliography"/>
      </w:pPr>
      <w:r>
        <w:t xml:space="preserve">U’Ren, J. M., &amp; Arnold, A. E. (2017). 96 well DNA Extraction Protocol for Plant and Lichen Tissue Stored in CTAB.</w:t>
      </w:r>
      <w:r>
        <w:t xml:space="preserve"> </w:t>
      </w:r>
      <w:r>
        <w:rPr>
          <w:i/>
          <w:iCs/>
        </w:rPr>
        <w:t xml:space="preserve">Protocols.io</w:t>
      </w:r>
      <w:r>
        <w:t xml:space="preserve">, 1–5.</w:t>
      </w:r>
      <w:r>
        <w:t xml:space="preserve"> </w:t>
      </w:r>
      <w:hyperlink r:id="rId223">
        <w:r>
          <w:rPr>
            <w:rStyle w:val="Hyperlink"/>
          </w:rPr>
          <w:t xml:space="preserve">https://doi.org/dx.doi.org/10.17504/protocols.io.fscbnaw</w:t>
        </w:r>
      </w:hyperlink>
    </w:p>
    <w:bookmarkEnd w:id="224"/>
    <w:bookmarkStart w:id="226" w:name="ref-vickery1978"/>
    <w:p>
      <w:pPr>
        <w:pStyle w:val="Bibliography"/>
      </w:pPr>
      <w:r>
        <w:t xml:space="preserve">Vickery, R. K. (1978). Case Studies in the Evolution of Species Complexes in</w:t>
      </w:r>
      <w:r>
        <w:t xml:space="preserve"> </w:t>
      </w:r>
      <w:r>
        <w:rPr>
          <w:i/>
          <w:iCs/>
        </w:rPr>
        <w:t xml:space="preserve">Mimulus</w:t>
      </w:r>
      <w:r>
        <w:t xml:space="preserve">. In M. K. Hecht, W. C. Steere, &amp; B. Wallace (Eds.),</w:t>
      </w:r>
      <w:r>
        <w:t xml:space="preserve"> </w:t>
      </w:r>
      <w:r>
        <w:rPr>
          <w:i/>
          <w:iCs/>
        </w:rPr>
        <w:t xml:space="preserve">Evolutionary Biology</w:t>
      </w:r>
      <w:r>
        <w:t xml:space="preserve"> </w:t>
      </w:r>
      <w:r>
        <w:t xml:space="preserve">(Vol. 11, pp. 405–507). Springer US.</w:t>
      </w:r>
      <w:r>
        <w:t xml:space="preserve"> </w:t>
      </w:r>
      <w:hyperlink r:id="rId225">
        <w:r>
          <w:rPr>
            <w:rStyle w:val="Hyperlink"/>
          </w:rPr>
          <w:t xml:space="preserve">https://doi.org/10.1007/978-1-4615-6956-5_7</w:t>
        </w:r>
      </w:hyperlink>
    </w:p>
    <w:bookmarkEnd w:id="226"/>
    <w:bookmarkStart w:id="228" w:name="ref-villacampa2019"/>
    <w:p>
      <w:pPr>
        <w:pStyle w:val="Bibliography"/>
      </w:pPr>
      <w:r>
        <w:t xml:space="preserve">Villacampa, J., Whitworth, A., Allen, L., &amp; Malo, J. E. (2019). Altitudinal differences in alpha, beta and functional diversity of an amphibian community in a biodiversity hotspot.</w:t>
      </w:r>
      <w:r>
        <w:t xml:space="preserve"> </w:t>
      </w:r>
      <w:r>
        <w:rPr>
          <w:i/>
          <w:iCs/>
        </w:rPr>
        <w:t xml:space="preserve">Neotropical Biodiversity</w:t>
      </w:r>
      <w:r>
        <w:t xml:space="preserve">,</w:t>
      </w:r>
      <w:r>
        <w:t xml:space="preserve"> </w:t>
      </w:r>
      <w:r>
        <w:rPr>
          <w:i/>
          <w:iCs/>
        </w:rPr>
        <w:t xml:space="preserve">5</w:t>
      </w:r>
      <w:r>
        <w:t xml:space="preserve">(1), 60–68.</w:t>
      </w:r>
      <w:r>
        <w:t xml:space="preserve"> </w:t>
      </w:r>
      <w:hyperlink r:id="rId227">
        <w:r>
          <w:rPr>
            <w:rStyle w:val="Hyperlink"/>
          </w:rPr>
          <w:t xml:space="preserve">https://doi.org/10.1080/23766808.2019.1659022</w:t>
        </w:r>
      </w:hyperlink>
    </w:p>
    <w:bookmarkEnd w:id="228"/>
    <w:bookmarkStart w:id="230" w:name="ref-vujanovic2021"/>
    <w:p>
      <w:pPr>
        <w:pStyle w:val="Bibliography"/>
      </w:pPr>
      <w:r>
        <w:t xml:space="preserve">Vujanovic, V. (2021). Tremellomycetes Yeasts in Kernel Ecological Niche: Early Indicators of Enhanced Competitiveness of Endophytic and Mycoparasitic Symbionts against Wheat Pathobiota.</w:t>
      </w:r>
      <w:r>
        <w:t xml:space="preserve"> </w:t>
      </w:r>
      <w:r>
        <w:rPr>
          <w:i/>
          <w:iCs/>
        </w:rPr>
        <w:t xml:space="preserve">Plants</w:t>
      </w:r>
      <w:r>
        <w:t xml:space="preserve">,</w:t>
      </w:r>
      <w:r>
        <w:t xml:space="preserve"> </w:t>
      </w:r>
      <w:r>
        <w:rPr>
          <w:i/>
          <w:iCs/>
        </w:rPr>
        <w:t xml:space="preserve">10</w:t>
      </w:r>
      <w:r>
        <w:t xml:space="preserve">(5), 905.</w:t>
      </w:r>
      <w:r>
        <w:t xml:space="preserve"> </w:t>
      </w:r>
      <w:hyperlink r:id="rId229">
        <w:r>
          <w:rPr>
            <w:rStyle w:val="Hyperlink"/>
          </w:rPr>
          <w:t xml:space="preserve">https://doi.org/10.3390/plants10050905</w:t>
        </w:r>
      </w:hyperlink>
    </w:p>
    <w:bookmarkEnd w:id="230"/>
    <w:bookmarkStart w:id="232" w:name="ref-wang2006"/>
    <w:p>
      <w:pPr>
        <w:pStyle w:val="Bibliography"/>
      </w:pPr>
      <w:r>
        <w:t xml:space="preserve">Wang, B., &amp; Qiu, Y.-L. (2006). Phylogenetic distribution and evolution of mycorrhizas in land plants.</w:t>
      </w:r>
      <w:r>
        <w:t xml:space="preserve"> </w:t>
      </w:r>
      <w:r>
        <w:rPr>
          <w:i/>
          <w:iCs/>
        </w:rPr>
        <w:t xml:space="preserve">Mycorrhiza</w:t>
      </w:r>
      <w:r>
        <w:t xml:space="preserve">,</w:t>
      </w:r>
      <w:r>
        <w:t xml:space="preserve"> </w:t>
      </w:r>
      <w:r>
        <w:rPr>
          <w:i/>
          <w:iCs/>
        </w:rPr>
        <w:t xml:space="preserve">16</w:t>
      </w:r>
      <w:r>
        <w:t xml:space="preserve">(5), 299–363.</w:t>
      </w:r>
      <w:r>
        <w:t xml:space="preserve"> </w:t>
      </w:r>
      <w:hyperlink r:id="rId231">
        <w:r>
          <w:rPr>
            <w:rStyle w:val="Hyperlink"/>
          </w:rPr>
          <w:t xml:space="preserve">https://doi.org/10.1007/s00572-005-0033-6</w:t>
        </w:r>
      </w:hyperlink>
    </w:p>
    <w:bookmarkEnd w:id="232"/>
    <w:bookmarkStart w:id="233" w:name="ref-white1990"/>
    <w:p>
      <w:pPr>
        <w:pStyle w:val="Bibliography"/>
      </w:pPr>
      <w:r>
        <w:t xml:space="preserve">White, T. J., Bruns, T.D., Lee, S. B., &amp; Taylor, J. W. (1990).</w:t>
      </w:r>
      <w:r>
        <w:t xml:space="preserve"> </w:t>
      </w:r>
      <w:r>
        <w:rPr>
          <w:i/>
          <w:iCs/>
        </w:rPr>
        <w:t xml:space="preserve">Amplification and direct sequencing of fungal ribosomal RNA genes for phylogenetics</w:t>
      </w:r>
      <w:r>
        <w:t xml:space="preserve"> </w:t>
      </w:r>
      <w:r>
        <w:t xml:space="preserve">(pp. 315–322).</w:t>
      </w:r>
    </w:p>
    <w:bookmarkEnd w:id="233"/>
    <w:bookmarkStart w:id="235" w:name="ref-wu2008"/>
    <w:p>
      <w:pPr>
        <w:pStyle w:val="Bibliography"/>
      </w:pPr>
      <w:r>
        <w:t xml:space="preserve">Wu, C. A., Lowry, D. B., Cooley, A. M., Wright, K. M., Lee, Y. W., &amp; Willis, J. H. (2008).</w:t>
      </w:r>
      <w:r>
        <w:t xml:space="preserve"> </w:t>
      </w:r>
      <w:r>
        <w:rPr>
          <w:i/>
          <w:iCs/>
        </w:rPr>
        <w:t xml:space="preserve">Mimulus</w:t>
      </w:r>
      <w:r>
        <w:t xml:space="preserve"> </w:t>
      </w:r>
      <w:r>
        <w:t xml:space="preserve">is an emerging model system for the integration of ecological and genomic studies.</w:t>
      </w:r>
      <w:r>
        <w:t xml:space="preserve"> </w:t>
      </w:r>
      <w:r>
        <w:rPr>
          <w:i/>
          <w:iCs/>
        </w:rPr>
        <w:t xml:space="preserve">Heredity</w:t>
      </w:r>
      <w:r>
        <w:t xml:space="preserve">,</w:t>
      </w:r>
      <w:r>
        <w:t xml:space="preserve"> </w:t>
      </w:r>
      <w:r>
        <w:rPr>
          <w:i/>
          <w:iCs/>
        </w:rPr>
        <w:t xml:space="preserve">100</w:t>
      </w:r>
      <w:r>
        <w:t xml:space="preserve">(2), 220–230.</w:t>
      </w:r>
      <w:r>
        <w:t xml:space="preserve"> </w:t>
      </w:r>
      <w:hyperlink r:id="rId234">
        <w:r>
          <w:rPr>
            <w:rStyle w:val="Hyperlink"/>
          </w:rPr>
          <w:t xml:space="preserve">https://doi.org/10.1038/sj.hdy.6801018</w:t>
        </w:r>
      </w:hyperlink>
    </w:p>
    <w:bookmarkEnd w:id="235"/>
    <w:bookmarkEnd w:id="236"/>
    <w:bookmarkEnd w:id="237"/>
    <w:bookmarkStart w:id="275" w:name="figures"/>
    <w:p>
      <w:pPr>
        <w:pStyle w:val="Heading1"/>
      </w:pPr>
      <w:r>
        <w:t xml:space="preserve">14. Figures</w:t>
      </w:r>
    </w:p>
    <w:bookmarkStart w:id="242" w:name="figure-1"/>
    <w:p>
      <w:pPr>
        <w:pStyle w:val="Heading2"/>
      </w:pPr>
      <w:r>
        <w:t xml:space="preserve">14.1 Figure 1</w:t>
      </w:r>
    </w:p>
    <w:tbl>
      <w:tblPr>
        <w:tblStyle w:val="Table"/>
        <w:tblW w:type="pct" w:w="5000"/>
        <w:tblLayout w:type="fixed"/>
        <w:tblLook w:firstRow="0" w:lastRow="0" w:firstColumn="0" w:lastColumn="0" w:noHBand="0" w:noVBand="0" w:val="0000"/>
      </w:tblPr>
      <w:tblGrid>
        <w:gridCol w:w="7920"/>
      </w:tblGrid>
      <w:tr>
        <w:tc>
          <w:tcPr/>
          <w:bookmarkStart w:id="241" w:name="fig-figure1"/>
          <w:p>
            <w:pPr>
              <w:pStyle w:val="Compact"/>
              <w:jc w:val="center"/>
            </w:pPr>
            <w:r>
              <w:drawing>
                <wp:inline>
                  <wp:extent cx="5943600" cy="5943600"/>
                  <wp:effectExtent b="0" l="0" r="0" t="0"/>
                  <wp:docPr descr="" title="" id="239" name="Picture"/>
                  <a:graphic>
                    <a:graphicData uri="http://schemas.openxmlformats.org/drawingml/2006/picture">
                      <pic:pic>
                        <pic:nvPicPr>
                          <pic:cNvPr descr="Aponte_Bolivar_mim2_manuscript_files/figure-docx/fig-figure1-1.png" id="240" name="Picture"/>
                          <pic:cNvPicPr>
                            <a:picLocks noChangeArrowheads="1" noChangeAspect="1"/>
                          </pic:cNvPicPr>
                        </pic:nvPicPr>
                        <pic:blipFill>
                          <a:blip r:embed="rId238"/>
                          <a:stretch>
                            <a:fillRect/>
                          </a:stretch>
                        </pic:blipFill>
                        <pic:spPr bwMode="auto">
                          <a:xfrm>
                            <a:off x="0" y="0"/>
                            <a:ext cx="5943600" cy="59436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Map of</w:t>
            </w:r>
            <w:r>
              <w:t xml:space="preserve"> </w:t>
            </w:r>
            <w:r>
              <w:rPr>
                <w:i/>
                <w:iCs/>
              </w:rPr>
              <w:t xml:space="preserve">Mimulus</w:t>
            </w:r>
            <w:r>
              <w:t xml:space="preserve"> </w:t>
            </w:r>
            <w:r>
              <w:t xml:space="preserve">spp. sampling sites in the Sierra Nevada, California, USA. A) Map of the Sierra Nevada region showing the location of the three species sampled. The color gradient represents the elevation gradient from low (yellow) to high (purple).</w:t>
            </w:r>
          </w:p>
          <w:bookmarkEnd w:id="241"/>
        </w:tc>
      </w:tr>
    </w:tbl>
    <w:bookmarkEnd w:id="242"/>
    <w:bookmarkStart w:id="247" w:name="figure-2"/>
    <w:p>
      <w:pPr>
        <w:pStyle w:val="Heading2"/>
      </w:pPr>
      <w:r>
        <w:t xml:space="preserve">14.2 Figure 2</w:t>
      </w:r>
    </w:p>
    <w:tbl>
      <w:tblPr>
        <w:tblStyle w:val="Table"/>
        <w:tblW w:type="pct" w:w="5000"/>
        <w:tblLayout w:type="fixed"/>
        <w:tblLook w:firstRow="0" w:lastRow="0" w:firstColumn="0" w:lastColumn="0" w:noHBand="0" w:noVBand="0" w:val="0000"/>
      </w:tblPr>
      <w:tblGrid>
        <w:gridCol w:w="7920"/>
      </w:tblGrid>
      <w:tr>
        <w:tc>
          <w:tcPr/>
          <w:bookmarkStart w:id="246" w:name="fig-figure2"/>
          <w:p>
            <w:pPr>
              <w:pStyle w:val="Compact"/>
              <w:jc w:val="center"/>
            </w:pPr>
            <w:r>
              <w:drawing>
                <wp:inline>
                  <wp:extent cx="5943600" cy="5943600"/>
                  <wp:effectExtent b="0" l="0" r="0" t="0"/>
                  <wp:docPr descr="" title="" id="244" name="Picture"/>
                  <a:graphic>
                    <a:graphicData uri="http://schemas.openxmlformats.org/drawingml/2006/picture">
                      <pic:pic>
                        <pic:nvPicPr>
                          <pic:cNvPr descr="Aponte_Bolivar_mim2_manuscript_files/figure-docx/fig-figure2-1.png" id="245" name="Picture"/>
                          <pic:cNvPicPr>
                            <a:picLocks noChangeArrowheads="1" noChangeAspect="1"/>
                          </pic:cNvPicPr>
                        </pic:nvPicPr>
                        <pic:blipFill>
                          <a:blip r:embed="rId243"/>
                          <a:stretch>
                            <a:fillRect/>
                          </a:stretch>
                        </pic:blipFill>
                        <pic:spPr bwMode="auto">
                          <a:xfrm>
                            <a:off x="0" y="0"/>
                            <a:ext cx="5943600" cy="59436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The Principal Component Analysis (PCA) shows how leaf functional traits are correlated. The PCA analyses shows correlations between ACI, LT, LPS, and LMA as loadings track along PC1 towards positive values, while leaf lobing correlates positively with M. laciniatus. We observed distinct groupings by species along PC2 such that</w:t>
            </w:r>
            <w:r>
              <w:t xml:space="preserve"> </w:t>
            </w:r>
            <w:r>
              <w:rPr>
                <w:i/>
                <w:iCs/>
              </w:rPr>
              <w:t xml:space="preserve">M. laciniatus</w:t>
            </w:r>
            <w:r>
              <w:t xml:space="preserve">, the most lobed species, is distinct from</w:t>
            </w:r>
            <w:r>
              <w:t xml:space="preserve"> </w:t>
            </w:r>
            <w:r>
              <w:rPr>
                <w:i/>
                <w:iCs/>
              </w:rPr>
              <w:t xml:space="preserve">M. guttatus</w:t>
            </w:r>
            <w:r>
              <w:t xml:space="preserve"> </w:t>
            </w:r>
            <w:r>
              <w:t xml:space="preserve">and</w:t>
            </w:r>
            <w:r>
              <w:t xml:space="preserve"> </w:t>
            </w:r>
            <w:r>
              <w:rPr>
                <w:i/>
                <w:iCs/>
              </w:rPr>
              <w:t xml:space="preserve">M. nasutus</w:t>
            </w:r>
            <w:r>
              <w:t xml:space="preserve">. The latter two have greater overlap along PC1 and PC2.</w:t>
            </w:r>
          </w:p>
          <w:bookmarkEnd w:id="246"/>
        </w:tc>
      </w:tr>
    </w:tbl>
    <w:bookmarkEnd w:id="247"/>
    <w:bookmarkStart w:id="252" w:name="figure-3"/>
    <w:p>
      <w:pPr>
        <w:pStyle w:val="Heading2"/>
      </w:pPr>
      <w:r>
        <w:t xml:space="preserve">14.3 Figure 3</w:t>
      </w:r>
    </w:p>
    <w:tbl>
      <w:tblPr>
        <w:tblStyle w:val="Table"/>
        <w:tblW w:type="pct" w:w="5000"/>
        <w:tblLayout w:type="fixed"/>
        <w:tblLook w:firstRow="0" w:lastRow="0" w:firstColumn="0" w:lastColumn="0" w:noHBand="0" w:noVBand="0" w:val="0000"/>
      </w:tblPr>
      <w:tblGrid>
        <w:gridCol w:w="7920"/>
      </w:tblGrid>
      <w:tr>
        <w:tc>
          <w:tcPr/>
          <w:bookmarkStart w:id="251" w:name="fig-figure3"/>
          <w:p>
            <w:pPr>
              <w:pStyle w:val="Compact"/>
              <w:jc w:val="center"/>
            </w:pPr>
            <w:r>
              <w:drawing>
                <wp:inline>
                  <wp:extent cx="5943600" cy="7924800"/>
                  <wp:effectExtent b="0" l="0" r="0" t="0"/>
                  <wp:docPr descr="" title="" id="249" name="Picture"/>
                  <a:graphic>
                    <a:graphicData uri="http://schemas.openxmlformats.org/drawingml/2006/picture">
                      <pic:pic>
                        <pic:nvPicPr>
                          <pic:cNvPr descr="Aponte_Bolivar_mim2_manuscript_files/figure-docx/fig-figure3-1.png" id="250" name="Picture"/>
                          <pic:cNvPicPr>
                            <a:picLocks noChangeArrowheads="1" noChangeAspect="1"/>
                          </pic:cNvPicPr>
                        </pic:nvPicPr>
                        <pic:blipFill>
                          <a:blip r:embed="rId248"/>
                          <a:stretch>
                            <a:fillRect/>
                          </a:stretch>
                        </pic:blipFill>
                        <pic:spPr bwMode="auto">
                          <a:xfrm>
                            <a:off x="0" y="0"/>
                            <a:ext cx="5943600" cy="792480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Relative abundance of fungal phyla in rarefied sequence data by species and elevation zone.</w:t>
            </w:r>
          </w:p>
          <w:bookmarkEnd w:id="251"/>
        </w:tc>
      </w:tr>
    </w:tbl>
    <w:bookmarkEnd w:id="252"/>
    <w:bookmarkStart w:id="257" w:name="figure-4"/>
    <w:p>
      <w:pPr>
        <w:pStyle w:val="Heading2"/>
      </w:pPr>
      <w:r>
        <w:t xml:space="preserve">14.4 Figure 4</w:t>
      </w:r>
    </w:p>
    <w:tbl>
      <w:tblPr>
        <w:tblStyle w:val="Table"/>
        <w:tblW w:type="pct" w:w="5000"/>
        <w:tblLayout w:type="fixed"/>
        <w:tblLook w:firstRow="0" w:lastRow="0" w:firstColumn="0" w:lastColumn="0" w:noHBand="0" w:noVBand="0" w:val="0000"/>
      </w:tblPr>
      <w:tblGrid>
        <w:gridCol w:w="7920"/>
      </w:tblGrid>
      <w:tr>
        <w:tc>
          <w:tcPr/>
          <w:bookmarkStart w:id="256" w:name="fig-figure4"/>
          <w:p>
            <w:pPr>
              <w:pStyle w:val="Compact"/>
              <w:jc w:val="center"/>
            </w:pPr>
            <w:r>
              <w:drawing>
                <wp:inline>
                  <wp:extent cx="5943600" cy="6934200"/>
                  <wp:effectExtent b="0" l="0" r="0" t="0"/>
                  <wp:docPr descr="" title="" id="254" name="Picture"/>
                  <a:graphic>
                    <a:graphicData uri="http://schemas.openxmlformats.org/drawingml/2006/picture">
                      <pic:pic>
                        <pic:nvPicPr>
                          <pic:cNvPr descr="Aponte_Bolivar_mim2_manuscript_files/figure-docx/fig-figure4-1.png" id="255" name="Picture"/>
                          <pic:cNvPicPr>
                            <a:picLocks noChangeArrowheads="1" noChangeAspect="1"/>
                          </pic:cNvPicPr>
                        </pic:nvPicPr>
                        <pic:blipFill>
                          <a:blip r:embed="rId253"/>
                          <a:stretch>
                            <a:fillRect/>
                          </a:stretch>
                        </pic:blipFill>
                        <pic:spPr bwMode="auto">
                          <a:xfrm>
                            <a:off x="0" y="0"/>
                            <a:ext cx="5943600" cy="6934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Relationship between Hill orders by host species and elevation. A) Observed ASV richness (𝑞 = 0); B) Shannon’s entropy (𝑞 = 1); and C) Inverse Simpson’s index (𝑞 = 2) per host species as elevation increases. Blue filled points correspond to</w:t>
            </w:r>
            <w:r>
              <w:t xml:space="preserve"> </w:t>
            </w:r>
            <w:r>
              <w:rPr>
                <w:i/>
                <w:iCs/>
              </w:rPr>
              <w:t xml:space="preserve">M. laciniatus</w:t>
            </w:r>
            <w:r>
              <w:t xml:space="preserve">, green filled to</w:t>
            </w:r>
            <w:r>
              <w:t xml:space="preserve"> </w:t>
            </w:r>
            <w:r>
              <w:rPr>
                <w:i/>
                <w:iCs/>
              </w:rPr>
              <w:t xml:space="preserve">M. nasutus</w:t>
            </w:r>
            <w:r>
              <w:t xml:space="preserve">, and yellow to</w:t>
            </w:r>
            <w:r>
              <w:t xml:space="preserve"> </w:t>
            </w:r>
            <w:r>
              <w:rPr>
                <w:i/>
                <w:iCs/>
              </w:rPr>
              <w:t xml:space="preserve">M. guttatus</w:t>
            </w:r>
            <w:r>
              <w:t xml:space="preserve">. The solid line represents the linear model fit and the shaded area represents the 95% confidence interval.</w:t>
            </w:r>
          </w:p>
          <w:bookmarkEnd w:id="256"/>
        </w:tc>
      </w:tr>
    </w:tbl>
    <w:bookmarkEnd w:id="257"/>
    <w:bookmarkStart w:id="262" w:name="figure-5"/>
    <w:p>
      <w:pPr>
        <w:pStyle w:val="Heading2"/>
      </w:pPr>
      <w:r>
        <w:t xml:space="preserve">14.5 Figure 5</w:t>
      </w:r>
    </w:p>
    <w:tbl>
      <w:tblPr>
        <w:tblStyle w:val="Table"/>
        <w:tblW w:type="pct" w:w="5000"/>
        <w:tblLayout w:type="fixed"/>
        <w:tblLook w:firstRow="0" w:lastRow="0" w:firstColumn="0" w:lastColumn="0" w:noHBand="0" w:noVBand="0" w:val="0000"/>
      </w:tblPr>
      <w:tblGrid>
        <w:gridCol w:w="7920"/>
      </w:tblGrid>
      <w:tr>
        <w:tc>
          <w:tcPr/>
          <w:bookmarkStart w:id="261" w:name="fig-figure5"/>
          <w:p>
            <w:pPr>
              <w:pStyle w:val="Compact"/>
              <w:jc w:val="center"/>
            </w:pPr>
            <w:r>
              <w:drawing>
                <wp:inline>
                  <wp:extent cx="5943600" cy="7132320"/>
                  <wp:effectExtent b="0" l="0" r="0" t="0"/>
                  <wp:docPr descr="" title="" id="259" name="Picture"/>
                  <a:graphic>
                    <a:graphicData uri="http://schemas.openxmlformats.org/drawingml/2006/picture">
                      <pic:pic>
                        <pic:nvPicPr>
                          <pic:cNvPr descr="Aponte_Bolivar_mim2_manuscript_files/figure-docx/fig-figure5-1.png" id="260" name="Picture"/>
                          <pic:cNvPicPr>
                            <a:picLocks noChangeArrowheads="1" noChangeAspect="1"/>
                          </pic:cNvPicPr>
                        </pic:nvPicPr>
                        <pic:blipFill>
                          <a:blip r:embed="rId258"/>
                          <a:stretch>
                            <a:fillRect/>
                          </a:stretch>
                        </pic:blipFill>
                        <pic:spPr bwMode="auto">
                          <a:xfrm>
                            <a:off x="0" y="0"/>
                            <a:ext cx="5943600" cy="7132320"/>
                          </a:xfrm>
                          <a:prstGeom prst="rect">
                            <a:avLst/>
                          </a:prstGeom>
                          <a:noFill/>
                          <a:ln w="9525">
                            <a:noFill/>
                            <a:headEnd/>
                            <a:tailEnd/>
                          </a:ln>
                        </pic:spPr>
                      </pic:pic>
                    </a:graphicData>
                  </a:graphic>
                </wp:inline>
              </w:drawing>
            </w:r>
          </w:p>
          <w:p>
            <w:pPr>
              <w:jc w:val="center"/>
            </w:pPr>
            <w:pPr>
              <w:jc w:val="left"/>
              <w:spacing w:before="200"/>
              <w:pStyle w:val="ImageCaption"/>
            </w:pPr>
            <w:r>
              <w:t xml:space="preserve">Figure 5: FEF community composition association with leaf functional traits and elevation by host species. Distance-based Redundancy Analysis (dbRDA) plot of rarefied FEF community and leaf functional traits by species (colors) and by elevation zone (shapes). Each cluster of points represents a rarefied FEF community sample from one host species. Solid arrow lines represent significant associations (</w:t>
            </w:r>
            <w:r>
              <w:rPr>
                <w:i/>
                <w:iCs/>
              </w:rPr>
              <w:t xml:space="preserve">p</w:t>
            </w:r>
            <w:r>
              <w:t xml:space="preserve"> </w:t>
            </w:r>
            <w:r>
              <w:t xml:space="preserve">&lt; .01)with non-significant leaf trait associations left out for clarity. The length and direction of the arrows indicate the strength and direction of the association between the traits and the FEF community composition. Ellipses represent 95% confidence intervals. The plot is based on the Bray-Curtis dissimilarity matrix.</w:t>
            </w:r>
          </w:p>
          <w:bookmarkEnd w:id="261"/>
        </w:tc>
      </w:tr>
    </w:tbl>
    <w:bookmarkEnd w:id="262"/>
    <w:bookmarkStart w:id="267" w:name="figure-6"/>
    <w:p>
      <w:pPr>
        <w:pStyle w:val="Heading2"/>
      </w:pPr>
      <w:r>
        <w:t xml:space="preserve">14.6 Figure 6</w:t>
      </w:r>
    </w:p>
    <w:tbl>
      <w:tblPr>
        <w:tblStyle w:val="Table"/>
        <w:tblW w:type="pct" w:w="5000"/>
        <w:tblLayout w:type="fixed"/>
        <w:tblLook w:firstRow="0" w:lastRow="0" w:firstColumn="0" w:lastColumn="0" w:noHBand="0" w:noVBand="0" w:val="0000"/>
      </w:tblPr>
      <w:tblGrid>
        <w:gridCol w:w="7920"/>
      </w:tblGrid>
      <w:tr>
        <w:tc>
          <w:tcPr/>
          <w:bookmarkStart w:id="266" w:name="fig-figure6"/>
          <w:p>
            <w:pPr>
              <w:pStyle w:val="Compact"/>
              <w:jc w:val="center"/>
            </w:pPr>
            <w:r>
              <w:drawing>
                <wp:inline>
                  <wp:extent cx="5943600" cy="6934200"/>
                  <wp:effectExtent b="0" l="0" r="0" t="0"/>
                  <wp:docPr descr="" title="" id="264" name="Picture"/>
                  <a:graphic>
                    <a:graphicData uri="http://schemas.openxmlformats.org/drawingml/2006/picture">
                      <pic:pic>
                        <pic:nvPicPr>
                          <pic:cNvPr descr="Aponte_Bolivar_mim2_manuscript_files/figure-docx/fig-figure6-1.png" id="265" name="Picture"/>
                          <pic:cNvPicPr>
                            <a:picLocks noChangeArrowheads="1" noChangeAspect="1"/>
                          </pic:cNvPicPr>
                        </pic:nvPicPr>
                        <pic:blipFill>
                          <a:blip r:embed="rId263"/>
                          <a:stretch>
                            <a:fillRect/>
                          </a:stretch>
                        </pic:blipFill>
                        <pic:spPr bwMode="auto">
                          <a:xfrm>
                            <a:off x="0" y="0"/>
                            <a:ext cx="5943600" cy="6934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 Relationship between β-diversity and elevation by host species. The solid line represents simple linear regression and the shaded area represents the 95% confidence interval.</w:t>
            </w:r>
          </w:p>
          <w:bookmarkEnd w:id="266"/>
        </w:tc>
      </w:tr>
    </w:tbl>
    <w:bookmarkEnd w:id="267"/>
    <w:bookmarkStart w:id="272" w:name="figure-7"/>
    <w:p>
      <w:pPr>
        <w:pStyle w:val="Heading2"/>
      </w:pPr>
      <w:r>
        <w:t xml:space="preserve">14.7 Figure 7</w:t>
      </w:r>
    </w:p>
    <w:tbl>
      <w:tblPr>
        <w:tblStyle w:val="Table"/>
        <w:tblW w:type="pct" w:w="5000"/>
        <w:tblLayout w:type="fixed"/>
        <w:tblLook w:firstRow="0" w:lastRow="0" w:firstColumn="0" w:lastColumn="0" w:noHBand="0" w:noVBand="0" w:val="0000"/>
      </w:tblPr>
      <w:tblGrid>
        <w:gridCol w:w="7920"/>
      </w:tblGrid>
      <w:tr>
        <w:tc>
          <w:tcPr/>
          <w:bookmarkStart w:id="271" w:name="fig-figure7"/>
          <w:p>
            <w:pPr>
              <w:pStyle w:val="Compact"/>
              <w:jc w:val="center"/>
            </w:pPr>
            <w:r>
              <w:drawing>
                <wp:inline>
                  <wp:extent cx="5943600" cy="6934200"/>
                  <wp:effectExtent b="0" l="0" r="0" t="0"/>
                  <wp:docPr descr="" title="" id="269" name="Picture"/>
                  <a:graphic>
                    <a:graphicData uri="http://schemas.openxmlformats.org/drawingml/2006/picture">
                      <pic:pic>
                        <pic:nvPicPr>
                          <pic:cNvPr descr="Aponte_Bolivar_mim2_manuscript_files/figure-docx/fig-figure7-1.png" id="270" name="Picture"/>
                          <pic:cNvPicPr>
                            <a:picLocks noChangeArrowheads="1" noChangeAspect="1"/>
                          </pic:cNvPicPr>
                        </pic:nvPicPr>
                        <pic:blipFill>
                          <a:blip r:embed="rId268"/>
                          <a:stretch>
                            <a:fillRect/>
                          </a:stretch>
                        </pic:blipFill>
                        <pic:spPr bwMode="auto">
                          <a:xfrm>
                            <a:off x="0" y="0"/>
                            <a:ext cx="5943600" cy="6934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7: Dissimilarity of FEF communities correlates with</w:t>
            </w:r>
            <w:r>
              <w:t xml:space="preserve"> </w:t>
            </w:r>
            <w:r>
              <w:rPr>
                <w:i/>
                <w:iCs/>
              </w:rPr>
              <w:t xml:space="preserve">Mimulus</w:t>
            </w:r>
            <w:r>
              <w:t xml:space="preserve"> </w:t>
            </w:r>
            <w:r>
              <w:t xml:space="preserve">as a function of geographic distance per site. Data represent pairwise Bray-Curtis dissimilarity (β-diversity) among sites. A) FEF community dissimilarity in considering all host species. B) FEF community dissimilarity by host species. Blue filled points correspond to</w:t>
            </w:r>
            <w:r>
              <w:t xml:space="preserve"> </w:t>
            </w:r>
            <w:r>
              <w:rPr>
                <w:i/>
                <w:iCs/>
              </w:rPr>
              <w:t xml:space="preserve">M. laciniatus</w:t>
            </w:r>
            <w:r>
              <w:t xml:space="preserve">, green filled to</w:t>
            </w:r>
            <w:r>
              <w:t xml:space="preserve"> </w:t>
            </w:r>
            <w:r>
              <w:rPr>
                <w:i/>
                <w:iCs/>
              </w:rPr>
              <w:t xml:space="preserve">M. nasutus</w:t>
            </w:r>
            <w:r>
              <w:t xml:space="preserve">, and yellow to</w:t>
            </w:r>
            <w:r>
              <w:t xml:space="preserve"> </w:t>
            </w:r>
            <w:r>
              <w:rPr>
                <w:i/>
                <w:iCs/>
              </w:rPr>
              <w:t xml:space="preserve">M. guttatus</w:t>
            </w:r>
            <w:r>
              <w:t xml:space="preserve">.</w:t>
            </w:r>
          </w:p>
          <w:bookmarkEnd w:id="271"/>
        </w:tc>
      </w:tr>
    </w:tbl>
    <w:bookmarkEnd w:id="272"/>
    <w:bookmarkStart w:id="274" w:name="table-1"/>
    <w:p>
      <w:pPr>
        <w:pStyle w:val="Heading2"/>
      </w:pPr>
      <w:r>
        <w:t xml:space="preserve">14.8 Table 1</w:t>
      </w:r>
    </w:p>
    <w:tbl>
      <w:tblPr>
        <w:tblStyle w:val="Table"/>
        <w:tblW w:type="pct" w:w="5000"/>
        <w:tblLayout w:type="fixed"/>
        <w:tblLook w:firstRow="0" w:lastRow="0" w:firstColumn="0" w:lastColumn="0" w:noHBand="0" w:noVBand="0" w:val="0000"/>
      </w:tblPr>
      <w:tblGrid>
        <w:gridCol w:w="7920"/>
      </w:tblGrid>
      <w:tr>
        <w:tc>
          <w:tcPr/>
          <w:bookmarkStart w:id="273" w:name="tbl-table1"/>
          <w:p>
            <w:pPr>
              <w:jc w:val="center"/>
            </w:pPr>
            <w:pPr>
              <w:jc w:val="left"/>
              <w:spacing w:before="200"/>
              <w:pStyle w:val="ImageCaption"/>
            </w:pPr>
            <w:r>
              <w:t xml:space="preserve">Table 1: Generalized linear mixed models (GLMMs) for predicting mean Bray-Curtis dissimilarity</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56"/>
              <w:gridCol w:w="1056"/>
              <w:gridCol w:w="1056"/>
              <w:gridCol w:w="1056"/>
              <w:gridCol w:w="1056"/>
              <w:gridCol w:w="1056"/>
              <w:gridCol w:w="1056"/>
              <w:gridCol w:w="1056"/>
              <w:gridCol w:w="1056"/>
            </w:tblGrid>
            <w:tr>
              <w:trPr>
                <w:trHeight w:val="360" w:hRule="auto"/>
              </w:trPr>
              body 1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0" w:line="240"/>
                    <w:ind w:left="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false"/>
                      <w:u w:val="none"/>
                      <w:sz w:val="20"/>
                      <w:szCs w:val="20"/>
                      <w:color w:val="000000"/>
                    </w:rPr>
                    <w:t xml:space="preserve"/>
                  </w:r>
                </w:p>
              </w:tc>
              <w:tc>
                <w:tcPr>
                  <w:gridSpan w:val="2"/>
                  <w:tcBorders>
                    <w:bottom w:val="single" w:sz="8"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true"/>
                      <w:u w:val="none"/>
                      <w:sz w:val="22"/>
                      <w:szCs w:val="22"/>
                      <w:color w:val="000000"/>
                    </w:rPr>
                    <w:t xml:space="preserve">Model 1</w:t>
                  </w:r>
                </w:p>
              </w:tc>
              <w:tc>
                <w:tcPr>
                  <w:gridSpan w:val="2"/>
                  <w:tcBorders>
                    <w:bottom w:val="single" w:sz="8"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true"/>
                      <w:u w:val="none"/>
                      <w:sz w:val="22"/>
                      <w:szCs w:val="22"/>
                      <w:color w:val="000000"/>
                    </w:rPr>
                    <w:t xml:space="preserve">Model 2</w:t>
                  </w:r>
                </w:p>
              </w:tc>
              <w:tc>
                <w:tcPr>
                  <w:gridSpan w:val="2"/>
                  <w:tcBorders>
                    <w:bottom w:val="single" w:sz="8"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true"/>
                      <w:u w:val="none"/>
                      <w:sz w:val="22"/>
                      <w:szCs w:val="22"/>
                      <w:color w:val="000000"/>
                    </w:rPr>
                    <w:t xml:space="preserve">Model 3</w:t>
                  </w:r>
                </w:p>
              </w:tc>
              <w:tc>
                <w:tcPr>
                  <w:gridSpan w:val="2"/>
                  <w:tcBorders>
                    <w:bottom w:val="single" w:sz="8"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true"/>
                      <w:u w:val="none"/>
                      <w:sz w:val="22"/>
                      <w:szCs w:val="22"/>
                      <w:color w:val="000000"/>
                    </w:rPr>
                    <w:t xml:space="preserve">Model 4</w:t>
                  </w:r>
                </w:p>
              </w:tc>
            </w:tr>
            <w:tr>
              <w:trPr>
                <w:trHeight w:val="360" w:hRule="auto"/>
              </w:trPr>
              body 2
              <w:tc>
                <w:tcPr>
                  <w:tcBorders>
                    <w:bottom w:val="single" w:sz="3"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true"/>
                      <w:u w:val="none"/>
                      <w:sz w:val="20"/>
                      <w:szCs w:val="20"/>
                      <w:color w:val="000000"/>
                    </w:rPr>
                    <w:t xml:space="preserve">Predictors</w:t>
                  </w:r>
                </w:p>
              </w:tc>
              <w:tc>
                <w:tcPr>
                  <w:tcBorders>
                    <w:bottom w:val="single" w:sz="3"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true"/>
                      <w:u w:val="none"/>
                      <w:sz w:val="22"/>
                      <w:szCs w:val="22"/>
                      <w:color w:val="000000"/>
                    </w:rPr>
                    <w:t xml:space="preserve">Estimate</w:t>
                  </w:r>
                </w:p>
              </w:tc>
              <w:tc>
                <w:tcPr>
                  <w:tcBorders>
                    <w:bottom w:val="single" w:sz="3"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true"/>
                      <w:u w:val="none"/>
                      <w:sz w:val="22"/>
                      <w:szCs w:val="22"/>
                      <w:color w:val="000000"/>
                    </w:rPr>
                    <w:t xml:space="preserve">CI [t-statistic]</w:t>
                  </w:r>
                </w:p>
              </w:tc>
              <w:tc>
                <w:tcPr>
                  <w:tcBorders>
                    <w:bottom w:val="single" w:sz="3"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true"/>
                      <w:u w:val="none"/>
                      <w:sz w:val="22"/>
                      <w:szCs w:val="22"/>
                      <w:color w:val="000000"/>
                    </w:rPr>
                    <w:t xml:space="preserve">Estimate</w:t>
                  </w:r>
                </w:p>
              </w:tc>
              <w:tc>
                <w:tcPr>
                  <w:tcBorders>
                    <w:bottom w:val="single" w:sz="3"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true"/>
                      <w:u w:val="none"/>
                      <w:sz w:val="22"/>
                      <w:szCs w:val="22"/>
                      <w:color w:val="000000"/>
                    </w:rPr>
                    <w:t xml:space="preserve">CI [t-statistic]</w:t>
                  </w:r>
                </w:p>
              </w:tc>
              <w:tc>
                <w:tcPr>
                  <w:tcBorders>
                    <w:bottom w:val="single" w:sz="3"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true"/>
                      <w:u w:val="none"/>
                      <w:sz w:val="22"/>
                      <w:szCs w:val="22"/>
                      <w:color w:val="000000"/>
                    </w:rPr>
                    <w:t xml:space="preserve">Estimate</w:t>
                  </w:r>
                </w:p>
              </w:tc>
              <w:tc>
                <w:tcPr>
                  <w:tcBorders>
                    <w:bottom w:val="single" w:sz="3"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true"/>
                      <w:u w:val="none"/>
                      <w:sz w:val="22"/>
                      <w:szCs w:val="22"/>
                      <w:color w:val="000000"/>
                    </w:rPr>
                    <w:t xml:space="preserve">CI [t-statistic]</w:t>
                  </w:r>
                </w:p>
              </w:tc>
              <w:tc>
                <w:tcPr>
                  <w:tcBorders>
                    <w:bottom w:val="single" w:sz="3"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true"/>
                      <w:u w:val="none"/>
                      <w:sz w:val="22"/>
                      <w:szCs w:val="22"/>
                      <w:color w:val="000000"/>
                    </w:rPr>
                    <w:t xml:space="preserve">Estimate</w:t>
                  </w:r>
                </w:p>
              </w:tc>
              <w:tc>
                <w:tcPr>
                  <w:tcBorders>
                    <w:bottom w:val="single" w:sz="3"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true"/>
                      <w:u w:val="none"/>
                      <w:sz w:val="22"/>
                      <w:szCs w:val="22"/>
                      <w:color w:val="000000"/>
                    </w:rPr>
                    <w:t xml:space="preserve">CI [t-statistic]</w:t>
                  </w:r>
                </w:p>
              </w:tc>
            </w:tr>
            <w:tr>
              <w:trPr>
                <w:trHeight w:val="360" w:hRule="auto"/>
              </w:trPr>
              body 3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false"/>
                      <w:u w:val="none"/>
                      <w:sz w:val="20"/>
                      <w:szCs w:val="20"/>
                      <w:color w:val="000000"/>
                    </w:rPr>
                    <w:t xml:space="preserve">Intercept</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true"/>
                      <w:u w:val="none"/>
                      <w:sz w:val="22"/>
                      <w:szCs w:val="22"/>
                      <w:color w:val="000000"/>
                    </w:rPr>
                    <w:t xml:space="preserve">0.59 ***</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true"/>
                      <w:u w:val="none"/>
                      <w:sz w:val="22"/>
                      <w:szCs w:val="22"/>
                      <w:color w:val="000000"/>
                    </w:rPr>
                    <w:t xml:space="preserve">(0.49 - 0.69 ) [11.35]</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true"/>
                      <w:u w:val="none"/>
                      <w:sz w:val="22"/>
                      <w:szCs w:val="22"/>
                      <w:color w:val="000000"/>
                    </w:rPr>
                    <w:t xml:space="preserve">0.83 ***</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true"/>
                      <w:u w:val="none"/>
                      <w:sz w:val="22"/>
                      <w:szCs w:val="22"/>
                      <w:color w:val="000000"/>
                    </w:rPr>
                    <w:t xml:space="preserve">(0.75 - 0.91 ) [20.11]</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true"/>
                      <w:u w:val="none"/>
                      <w:sz w:val="22"/>
                      <w:szCs w:val="22"/>
                      <w:color w:val="000000"/>
                    </w:rPr>
                    <w:t xml:space="preserve">0.78 ***</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true"/>
                      <w:u w:val="none"/>
                      <w:sz w:val="22"/>
                      <w:szCs w:val="22"/>
                      <w:color w:val="000000"/>
                    </w:rPr>
                    <w:t xml:space="preserve">(0.74 - 0.82 ) [38.06]</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true"/>
                      <w:u w:val="none"/>
                      <w:sz w:val="22"/>
                      <w:szCs w:val="22"/>
                      <w:color w:val="000000"/>
                    </w:rPr>
                    <w:t xml:space="preserve">0.86 ***</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true"/>
                      <w:u w:val="none"/>
                      <w:sz w:val="22"/>
                      <w:szCs w:val="22"/>
                      <w:color w:val="000000"/>
                    </w:rPr>
                    <w:t xml:space="preserve">(0.83 - 0.89 ) [48.65]</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true"/>
                      <w:b w:val="false"/>
                      <w:u w:val="none"/>
                      <w:sz w:val="20"/>
                      <w:szCs w:val="20"/>
                      <w:color w:val="000000"/>
                    </w:rPr>
                    <w:t xml:space="preserve">M. nasutus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true"/>
                      <w:u w:val="none"/>
                      <w:sz w:val="22"/>
                      <w:szCs w:val="22"/>
                      <w:color w:val="000000"/>
                    </w:rPr>
                    <w:t xml:space="preserve">-0.01 **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true"/>
                      <w:u w:val="none"/>
                      <w:sz w:val="22"/>
                      <w:szCs w:val="22"/>
                      <w:color w:val="000000"/>
                    </w:rPr>
                    <w:t xml:space="preserve">(-0.02 - -0.00 ) [-2.93]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true"/>
                      <w:u w:val="none"/>
                      <w:sz w:val="22"/>
                      <w:szCs w:val="22"/>
                      <w:color w:val="000000"/>
                    </w:rPr>
                    <w:t xml:space="preserve">0.02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true"/>
                      <w:u w:val="none"/>
                      <w:sz w:val="22"/>
                      <w:szCs w:val="22"/>
                      <w:color w:val="000000"/>
                    </w:rPr>
                    <w:t xml:space="preserve">(0.01 - 0.02 ) [3.72]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true"/>
                      <w:u w:val="none"/>
                      <w:sz w:val="22"/>
                      <w:szCs w:val="22"/>
                      <w:color w:val="000000"/>
                    </w:rPr>
                    <w:t xml:space="preserve">0.02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true"/>
                      <w:u w:val="none"/>
                      <w:sz w:val="22"/>
                      <w:szCs w:val="22"/>
                      <w:color w:val="000000"/>
                    </w:rPr>
                    <w:t xml:space="preserve">(0.01 - 0.03 ) [3.91]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false"/>
                      <w:u w:val="none"/>
                      <w:sz w:val="22"/>
                      <w:szCs w:val="22"/>
                      <w:color w:val="000000"/>
                    </w:rPr>
                    <w:t xml:space="preserve">    </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true"/>
                      <w:b w:val="false"/>
                      <w:u w:val="none"/>
                      <w:sz w:val="20"/>
                      <w:szCs w:val="20"/>
                      <w:color w:val="000000"/>
                    </w:rPr>
                    <w:t xml:space="preserve">M. guttatus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true"/>
                      <w:u w:val="none"/>
                      <w:sz w:val="22"/>
                      <w:szCs w:val="22"/>
                      <w:color w:val="000000"/>
                    </w:rPr>
                    <w:t xml:space="preserve">0.02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true"/>
                      <w:u w:val="none"/>
                      <w:sz w:val="22"/>
                      <w:szCs w:val="22"/>
                      <w:color w:val="000000"/>
                    </w:rPr>
                    <w:t xml:space="preserve">(0.01 - 0.03 ) [4.19]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true"/>
                      <w:u w:val="none"/>
                      <w:sz w:val="22"/>
                      <w:szCs w:val="22"/>
                      <w:color w:val="000000"/>
                    </w:rPr>
                    <w:t xml:space="preserve">0.04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true"/>
                      <w:u w:val="none"/>
                      <w:sz w:val="22"/>
                      <w:szCs w:val="22"/>
                      <w:color w:val="000000"/>
                    </w:rPr>
                    <w:t xml:space="preserve">(0.03 - 0.05 ) [8.74]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true"/>
                      <w:u w:val="none"/>
                      <w:sz w:val="22"/>
                      <w:szCs w:val="22"/>
                      <w:color w:val="000000"/>
                    </w:rPr>
                    <w:t xml:space="preserve">0.04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true"/>
                      <w:u w:val="none"/>
                      <w:sz w:val="22"/>
                      <w:szCs w:val="22"/>
                      <w:color w:val="000000"/>
                    </w:rPr>
                    <w:t xml:space="preserve">(0.03 - 0.05 ) [8.93]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false"/>
                      <w:u w:val="none"/>
                      <w:sz w:val="22"/>
                      <w:szCs w:val="22"/>
                      <w:color w:val="000000"/>
                    </w:rPr>
                    <w:t xml:space="preserve">    </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false"/>
                      <w:u w:val="none"/>
                      <w:sz w:val="20"/>
                      <w:szCs w:val="20"/>
                      <w:color w:val="000000"/>
                    </w:rPr>
                    <w:t xml:space="preserve">Elevation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false"/>
                      <w:u w:val="none"/>
                      <w:sz w:val="22"/>
                      <w:szCs w:val="22"/>
                      <w:color w:val="000000"/>
                    </w:rPr>
                    <w:t xml:space="preserve">-0.00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false"/>
                      <w:u w:val="none"/>
                      <w:sz w:val="22"/>
                      <w:szCs w:val="22"/>
                      <w:color w:val="000000"/>
                    </w:rPr>
                    <w:t xml:space="preserve">(-0.00 - 0.00 ) [-1.64]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false"/>
                      <w:u w:val="none"/>
                      <w:sz w:val="22"/>
                      <w:szCs w:val="22"/>
                      <w:color w:val="000000"/>
                    </w:rPr>
                    <w:t xml:space="preserve">-0.00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false"/>
                      <w:u w:val="none"/>
                      <w:sz w:val="22"/>
                      <w:szCs w:val="22"/>
                      <w:color w:val="000000"/>
                    </w:rPr>
                    <w:t xml:space="preserve">(-0.00 - 0.00 ) [-1.36]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false"/>
                      <w:u w:val="none"/>
                      <w:sz w:val="22"/>
                      <w:szCs w:val="22"/>
                      <w:color w:val="000000"/>
                    </w:rPr>
                    <w:t xml:space="preserve">    </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false"/>
                      <w:u w:val="none"/>
                      <w:sz w:val="20"/>
                      <w:szCs w:val="20"/>
                      <w:color w:val="000000"/>
                    </w:rPr>
                    <w:t xml:space="preserve">ACI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true"/>
                      <w:u w:val="none"/>
                      <w:sz w:val="22"/>
                      <w:szCs w:val="22"/>
                      <w:color w:val="000000"/>
                    </w:rPr>
                    <w:t xml:space="preserve">0.05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true"/>
                      <w:u w:val="none"/>
                      <w:sz w:val="22"/>
                      <w:szCs w:val="22"/>
                      <w:color w:val="000000"/>
                    </w:rPr>
                    <w:t xml:space="preserve">(0.03 - 0.06 ) [7.03]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true"/>
                      <w:u w:val="none"/>
                      <w:sz w:val="22"/>
                      <w:szCs w:val="22"/>
                      <w:color w:val="000000"/>
                    </w:rPr>
                    <w:t xml:space="preserve">-0.08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true"/>
                      <w:u w:val="none"/>
                      <w:sz w:val="22"/>
                      <w:szCs w:val="22"/>
                      <w:color w:val="000000"/>
                    </w:rPr>
                    <w:t xml:space="preserve">(-0.08 - -0.07 ) [-29.93]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true"/>
                      <w:u w:val="none"/>
                      <w:sz w:val="22"/>
                      <w:szCs w:val="22"/>
                      <w:color w:val="000000"/>
                    </w:rPr>
                    <w:t xml:space="preserve">-0.08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true"/>
                      <w:u w:val="none"/>
                      <w:sz w:val="22"/>
                      <w:szCs w:val="22"/>
                      <w:color w:val="000000"/>
                    </w:rPr>
                    <w:t xml:space="preserve">(-0.08 - -0.07 ) [-29.90]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true"/>
                      <w:u w:val="none"/>
                      <w:sz w:val="22"/>
                      <w:szCs w:val="22"/>
                      <w:color w:val="000000"/>
                    </w:rPr>
                    <w:t xml:space="preserve">-0.08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true"/>
                      <w:u w:val="none"/>
                      <w:sz w:val="22"/>
                      <w:szCs w:val="22"/>
                      <w:color w:val="000000"/>
                    </w:rPr>
                    <w:t xml:space="preserve">(-0.08 - -0.07 ) [-32.48]</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false"/>
                      <w:u w:val="none"/>
                      <w:sz w:val="20"/>
                      <w:szCs w:val="20"/>
                      <w:color w:val="000000"/>
                    </w:rPr>
                    <w:t xml:space="preserve">LT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true"/>
                      <w:u w:val="none"/>
                      <w:sz w:val="22"/>
                      <w:szCs w:val="22"/>
                      <w:color w:val="000000"/>
                    </w:rPr>
                    <w:t xml:space="preserve">0.03 *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true"/>
                      <w:u w:val="none"/>
                      <w:sz w:val="22"/>
                      <w:szCs w:val="22"/>
                      <w:color w:val="000000"/>
                    </w:rPr>
                    <w:t xml:space="preserve">(0.00 - 0.06 ) [2.14]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true"/>
                      <w:u w:val="none"/>
                      <w:sz w:val="22"/>
                      <w:szCs w:val="22"/>
                      <w:color w:val="000000"/>
                    </w:rPr>
                    <w:t xml:space="preserve">-0.03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true"/>
                      <w:u w:val="none"/>
                      <w:sz w:val="22"/>
                      <w:szCs w:val="22"/>
                      <w:color w:val="000000"/>
                    </w:rPr>
                    <w:t xml:space="preserve">(-0.04 - -0.02 ) [-5.68]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true"/>
                      <w:u w:val="none"/>
                      <w:sz w:val="22"/>
                      <w:szCs w:val="22"/>
                      <w:color w:val="000000"/>
                    </w:rPr>
                    <w:t xml:space="preserve">-0.03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true"/>
                      <w:u w:val="none"/>
                      <w:sz w:val="22"/>
                      <w:szCs w:val="22"/>
                      <w:color w:val="000000"/>
                    </w:rPr>
                    <w:t xml:space="preserve">(-0.04 - -0.02 ) [-5.71]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true"/>
                      <w:u w:val="none"/>
                      <w:sz w:val="22"/>
                      <w:szCs w:val="22"/>
                      <w:color w:val="000000"/>
                    </w:rPr>
                    <w:t xml:space="preserve">-0.05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true"/>
                      <w:u w:val="none"/>
                      <w:sz w:val="22"/>
                      <w:szCs w:val="22"/>
                      <w:color w:val="000000"/>
                    </w:rPr>
                    <w:t xml:space="preserve">(-0.06 - -0.04 ) [-9.51]</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false"/>
                      <w:u w:val="none"/>
                      <w:sz w:val="20"/>
                      <w:szCs w:val="20"/>
                      <w:color w:val="000000"/>
                    </w:rPr>
                    <w:t xml:space="preserve">LPS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true"/>
                      <w:u w:val="none"/>
                      <w:sz w:val="22"/>
                      <w:szCs w:val="22"/>
                      <w:color w:val="000000"/>
                    </w:rPr>
                    <w:t xml:space="preserve">-0.03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true"/>
                      <w:u w:val="none"/>
                      <w:sz w:val="22"/>
                      <w:szCs w:val="22"/>
                      <w:color w:val="000000"/>
                    </w:rPr>
                    <w:t xml:space="preserve">(-0.05 - -0.01 ) [-3.42]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true"/>
                      <w:u w:val="none"/>
                      <w:sz w:val="22"/>
                      <w:szCs w:val="22"/>
                      <w:color w:val="000000"/>
                    </w:rPr>
                    <w:t xml:space="preserve">-0.02 **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true"/>
                      <w:u w:val="none"/>
                      <w:sz w:val="22"/>
                      <w:szCs w:val="22"/>
                      <w:color w:val="000000"/>
                    </w:rPr>
                    <w:t xml:space="preserve">(-0.03 - -0.00 ) [-2.65]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true"/>
                      <w:u w:val="none"/>
                      <w:sz w:val="22"/>
                      <w:szCs w:val="22"/>
                      <w:color w:val="000000"/>
                    </w:rPr>
                    <w:t xml:space="preserve">-0.02 **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true"/>
                      <w:u w:val="none"/>
                      <w:sz w:val="22"/>
                      <w:szCs w:val="22"/>
                      <w:color w:val="000000"/>
                    </w:rPr>
                    <w:t xml:space="preserve">(-0.03 - -0.00 ) [-2.64]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false"/>
                      <w:u w:val="none"/>
                      <w:sz w:val="22"/>
                      <w:szCs w:val="22"/>
                      <w:color w:val="000000"/>
                    </w:rPr>
                    <w:t xml:space="preserve">    </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false"/>
                      <w:u w:val="none"/>
                      <w:sz w:val="20"/>
                      <w:szCs w:val="20"/>
                      <w:color w:val="000000"/>
                    </w:rPr>
                    <w:t xml:space="preserve">LMA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true"/>
                      <w:u w:val="none"/>
                      <w:sz w:val="22"/>
                      <w:szCs w:val="22"/>
                      <w:color w:val="000000"/>
                    </w:rPr>
                    <w:t xml:space="preserve">-0.04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true"/>
                      <w:u w:val="none"/>
                      <w:sz w:val="22"/>
                      <w:szCs w:val="22"/>
                      <w:color w:val="000000"/>
                    </w:rPr>
                    <w:t xml:space="preserve">(-0.06 - -0.03 ) [-5.75]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true"/>
                      <w:u w:val="none"/>
                      <w:sz w:val="22"/>
                      <w:szCs w:val="22"/>
                      <w:color w:val="000000"/>
                    </w:rPr>
                    <w:t xml:space="preserve">0.02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true"/>
                      <w:u w:val="none"/>
                      <w:sz w:val="22"/>
                      <w:szCs w:val="22"/>
                      <w:color w:val="000000"/>
                    </w:rPr>
                    <w:t xml:space="preserve">(0.01 - 0.03 ) [4.83]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true"/>
                      <w:u w:val="none"/>
                      <w:sz w:val="22"/>
                      <w:szCs w:val="22"/>
                      <w:color w:val="000000"/>
                    </w:rPr>
                    <w:t xml:space="preserve">0.02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true"/>
                      <w:u w:val="none"/>
                      <w:sz w:val="22"/>
                      <w:szCs w:val="22"/>
                      <w:color w:val="000000"/>
                    </w:rPr>
                    <w:t xml:space="preserve">(0.01 - 0.03 ) [4.88]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true"/>
                      <w:u w:val="none"/>
                      <w:sz w:val="22"/>
                      <w:szCs w:val="22"/>
                      <w:color w:val="000000"/>
                    </w:rPr>
                    <w:t xml:space="preserve">0.01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true"/>
                      <w:u w:val="none"/>
                      <w:sz w:val="22"/>
                      <w:szCs w:val="22"/>
                      <w:color w:val="000000"/>
                    </w:rPr>
                    <w:t xml:space="preserve">(0.01 - 0.02 ) [3.74]</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false"/>
                      <w:u w:val="none"/>
                      <w:sz w:val="20"/>
                      <w:szCs w:val="20"/>
                      <w:color w:val="000000"/>
                    </w:rPr>
                    <w:t xml:space="preserve">LBI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true"/>
                      <w:u w:val="none"/>
                      <w:sz w:val="22"/>
                      <w:szCs w:val="22"/>
                      <w:color w:val="000000"/>
                    </w:rPr>
                    <w:t xml:space="preserve">-0.01 *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true"/>
                      <w:u w:val="none"/>
                      <w:sz w:val="22"/>
                      <w:szCs w:val="22"/>
                      <w:color w:val="000000"/>
                    </w:rPr>
                    <w:t xml:space="preserve">(-0.02 - -0.00 ) [-2.53]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true"/>
                      <w:u w:val="none"/>
                      <w:sz w:val="22"/>
                      <w:szCs w:val="22"/>
                      <w:color w:val="000000"/>
                    </w:rPr>
                    <w:t xml:space="preserve">-0.01 *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true"/>
                      <w:u w:val="none"/>
                      <w:sz w:val="22"/>
                      <w:szCs w:val="22"/>
                      <w:color w:val="000000"/>
                    </w:rPr>
                    <w:t xml:space="preserve">(-0.02 - -0.00 ) [-2.34]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true"/>
                      <w:u w:val="none"/>
                      <w:sz w:val="22"/>
                      <w:szCs w:val="22"/>
                      <w:color w:val="000000"/>
                    </w:rPr>
                    <w:t xml:space="preserve">-0.01 *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true"/>
                      <w:u w:val="none"/>
                      <w:sz w:val="22"/>
                      <w:szCs w:val="22"/>
                      <w:color w:val="000000"/>
                    </w:rPr>
                    <w:t xml:space="preserve">(-0.02 - -0.00 ) [-2.41]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false"/>
                      <w:u w:val="none"/>
                      <w:sz w:val="22"/>
                      <w:szCs w:val="22"/>
                      <w:color w:val="000000"/>
                    </w:rPr>
                    <w:t xml:space="preserve">-0.00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false"/>
                      <w:u w:val="none"/>
                      <w:sz w:val="22"/>
                      <w:szCs w:val="22"/>
                      <w:color w:val="000000"/>
                    </w:rPr>
                    <w:t xml:space="preserve">(-0.01 - 0.01 ) [-0.22]</w:t>
                  </w:r>
                </w:p>
              </w:tc>
            </w:tr>
            <w:tr>
              <w:trPr>
                <w:trHeight w:val="360" w:hRule="auto"/>
              </w:trPr>
              body12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true"/>
                      <w:b w:val="true"/>
                      <w:u w:val="none"/>
                      <w:sz w:val="20"/>
                      <w:szCs w:val="20"/>
                      <w:color w:val="000000"/>
                    </w:rPr>
                    <w:t xml:space="preserve">Random effects</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true"/>
                      <w:u w:val="none"/>
                      <w:sz w:val="22"/>
                      <w:szCs w:val="22"/>
                      <w:color w:val="000000"/>
                    </w:rPr>
                    <w:t xml:space="preserve">       </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true"/>
                      <w:u w:val="none"/>
                      <w:sz w:val="22"/>
                      <w:szCs w:val="22"/>
                      <w:color w:val="000000"/>
                    </w:rPr>
                    <w:t xml:space="preserve">    </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true"/>
                      <w:u w:val="none"/>
                      <w:sz w:val="22"/>
                      <w:szCs w:val="22"/>
                      <w:color w:val="000000"/>
                    </w:rPr>
                    <w:t xml:space="preserve">       </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true"/>
                      <w:u w:val="none"/>
                      <w:sz w:val="22"/>
                      <w:szCs w:val="22"/>
                      <w:color w:val="000000"/>
                    </w:rPr>
                    <w:t xml:space="preserve">    </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true"/>
                      <w:u w:val="none"/>
                      <w:sz w:val="22"/>
                      <w:szCs w:val="22"/>
                      <w:color w:val="000000"/>
                    </w:rPr>
                    <w:t xml:space="preserve">       </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true"/>
                      <w:u w:val="none"/>
                      <w:sz w:val="22"/>
                      <w:szCs w:val="22"/>
                      <w:color w:val="000000"/>
                    </w:rPr>
                    <w:t xml:space="preserve">    </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false"/>
                      <w:u w:val="none"/>
                      <w:sz w:val="22"/>
                      <w:szCs w:val="22"/>
                      <w:color w:val="000000"/>
                    </w:rPr>
                    <w:t xml:space="preserve">       </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false"/>
                      <w:u w:val="none"/>
                      <w:sz w:val="22"/>
                      <w:szCs w:val="22"/>
                      <w:color w:val="000000"/>
                    </w:rPr>
                    <w:t xml:space="preserve">    </w:t>
                  </w:r>
                </w:p>
              </w:tc>
            </w:tr>
            <w:tr>
              <w:trPr>
                <w:trHeight w:val="360" w:hRule="auto"/>
              </w:trPr>
              body13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false"/>
                      <w:u w:val="none"/>
                      <w:sz w:val="20"/>
                      <w:szCs w:val="20"/>
                      <w:color w:val="000000"/>
                    </w:rPr>
                    <w:t xml:space="preserve">N</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false"/>
                      <w:u w:val="none"/>
                      <w:sz w:val="22"/>
                      <w:szCs w:val="22"/>
                      <w:color w:val="000000"/>
                    </w:rPr>
                    <w:t xml:space="preserve">4200       </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false"/>
                      <w:u w:val="none"/>
                      <w:sz w:val="22"/>
                      <w:szCs w:val="22"/>
                      <w:color w:val="000000"/>
                    </w:rPr>
                    <w:t xml:space="preserve">    </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false"/>
                      <w:u w:val="none"/>
                      <w:sz w:val="22"/>
                      <w:szCs w:val="22"/>
                      <w:color w:val="000000"/>
                    </w:rPr>
                    <w:t xml:space="preserve">4200       </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false"/>
                      <w:u w:val="none"/>
                      <w:sz w:val="22"/>
                      <w:szCs w:val="22"/>
                      <w:color w:val="000000"/>
                    </w:rPr>
                    <w:t xml:space="preserve">    </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false"/>
                      <w:u w:val="none"/>
                      <w:sz w:val="22"/>
                      <w:szCs w:val="22"/>
                      <w:color w:val="000000"/>
                    </w:rPr>
                    <w:t xml:space="preserve">4200       </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false"/>
                      <w:u w:val="none"/>
                      <w:sz w:val="22"/>
                      <w:szCs w:val="22"/>
                      <w:color w:val="000000"/>
                    </w:rPr>
                    <w:t xml:space="preserve">    </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false"/>
                      <w:u w:val="none"/>
                      <w:sz w:val="22"/>
                      <w:szCs w:val="22"/>
                      <w:color w:val="000000"/>
                    </w:rPr>
                    <w:t xml:space="preserve">4200       </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false"/>
                      <w:u w:val="none"/>
                      <w:sz w:val="22"/>
                      <w:szCs w:val="22"/>
                      <w:color w:val="000000"/>
                    </w:rPr>
                    <w:t xml:space="preserve">    </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false"/>
                      <w:u w:val="none"/>
                      <w:sz w:val="20"/>
                      <w:szCs w:val="20"/>
                      <w:color w:val="000000"/>
                    </w:rPr>
                    <w:t xml:space="preserve">logLik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false"/>
                      <w:u w:val="none"/>
                      <w:sz w:val="22"/>
                      <w:szCs w:val="22"/>
                      <w:color w:val="000000"/>
                    </w:rPr>
                    <w:t xml:space="preserve">6729.85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false"/>
                      <w:u w:val="none"/>
                      <w:sz w:val="22"/>
                      <w:szCs w:val="22"/>
                      <w:color w:val="000000"/>
                    </w:rPr>
                    <w:t xml:space="preserve">8154.59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false"/>
                      <w:u w:val="none"/>
                      <w:sz w:val="22"/>
                      <w:szCs w:val="22"/>
                      <w:color w:val="000000"/>
                    </w:rPr>
                    <w:t xml:space="preserve">8163.50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false"/>
                      <w:u w:val="none"/>
                      <w:sz w:val="22"/>
                      <w:szCs w:val="22"/>
                      <w:color w:val="000000"/>
                    </w:rPr>
                    <w:t xml:space="preserve">8330.81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0" w:before="200" w:line="240"/>
                    <w:ind w:left="20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false"/>
                      <w:u w:val="none"/>
                      <w:sz w:val="22"/>
                      <w:szCs w:val="22"/>
                      <w:color w:val="000000"/>
                    </w:rPr>
                    <w:t xml:space="preserve">    </w:t>
                  </w:r>
                </w:p>
              </w:tc>
            </w:tr>
            <w:tr>
              <w:trPr>
                <w:trHeight w:val="360" w:hRule="auto"/>
              </w:trPr>
              body15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true"/>
                      <w:b w:val="false"/>
                      <w:u w:val="none"/>
                      <w:sz w:val="20"/>
                      <w:szCs w:val="20"/>
                      <w:color w:val="000000"/>
                    </w:rPr>
                    <w:t xml:space="preserve">AIC</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false"/>
                      <w:u w:val="none"/>
                      <w:sz w:val="22"/>
                      <w:szCs w:val="22"/>
                      <w:color w:val="000000"/>
                    </w:rPr>
                    <w:t xml:space="preserve">-13437.71    </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false"/>
                      <w:u w:val="none"/>
                      <w:sz w:val="22"/>
                      <w:szCs w:val="22"/>
                      <w:color w:val="000000"/>
                    </w:rPr>
                    <w:t xml:space="preserve">    </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false"/>
                      <w:u w:val="none"/>
                      <w:sz w:val="22"/>
                      <w:szCs w:val="22"/>
                      <w:color w:val="000000"/>
                    </w:rPr>
                    <w:t xml:space="preserve">-16249.18    </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false"/>
                      <w:u w:val="none"/>
                      <w:sz w:val="22"/>
                      <w:szCs w:val="22"/>
                      <w:color w:val="000000"/>
                    </w:rPr>
                    <w:t xml:space="preserve">    </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false"/>
                      <w:u w:val="none"/>
                      <w:sz w:val="22"/>
                      <w:szCs w:val="22"/>
                      <w:color w:val="000000"/>
                    </w:rPr>
                    <w:t xml:space="preserve">-16269.01    </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false"/>
                      <w:u w:val="none"/>
                      <w:sz w:val="22"/>
                      <w:szCs w:val="22"/>
                      <w:color w:val="000000"/>
                    </w:rPr>
                    <w:t xml:space="preserve">    </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false"/>
                      <w:u w:val="none"/>
                      <w:sz w:val="22"/>
                      <w:szCs w:val="22"/>
                      <w:color w:val="000000"/>
                    </w:rPr>
                    <w:t xml:space="preserve">-16603.63    </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false"/>
                      <w:u w:val="none"/>
                      <w:sz w:val="22"/>
                      <w:szCs w:val="22"/>
                      <w:color w:val="000000"/>
                    </w:rPr>
                    <w:t xml:space="preserve">    </w:t>
                  </w:r>
                </w:p>
              </w:tc>
            </w:tr>
            <w:tr>
              <w:trPr>
                <w:trHeight w:val="360" w:hRule="auto"/>
              </w:trPr>
              body16
              <w:tc>
                <w:tcPr>
                  <w:gridSpan w:val="9"/>
                  <w:tcBorders>
                    <w:bottom w:val="single" w:sz="3"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200" w:line="240"/>
                    <w:ind w:left="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false"/>
                      <w:u w:val="none"/>
                      <w:sz w:val="20"/>
                      <w:szCs w:val="20"/>
                      <w:color w:val="000000"/>
                    </w:rPr>
                    <w:t xml:space="preserve">Significance levels are represented by asterisks [p &lt; 0.05 (*), p &lt; 0.01 (**), p &lt; 0.001 (***), and p &lt; 0.0001 (****)]. T statistics in brackets.</w:t>
                  </w:r>
                </w:p>
              </w:tc>
            </w:tr>
          </w:tbl>
          <w:bookmarkEnd w:id="273"/>
        </w:tc>
      </w:tr>
    </w:tbl>
    <w:bookmarkEnd w:id="274"/>
    <w:bookmarkEnd w:id="275"/>
    <w:bookmarkStart w:id="324" w:name="supplementary-material"/>
    <w:p>
      <w:pPr>
        <w:pStyle w:val="Heading1"/>
      </w:pPr>
      <w:r>
        <w:t xml:space="preserve">15. Supplementary Material</w:t>
      </w:r>
    </w:p>
    <w:bookmarkStart w:id="279" w:name="figure-s1"/>
    <w:p>
      <w:pPr>
        <w:pStyle w:val="Heading2"/>
      </w:pPr>
      <w:r>
        <w:t xml:space="preserve">15.1 Figure S1</w:t>
      </w:r>
    </w:p>
    <w:p>
      <w:pPr>
        <w:pStyle w:val="CaptionedFigure"/>
      </w:pPr>
      <w:r>
        <w:drawing>
          <wp:inline>
            <wp:extent cx="5943600" cy="5943600"/>
            <wp:effectExtent b="0" l="0" r="0" t="0"/>
            <wp:docPr descr="Figure S1. Correlation matrix of log-transformed leaf functional traits by host species. The plot is based on the Spearman’s rho. Significance levels are represented by ns (not significant) and asterisks [p &lt; .05 (*), p &lt; 0.01 (**), p &lt; .001 (***), and p &lt; .0001 (****)]." title="" id="277" name="Picture"/>
            <a:graphic>
              <a:graphicData uri="http://schemas.openxmlformats.org/drawingml/2006/picture">
                <pic:pic>
                  <pic:nvPicPr>
                    <pic:cNvPr descr="Aponte_Bolivar_mim2_manuscript_files/figure-docx/suppfigMIM21-1.png" id="278" name="Picture"/>
                    <pic:cNvPicPr>
                      <a:picLocks noChangeArrowheads="1" noChangeAspect="1"/>
                    </pic:cNvPicPr>
                  </pic:nvPicPr>
                  <pic:blipFill>
                    <a:blip r:embed="rId276"/>
                    <a:stretch>
                      <a:fillRect/>
                    </a:stretch>
                  </pic:blipFill>
                  <pic:spPr bwMode="auto">
                    <a:xfrm>
                      <a:off x="0" y="0"/>
                      <a:ext cx="5943600" cy="5943600"/>
                    </a:xfrm>
                    <a:prstGeom prst="rect">
                      <a:avLst/>
                    </a:prstGeom>
                    <a:noFill/>
                    <a:ln w="9525">
                      <a:noFill/>
                      <a:headEnd/>
                      <a:tailEnd/>
                    </a:ln>
                  </pic:spPr>
                </pic:pic>
              </a:graphicData>
            </a:graphic>
          </wp:inline>
        </w:drawing>
      </w:r>
    </w:p>
    <w:p>
      <w:pPr>
        <w:pStyle w:val="ImageCaption"/>
      </w:pPr>
      <w:r>
        <w:t xml:space="preserve">Figure S1. Correlation matrix of log-transformed leaf functional traits by host species. The plot is based on the Spearman’s rho. Significance levels are represented by</w:t>
      </w:r>
      <w:r>
        <w:t xml:space="preserve"> </w:t>
      </w:r>
      <w:r>
        <w:rPr>
          <w:i/>
          <w:iCs/>
        </w:rPr>
        <w:t xml:space="preserve">ns</w:t>
      </w:r>
      <w:r>
        <w:t xml:space="preserve"> </w:t>
      </w:r>
      <w:r>
        <w:t xml:space="preserve">(not significant) and asterisks [</w:t>
      </w:r>
      <w:r>
        <w:rPr>
          <w:i/>
          <w:iCs/>
        </w:rPr>
        <w:t xml:space="preserve">p</w:t>
      </w:r>
      <w:r>
        <w:t xml:space="preserve"> </w:t>
      </w:r>
      <w:r>
        <w:t xml:space="preserve">&lt; .05 (*),</w:t>
      </w:r>
      <w:r>
        <w:t xml:space="preserve"> </w:t>
      </w:r>
      <w:r>
        <w:rPr>
          <w:i/>
          <w:iCs/>
        </w:rPr>
        <w:t xml:space="preserve">p</w:t>
      </w:r>
      <w:r>
        <w:t xml:space="preserve"> </w:t>
      </w:r>
      <w:r>
        <w:t xml:space="preserve">&lt; 0.01 (**),</w:t>
      </w:r>
      <w:r>
        <w:t xml:space="preserve"> </w:t>
      </w:r>
      <w:r>
        <w:rPr>
          <w:i/>
          <w:iCs/>
        </w:rPr>
        <w:t xml:space="preserve">p</w:t>
      </w:r>
      <w:r>
        <w:t xml:space="preserve"> </w:t>
      </w:r>
      <w:r>
        <w:t xml:space="preserve">&lt; .001 (***), and</w:t>
      </w:r>
      <w:r>
        <w:t xml:space="preserve"> </w:t>
      </w:r>
      <w:r>
        <w:rPr>
          <w:i/>
          <w:iCs/>
        </w:rPr>
        <w:t xml:space="preserve">p</w:t>
      </w:r>
      <w:r>
        <w:t xml:space="preserve"> </w:t>
      </w:r>
      <w:r>
        <w:t xml:space="preserve">&lt; .0001 (****)].</w:t>
      </w:r>
    </w:p>
    <w:bookmarkEnd w:id="279"/>
    <w:bookmarkStart w:id="283" w:name="figure-s2"/>
    <w:p>
      <w:pPr>
        <w:pStyle w:val="Heading2"/>
      </w:pPr>
      <w:r>
        <w:t xml:space="preserve">15.2 Figure S2</w:t>
      </w:r>
    </w:p>
    <w:p>
      <w:pPr>
        <w:pStyle w:val="CaptionedFigure"/>
      </w:pPr>
      <w:r>
        <w:drawing>
          <wp:inline>
            <wp:extent cx="5943600" cy="5943600"/>
            <wp:effectExtent b="0" l="0" r="0" t="0"/>
            <wp:docPr descr="Figure S2. Heatmap of the top 10 most abundant FEF genera in the dataset. The heatmap is faceted by host species and elevation zone." title="" id="281" name="Picture"/>
            <a:graphic>
              <a:graphicData uri="http://schemas.openxmlformats.org/drawingml/2006/picture">
                <pic:pic>
                  <pic:nvPicPr>
                    <pic:cNvPr descr="Aponte_Bolivar_mim2_manuscript_files/figure-docx/suppfigMIM22-1.png" id="282" name="Picture"/>
                    <pic:cNvPicPr>
                      <a:picLocks noChangeArrowheads="1" noChangeAspect="1"/>
                    </pic:cNvPicPr>
                  </pic:nvPicPr>
                  <pic:blipFill>
                    <a:blip r:embed="rId280"/>
                    <a:stretch>
                      <a:fillRect/>
                    </a:stretch>
                  </pic:blipFill>
                  <pic:spPr bwMode="auto">
                    <a:xfrm>
                      <a:off x="0" y="0"/>
                      <a:ext cx="5943600" cy="5943600"/>
                    </a:xfrm>
                    <a:prstGeom prst="rect">
                      <a:avLst/>
                    </a:prstGeom>
                    <a:noFill/>
                    <a:ln w="9525">
                      <a:noFill/>
                      <a:headEnd/>
                      <a:tailEnd/>
                    </a:ln>
                  </pic:spPr>
                </pic:pic>
              </a:graphicData>
            </a:graphic>
          </wp:inline>
        </w:drawing>
      </w:r>
    </w:p>
    <w:p>
      <w:pPr>
        <w:pStyle w:val="ImageCaption"/>
      </w:pPr>
      <w:r>
        <w:t xml:space="preserve">Figure S2. Heatmap of the top 10 most abundant FEF genera in the dataset. The heatmap is faceted by host species and elevation zone.</w:t>
      </w:r>
    </w:p>
    <w:bookmarkEnd w:id="283"/>
    <w:bookmarkStart w:id="287" w:name="figure-s3"/>
    <w:p>
      <w:pPr>
        <w:pStyle w:val="Heading2"/>
      </w:pPr>
      <w:r>
        <w:t xml:space="preserve">15.3 Figure S3</w:t>
      </w:r>
    </w:p>
    <w:p>
      <w:pPr>
        <w:pStyle w:val="CaptionedFigure"/>
      </w:pPr>
      <w:r>
        <w:drawing>
          <wp:inline>
            <wp:extent cx="5943600" cy="5943600"/>
            <wp:effectExtent b="0" l="0" r="0" t="0"/>
            <wp:docPr descr="Figure S3. Venn diagrams of presence and absence of ASVs among species and elevation zones un-rarified data and rarified data. A) Represents the overlap of ASVs in in host species and B) per elevation zone. Number of ASVs are represented the count and in parentheses as a ratio shared between host species and elevation zone" title="" id="285" name="Picture"/>
            <a:graphic>
              <a:graphicData uri="http://schemas.openxmlformats.org/drawingml/2006/picture">
                <pic:pic>
                  <pic:nvPicPr>
                    <pic:cNvPr descr="Aponte_Bolivar_mim2_manuscript_files/figure-docx/suppfigMIM23-1.png" id="286" name="Picture"/>
                    <pic:cNvPicPr>
                      <a:picLocks noChangeArrowheads="1" noChangeAspect="1"/>
                    </pic:cNvPicPr>
                  </pic:nvPicPr>
                  <pic:blipFill>
                    <a:blip r:embed="rId284"/>
                    <a:stretch>
                      <a:fillRect/>
                    </a:stretch>
                  </pic:blipFill>
                  <pic:spPr bwMode="auto">
                    <a:xfrm>
                      <a:off x="0" y="0"/>
                      <a:ext cx="5943600" cy="5943600"/>
                    </a:xfrm>
                    <a:prstGeom prst="rect">
                      <a:avLst/>
                    </a:prstGeom>
                    <a:noFill/>
                    <a:ln w="9525">
                      <a:noFill/>
                      <a:headEnd/>
                      <a:tailEnd/>
                    </a:ln>
                  </pic:spPr>
                </pic:pic>
              </a:graphicData>
            </a:graphic>
          </wp:inline>
        </w:drawing>
      </w:r>
    </w:p>
    <w:p>
      <w:pPr>
        <w:pStyle w:val="ImageCaption"/>
      </w:pPr>
      <w:r>
        <w:t xml:space="preserve">Figure S3. Venn diagrams of presence and absence of ASVs among species and elevation zones un-rarified data and rarified data. A) Represents the overlap of ASVs in in host species and B) per elevation zone. Number of ASVs are represented the count and in parentheses as a ratio shared between host species and elevation zone</w:t>
      </w:r>
    </w:p>
    <w:bookmarkEnd w:id="287"/>
    <w:bookmarkStart w:id="291" w:name="figure-s4"/>
    <w:p>
      <w:pPr>
        <w:pStyle w:val="Heading2"/>
      </w:pPr>
      <w:r>
        <w:t xml:space="preserve">15.4 Figure S4</w:t>
      </w:r>
    </w:p>
    <w:p>
      <w:pPr>
        <w:pStyle w:val="CaptionedFigure"/>
      </w:pPr>
      <w:r>
        <w:drawing>
          <wp:inline>
            <wp:extent cx="5943600" cy="5943600"/>
            <wp:effectExtent b="0" l="0" r="0" t="0"/>
            <wp:docPr descr="Figure S4. Alpha and beta diversity means comparisons in host species and elevation zones. Alpha diversity means comparisons; A) Observed ASV richness (𝑞 = 0); B) Shannon’s entropy (𝑞 = 1); and C) Inverse Simpson’s index (𝑞 = 2) per host species. A-C) Blue filled boxplots correspond to M. laciniatus, green filled to M. nasutus, and yellow to M. guttatus. Beta diversity mean comparisons; A) Observed ASV richness (𝑞 = 0); B) Shannon’s entropy (𝑞 = 1); and C) Inverse Simpson’s index (𝑞 = 2) per elevation zone. D-F) Violet boxplots correspond to LOW elevation sites, pink filled to MID and light maroon to HIGH elevation sites, while squares represent M. laciniatus, circles M. nasutus and triangles M. guttatus. Significance levels are represented by ns (not significant) and asterisks [p &lt; .05 (*), p &lt; .01 (**), p &lt; .001 (***), and p &lt; .0001 (****)]." title="" id="289" name="Picture"/>
            <a:graphic>
              <a:graphicData uri="http://schemas.openxmlformats.org/drawingml/2006/picture">
                <pic:pic>
                  <pic:nvPicPr>
                    <pic:cNvPr descr="Aponte_Bolivar_mim2_manuscript_files/figure-docx/suppfigMIM24-1.png" id="290" name="Picture"/>
                    <pic:cNvPicPr>
                      <a:picLocks noChangeArrowheads="1" noChangeAspect="1"/>
                    </pic:cNvPicPr>
                  </pic:nvPicPr>
                  <pic:blipFill>
                    <a:blip r:embed="rId288"/>
                    <a:stretch>
                      <a:fillRect/>
                    </a:stretch>
                  </pic:blipFill>
                  <pic:spPr bwMode="auto">
                    <a:xfrm>
                      <a:off x="0" y="0"/>
                      <a:ext cx="5943600" cy="5943600"/>
                    </a:xfrm>
                    <a:prstGeom prst="rect">
                      <a:avLst/>
                    </a:prstGeom>
                    <a:noFill/>
                    <a:ln w="9525">
                      <a:noFill/>
                      <a:headEnd/>
                      <a:tailEnd/>
                    </a:ln>
                  </pic:spPr>
                </pic:pic>
              </a:graphicData>
            </a:graphic>
          </wp:inline>
        </w:drawing>
      </w:r>
    </w:p>
    <w:p>
      <w:pPr>
        <w:pStyle w:val="ImageCaption"/>
      </w:pPr>
      <w:r>
        <w:t xml:space="preserve">Figure S4. Alpha and beta diversity means comparisons in host species and elevation zones. Alpha diversity means comparisons; A) Observed ASV richness (𝑞 = 0); B) Shannon’s entropy (𝑞 = 1); and C) Inverse Simpson’s index (𝑞 = 2) per host species. A-C) Blue filled boxplots correspond to</w:t>
      </w:r>
      <w:r>
        <w:t xml:space="preserve"> </w:t>
      </w:r>
      <w:r>
        <w:rPr>
          <w:i/>
          <w:iCs/>
        </w:rPr>
        <w:t xml:space="preserve">M. laciniatus</w:t>
      </w:r>
      <w:r>
        <w:t xml:space="preserve">, green filled to</w:t>
      </w:r>
      <w:r>
        <w:t xml:space="preserve"> </w:t>
      </w:r>
      <w:r>
        <w:rPr>
          <w:i/>
          <w:iCs/>
        </w:rPr>
        <w:t xml:space="preserve">M. nasutus</w:t>
      </w:r>
      <w:r>
        <w:t xml:space="preserve">, and yellow to</w:t>
      </w:r>
      <w:r>
        <w:t xml:space="preserve"> </w:t>
      </w:r>
      <w:r>
        <w:rPr>
          <w:i/>
          <w:iCs/>
        </w:rPr>
        <w:t xml:space="preserve">M. guttatus</w:t>
      </w:r>
      <w:r>
        <w:t xml:space="preserve">. Beta diversity mean comparisons; A) Observed ASV richness (𝑞 = 0); B) Shannon’s entropy (𝑞 = 1); and C) Inverse Simpson’s index (𝑞 = 2) per elevation zone. D-F) Violet boxplots correspond to LOW elevation sites, pink filled to MID and light maroon to HIGH elevation sites, while squares represent</w:t>
      </w:r>
      <w:r>
        <w:t xml:space="preserve"> </w:t>
      </w:r>
      <w:r>
        <w:rPr>
          <w:i/>
          <w:iCs/>
        </w:rPr>
        <w:t xml:space="preserve">M. laciniatus</w:t>
      </w:r>
      <w:r>
        <w:t xml:space="preserve">, circles</w:t>
      </w:r>
      <w:r>
        <w:t xml:space="preserve"> </w:t>
      </w:r>
      <w:r>
        <w:rPr>
          <w:i/>
          <w:iCs/>
        </w:rPr>
        <w:t xml:space="preserve">M. nasutus</w:t>
      </w:r>
      <w:r>
        <w:t xml:space="preserve"> </w:t>
      </w:r>
      <w:r>
        <w:t xml:space="preserve">and triangles</w:t>
      </w:r>
      <w:r>
        <w:t xml:space="preserve"> </w:t>
      </w:r>
      <w:r>
        <w:rPr>
          <w:i/>
          <w:iCs/>
        </w:rPr>
        <w:t xml:space="preserve">M. guttatus</w:t>
      </w:r>
      <w:r>
        <w:t xml:space="preserve">. Significance levels are represented by</w:t>
      </w:r>
      <w:r>
        <w:t xml:space="preserve"> </w:t>
      </w:r>
      <w:r>
        <w:rPr>
          <w:i/>
          <w:iCs/>
        </w:rPr>
        <w:t xml:space="preserve">ns</w:t>
      </w:r>
      <w:r>
        <w:t xml:space="preserve"> </w:t>
      </w:r>
      <w:r>
        <w:t xml:space="preserve">(not significant) and asterisks [</w:t>
      </w:r>
      <w:r>
        <w:rPr>
          <w:i/>
          <w:iCs/>
        </w:rPr>
        <w:t xml:space="preserve">p</w:t>
      </w:r>
      <w:r>
        <w:t xml:space="preserve"> </w:t>
      </w:r>
      <w:r>
        <w:t xml:space="preserve">&lt; .05 (*),</w:t>
      </w:r>
      <w:r>
        <w:t xml:space="preserve"> </w:t>
      </w:r>
      <w:r>
        <w:rPr>
          <w:i/>
          <w:iCs/>
        </w:rPr>
        <w:t xml:space="preserve">p</w:t>
      </w:r>
      <w:r>
        <w:t xml:space="preserve"> </w:t>
      </w:r>
      <w:r>
        <w:t xml:space="preserve">&lt; .01 (**),</w:t>
      </w:r>
      <w:r>
        <w:t xml:space="preserve"> </w:t>
      </w:r>
      <w:r>
        <w:rPr>
          <w:i/>
          <w:iCs/>
        </w:rPr>
        <w:t xml:space="preserve">p</w:t>
      </w:r>
      <w:r>
        <w:t xml:space="preserve"> </w:t>
      </w:r>
      <w:r>
        <w:t xml:space="preserve">&lt; .001 (***), and</w:t>
      </w:r>
      <w:r>
        <w:t xml:space="preserve"> </w:t>
      </w:r>
      <w:r>
        <w:rPr>
          <w:i/>
          <w:iCs/>
        </w:rPr>
        <w:t xml:space="preserve">p</w:t>
      </w:r>
      <w:r>
        <w:t xml:space="preserve"> </w:t>
      </w:r>
      <w:r>
        <w:t xml:space="preserve">&lt; .0001 (****)].</w:t>
      </w:r>
    </w:p>
    <w:bookmarkEnd w:id="291"/>
    <w:bookmarkStart w:id="295" w:name="figure-s5"/>
    <w:p>
      <w:pPr>
        <w:pStyle w:val="Heading2"/>
      </w:pPr>
      <w:r>
        <w:t xml:space="preserve">15.5 Figure S5</w:t>
      </w:r>
    </w:p>
    <w:p>
      <w:pPr>
        <w:pStyle w:val="CaptionedFigure"/>
      </w:pPr>
      <w:r>
        <w:drawing>
          <wp:inline>
            <wp:extent cx="5943600" cy="5943600"/>
            <wp:effectExtent b="0" l="0" r="0" t="0"/>
            <wp:docPr descr="Figure S5. Comparison of log-transformed leaf mass per area (LMA) by species and elevation zone. A) Compares logLMA means by species and elevation zone: LOW (&lt;1220 m), MID (1221 - 1828 m), HIGH (&gt; 1829 m). B) Change in logLMA per species as elevation increases. The black trend line represents the fitted model for all data points, see main text for R2adj and p values. Significance levels are represented by ns (not significant) and asterisks [p &lt; .05 (*), p &lt; 0.01 (**), p &lt; .001 (***), and p &lt; .0001 (****)]." title="" id="293" name="Picture"/>
            <a:graphic>
              <a:graphicData uri="http://schemas.openxmlformats.org/drawingml/2006/picture">
                <pic:pic>
                  <pic:nvPicPr>
                    <pic:cNvPr descr="Aponte_Bolivar_mim2_manuscript_files/figure-docx/suppfigMIM25-1.png" id="294" name="Picture"/>
                    <pic:cNvPicPr>
                      <a:picLocks noChangeArrowheads="1" noChangeAspect="1"/>
                    </pic:cNvPicPr>
                  </pic:nvPicPr>
                  <pic:blipFill>
                    <a:blip r:embed="rId292"/>
                    <a:stretch>
                      <a:fillRect/>
                    </a:stretch>
                  </pic:blipFill>
                  <pic:spPr bwMode="auto">
                    <a:xfrm>
                      <a:off x="0" y="0"/>
                      <a:ext cx="5943600" cy="5943600"/>
                    </a:xfrm>
                    <a:prstGeom prst="rect">
                      <a:avLst/>
                    </a:prstGeom>
                    <a:noFill/>
                    <a:ln w="9525">
                      <a:noFill/>
                      <a:headEnd/>
                      <a:tailEnd/>
                    </a:ln>
                  </pic:spPr>
                </pic:pic>
              </a:graphicData>
            </a:graphic>
          </wp:inline>
        </w:drawing>
      </w:r>
    </w:p>
    <w:p>
      <w:pPr>
        <w:pStyle w:val="ImageCaption"/>
      </w:pPr>
      <w:r>
        <w:t xml:space="preserve">Figure S5. Comparison of log-transformed leaf mass per area (LMA) by species and elevation zone. A) Compares logLMA means by species and elevation zone: LOW (&lt;1220 m), MID (1221 - 1828 m), HIGH (&gt; 1829 m). B) Change in logLMA per species as elevation increases. The black trend line represents the fitted model for all data points, see main text for</w:t>
      </w:r>
      <w:r>
        <w:t xml:space="preserve"> </w:t>
      </w:r>
      <w:r>
        <w:rPr>
          <w:i/>
          <w:iCs/>
        </w:rPr>
        <w:t xml:space="preserve">R</w:t>
      </w:r>
      <w:r>
        <w:rPr>
          <w:i/>
          <w:iCs/>
          <w:vertAlign w:val="superscript"/>
        </w:rPr>
        <w:t xml:space="preserve">2</w:t>
      </w:r>
      <w:r>
        <w:rPr>
          <w:i/>
          <w:iCs/>
          <w:vertAlign w:val="subscript"/>
        </w:rPr>
        <w:t xml:space="preserve">adj</w:t>
      </w:r>
      <w:r>
        <w:t xml:space="preserve"> </w:t>
      </w:r>
      <w:r>
        <w:t xml:space="preserve">and</w:t>
      </w:r>
      <w:r>
        <w:t xml:space="preserve"> </w:t>
      </w:r>
      <w:r>
        <w:rPr>
          <w:i/>
          <w:iCs/>
        </w:rPr>
        <w:t xml:space="preserve">p</w:t>
      </w:r>
      <w:r>
        <w:t xml:space="preserve"> </w:t>
      </w:r>
      <w:r>
        <w:t xml:space="preserve">values. Significance levels are represented by</w:t>
      </w:r>
      <w:r>
        <w:t xml:space="preserve"> </w:t>
      </w:r>
      <w:r>
        <w:rPr>
          <w:i/>
          <w:iCs/>
        </w:rPr>
        <w:t xml:space="preserve">ns</w:t>
      </w:r>
      <w:r>
        <w:t xml:space="preserve"> </w:t>
      </w:r>
      <w:r>
        <w:t xml:space="preserve">(not significant) and asterisks [</w:t>
      </w:r>
      <w:r>
        <w:rPr>
          <w:i/>
          <w:iCs/>
        </w:rPr>
        <w:t xml:space="preserve">p</w:t>
      </w:r>
      <w:r>
        <w:t xml:space="preserve"> </w:t>
      </w:r>
      <w:r>
        <w:t xml:space="preserve">&lt; .05 (*),</w:t>
      </w:r>
      <w:r>
        <w:t xml:space="preserve"> </w:t>
      </w:r>
      <w:r>
        <w:rPr>
          <w:i/>
          <w:iCs/>
        </w:rPr>
        <w:t xml:space="preserve">p</w:t>
      </w:r>
      <w:r>
        <w:t xml:space="preserve"> </w:t>
      </w:r>
      <w:r>
        <w:t xml:space="preserve">&lt; 0.01 (**),</w:t>
      </w:r>
      <w:r>
        <w:t xml:space="preserve"> </w:t>
      </w:r>
      <w:r>
        <w:rPr>
          <w:i/>
          <w:iCs/>
        </w:rPr>
        <w:t xml:space="preserve">p</w:t>
      </w:r>
      <w:r>
        <w:t xml:space="preserve"> </w:t>
      </w:r>
      <w:r>
        <w:t xml:space="preserve">&lt; .001 (***), and</w:t>
      </w:r>
      <w:r>
        <w:t xml:space="preserve"> </w:t>
      </w:r>
      <w:r>
        <w:rPr>
          <w:i/>
          <w:iCs/>
        </w:rPr>
        <w:t xml:space="preserve">p</w:t>
      </w:r>
      <w:r>
        <w:t xml:space="preserve"> </w:t>
      </w:r>
      <w:r>
        <w:t xml:space="preserve">&lt; .0001 (****)].</w:t>
      </w:r>
    </w:p>
    <w:bookmarkEnd w:id="295"/>
    <w:bookmarkStart w:id="299" w:name="figure-s6"/>
    <w:p>
      <w:pPr>
        <w:pStyle w:val="Heading2"/>
      </w:pPr>
      <w:r>
        <w:t xml:space="preserve">15.6 Figure S6</w:t>
      </w:r>
    </w:p>
    <w:p>
      <w:pPr>
        <w:pStyle w:val="CaptionedFigure"/>
      </w:pPr>
      <w:r>
        <w:drawing>
          <wp:inline>
            <wp:extent cx="5943600" cy="4953000"/>
            <wp:effectExtent b="0" l="0" r="0" t="0"/>
            <wp:docPr descr="Figure S6. Change in log-transformed anthocyanin content index (ACI) by species and elevation zone. A) Compares logACI means by species and elevation zone: LOW (&lt;1220 m), MID (1221 - 1828 m), HIGH (&gt; 1829 m). The black trend line represents the fitted model for all data points, see main text for R2adj and p values. B) Change in logLPS per species as elevation increases. Significance levels are represented by ns (not significant) and asterisks [p &lt; .05 (*), p &lt; .01 (**), p &lt; .001 (***), and p &lt; .0001 (****)]." title="" id="297" name="Picture"/>
            <a:graphic>
              <a:graphicData uri="http://schemas.openxmlformats.org/drawingml/2006/picture">
                <pic:pic>
                  <pic:nvPicPr>
                    <pic:cNvPr descr="Aponte_Bolivar_mim2_manuscript_files/figure-docx/suppfigMIM26-1.png" id="298" name="Picture"/>
                    <pic:cNvPicPr>
                      <a:picLocks noChangeArrowheads="1" noChangeAspect="1"/>
                    </pic:cNvPicPr>
                  </pic:nvPicPr>
                  <pic:blipFill>
                    <a:blip r:embed="rId296"/>
                    <a:stretch>
                      <a:fillRect/>
                    </a:stretch>
                  </pic:blipFill>
                  <pic:spPr bwMode="auto">
                    <a:xfrm>
                      <a:off x="0" y="0"/>
                      <a:ext cx="5943600" cy="4953000"/>
                    </a:xfrm>
                    <a:prstGeom prst="rect">
                      <a:avLst/>
                    </a:prstGeom>
                    <a:noFill/>
                    <a:ln w="9525">
                      <a:noFill/>
                      <a:headEnd/>
                      <a:tailEnd/>
                    </a:ln>
                  </pic:spPr>
                </pic:pic>
              </a:graphicData>
            </a:graphic>
          </wp:inline>
        </w:drawing>
      </w:r>
    </w:p>
    <w:p>
      <w:pPr>
        <w:pStyle w:val="ImageCaption"/>
      </w:pPr>
      <w:r>
        <w:t xml:space="preserve">Figure S6. Change in log-transformed anthocyanin content index (ACI) by species and elevation zone. A) Compares logACI means by species and elevation zone: LOW (&lt;1220 m), MID (1221 - 1828 m), HIGH (&gt; 1829 m). The black trend line represents the fitted model for all data points, see main text for</w:t>
      </w:r>
      <w:r>
        <w:t xml:space="preserve"> </w:t>
      </w:r>
      <w:r>
        <w:rPr>
          <w:i/>
          <w:iCs/>
        </w:rPr>
        <w:t xml:space="preserve">R</w:t>
      </w:r>
      <w:r>
        <w:rPr>
          <w:i/>
          <w:iCs/>
          <w:vertAlign w:val="superscript"/>
        </w:rPr>
        <w:t xml:space="preserve">2</w:t>
      </w:r>
      <w:r>
        <w:rPr>
          <w:i/>
          <w:iCs/>
          <w:vertAlign w:val="subscript"/>
        </w:rPr>
        <w:t xml:space="preserve">adj</w:t>
      </w:r>
      <w:r>
        <w:t xml:space="preserve"> </w:t>
      </w:r>
      <w:r>
        <w:t xml:space="preserve">and</w:t>
      </w:r>
      <w:r>
        <w:t xml:space="preserve"> </w:t>
      </w:r>
      <w:r>
        <w:rPr>
          <w:i/>
          <w:iCs/>
        </w:rPr>
        <w:t xml:space="preserve">p</w:t>
      </w:r>
      <w:r>
        <w:t xml:space="preserve"> </w:t>
      </w:r>
      <w:r>
        <w:t xml:space="preserve">values. B) Change in logLPS per species as elevation increases. Significance levels are represented by</w:t>
      </w:r>
      <w:r>
        <w:t xml:space="preserve"> </w:t>
      </w:r>
      <w:r>
        <w:rPr>
          <w:i/>
          <w:iCs/>
        </w:rPr>
        <w:t xml:space="preserve">ns</w:t>
      </w:r>
      <w:r>
        <w:t xml:space="preserve"> </w:t>
      </w:r>
      <w:r>
        <w:t xml:space="preserve">(not significant) and asterisks [</w:t>
      </w:r>
      <w:r>
        <w:rPr>
          <w:i/>
          <w:iCs/>
        </w:rPr>
        <w:t xml:space="preserve">p</w:t>
      </w:r>
      <w:r>
        <w:t xml:space="preserve"> </w:t>
      </w:r>
      <w:r>
        <w:t xml:space="preserve">&lt; .05 (*),</w:t>
      </w:r>
      <w:r>
        <w:t xml:space="preserve"> </w:t>
      </w:r>
      <w:r>
        <w:rPr>
          <w:i/>
          <w:iCs/>
        </w:rPr>
        <w:t xml:space="preserve">p</w:t>
      </w:r>
      <w:r>
        <w:t xml:space="preserve"> </w:t>
      </w:r>
      <w:r>
        <w:t xml:space="preserve">&lt; .01 (**),</w:t>
      </w:r>
      <w:r>
        <w:t xml:space="preserve"> </w:t>
      </w:r>
      <w:r>
        <w:rPr>
          <w:i/>
          <w:iCs/>
        </w:rPr>
        <w:t xml:space="preserve">p</w:t>
      </w:r>
      <w:r>
        <w:t xml:space="preserve"> </w:t>
      </w:r>
      <w:r>
        <w:t xml:space="preserve">&lt; .001 (***), and</w:t>
      </w:r>
      <w:r>
        <w:t xml:space="preserve"> </w:t>
      </w:r>
      <w:r>
        <w:rPr>
          <w:i/>
          <w:iCs/>
        </w:rPr>
        <w:t xml:space="preserve">p</w:t>
      </w:r>
      <w:r>
        <w:t xml:space="preserve"> </w:t>
      </w:r>
      <w:r>
        <w:t xml:space="preserve">&lt; .0001 (****)].</w:t>
      </w:r>
    </w:p>
    <w:bookmarkEnd w:id="299"/>
    <w:bookmarkStart w:id="303" w:name="figure-s7"/>
    <w:p>
      <w:pPr>
        <w:pStyle w:val="Heading2"/>
      </w:pPr>
      <w:r>
        <w:t xml:space="preserve">15.7 Figure S7</w:t>
      </w:r>
    </w:p>
    <w:p>
      <w:pPr>
        <w:pStyle w:val="CaptionedFigure"/>
      </w:pPr>
      <w:r>
        <w:drawing>
          <wp:inline>
            <wp:extent cx="5943600" cy="5943600"/>
            <wp:effectExtent b="0" l="0" r="0" t="0"/>
            <wp:docPr descr="Figure S7. Change in log-transformed leaf lobe index (LBI) by species and elevation zone. A) Compares logLBI means by species and elevation zone: LOW (&lt;1220 m), MID (1221 - 1828 m), HIGH (&gt; 1829 m). The black trend line represents the fitted model for all data points, see main text for R2adj and p values. B) Change in logLPS per species as elevation increases. Significance levels are represented by ns (not significant) and asterisks [p &lt; .05 (*), p &lt; .01 (**), p &lt; .001 (***), and p &lt; .0001 (****)]." title="" id="301" name="Picture"/>
            <a:graphic>
              <a:graphicData uri="http://schemas.openxmlformats.org/drawingml/2006/picture">
                <pic:pic>
                  <pic:nvPicPr>
                    <pic:cNvPr descr="Aponte_Bolivar_mim2_manuscript_files/figure-docx/suppfigMIM27-1.png" id="302" name="Picture"/>
                    <pic:cNvPicPr>
                      <a:picLocks noChangeArrowheads="1" noChangeAspect="1"/>
                    </pic:cNvPicPr>
                  </pic:nvPicPr>
                  <pic:blipFill>
                    <a:blip r:embed="rId300"/>
                    <a:stretch>
                      <a:fillRect/>
                    </a:stretch>
                  </pic:blipFill>
                  <pic:spPr bwMode="auto">
                    <a:xfrm>
                      <a:off x="0" y="0"/>
                      <a:ext cx="5943600" cy="5943600"/>
                    </a:xfrm>
                    <a:prstGeom prst="rect">
                      <a:avLst/>
                    </a:prstGeom>
                    <a:noFill/>
                    <a:ln w="9525">
                      <a:noFill/>
                      <a:headEnd/>
                      <a:tailEnd/>
                    </a:ln>
                  </pic:spPr>
                </pic:pic>
              </a:graphicData>
            </a:graphic>
          </wp:inline>
        </w:drawing>
      </w:r>
    </w:p>
    <w:p>
      <w:pPr>
        <w:pStyle w:val="ImageCaption"/>
      </w:pPr>
      <w:r>
        <w:t xml:space="preserve">Figure S7. Change in log-transformed leaf lobe index (LBI) by species and elevation zone. A) Compares logLBI means by species and elevation zone: LOW (&lt;1220 m), MID (1221 - 1828 m), HIGH (&gt; 1829 m). The black trend line represents the fitted model for all data points, see main text for</w:t>
      </w:r>
      <w:r>
        <w:t xml:space="preserve"> </w:t>
      </w:r>
      <w:r>
        <w:rPr>
          <w:i/>
          <w:iCs/>
        </w:rPr>
        <w:t xml:space="preserve">R</w:t>
      </w:r>
      <w:r>
        <w:rPr>
          <w:i/>
          <w:iCs/>
          <w:vertAlign w:val="superscript"/>
        </w:rPr>
        <w:t xml:space="preserve">2</w:t>
      </w:r>
      <w:r>
        <w:rPr>
          <w:i/>
          <w:iCs/>
          <w:vertAlign w:val="subscript"/>
        </w:rPr>
        <w:t xml:space="preserve">adj</w:t>
      </w:r>
      <w:r>
        <w:t xml:space="preserve"> </w:t>
      </w:r>
      <w:r>
        <w:t xml:space="preserve">and</w:t>
      </w:r>
      <w:r>
        <w:t xml:space="preserve"> </w:t>
      </w:r>
      <w:r>
        <w:rPr>
          <w:i/>
          <w:iCs/>
        </w:rPr>
        <w:t xml:space="preserve">p</w:t>
      </w:r>
      <w:r>
        <w:t xml:space="preserve"> </w:t>
      </w:r>
      <w:r>
        <w:t xml:space="preserve">values. B) Change in logLPS per species as elevation increases. Significance levels are represented by</w:t>
      </w:r>
      <w:r>
        <w:t xml:space="preserve"> </w:t>
      </w:r>
      <w:r>
        <w:rPr>
          <w:i/>
          <w:iCs/>
        </w:rPr>
        <w:t xml:space="preserve">ns</w:t>
      </w:r>
      <w:r>
        <w:t xml:space="preserve"> </w:t>
      </w:r>
      <w:r>
        <w:t xml:space="preserve">(not significant) and asterisks [</w:t>
      </w:r>
      <w:r>
        <w:rPr>
          <w:i/>
          <w:iCs/>
        </w:rPr>
        <w:t xml:space="preserve">p</w:t>
      </w:r>
      <w:r>
        <w:t xml:space="preserve"> </w:t>
      </w:r>
      <w:r>
        <w:t xml:space="preserve">&lt; .05 (*),</w:t>
      </w:r>
      <w:r>
        <w:t xml:space="preserve"> </w:t>
      </w:r>
      <w:r>
        <w:rPr>
          <w:i/>
          <w:iCs/>
        </w:rPr>
        <w:t xml:space="preserve">p</w:t>
      </w:r>
      <w:r>
        <w:t xml:space="preserve"> </w:t>
      </w:r>
      <w:r>
        <w:t xml:space="preserve">&lt; .01 (**),</w:t>
      </w:r>
      <w:r>
        <w:t xml:space="preserve"> </w:t>
      </w:r>
      <w:r>
        <w:rPr>
          <w:i/>
          <w:iCs/>
        </w:rPr>
        <w:t xml:space="preserve">p</w:t>
      </w:r>
      <w:r>
        <w:t xml:space="preserve"> </w:t>
      </w:r>
      <w:r>
        <w:t xml:space="preserve">&lt; .001 (***), and</w:t>
      </w:r>
      <w:r>
        <w:t xml:space="preserve"> </w:t>
      </w:r>
      <w:r>
        <w:rPr>
          <w:i/>
          <w:iCs/>
        </w:rPr>
        <w:t xml:space="preserve">p</w:t>
      </w:r>
      <w:r>
        <w:t xml:space="preserve"> </w:t>
      </w:r>
      <w:r>
        <w:t xml:space="preserve">&lt; .0001 (****)].</w:t>
      </w:r>
    </w:p>
    <w:bookmarkEnd w:id="303"/>
    <w:bookmarkStart w:id="307" w:name="figure-s8"/>
    <w:p>
      <w:pPr>
        <w:pStyle w:val="Heading2"/>
      </w:pPr>
      <w:r>
        <w:t xml:space="preserve">15.8 Figure S8</w:t>
      </w:r>
    </w:p>
    <w:p>
      <w:pPr>
        <w:pStyle w:val="CaptionedFigure"/>
      </w:pPr>
      <w:r>
        <w:drawing>
          <wp:inline>
            <wp:extent cx="5943600" cy="5943600"/>
            <wp:effectExtent b="0" l="0" r="0" t="0"/>
            <wp:docPr descr="Figure S8. Change in log-transformed leaf-punch strength (LPS), a measure of leaf toughness, by species and elevation zone. A) Compares logLPS means by species and elevation zone: LOW (&lt;1220 m), MID (1221 - 1828 m), HIGH (&gt; 1829 m). The black trend line represents the fitted model for all data points, see main text for R2adj and p values. B) Change in logLPS per species as elevation increases. Significance levels are represented by ns (not significant) and asterisks [p &lt; .05 (*), p &lt; .01 (**), p &lt; .001 (***), and p &lt; .0001 (****)]." title="" id="305" name="Picture"/>
            <a:graphic>
              <a:graphicData uri="http://schemas.openxmlformats.org/drawingml/2006/picture">
                <pic:pic>
                  <pic:nvPicPr>
                    <pic:cNvPr descr="Aponte_Bolivar_mim2_manuscript_files/figure-docx/suppfigMIM28-1.png" id="306" name="Picture"/>
                    <pic:cNvPicPr>
                      <a:picLocks noChangeArrowheads="1" noChangeAspect="1"/>
                    </pic:cNvPicPr>
                  </pic:nvPicPr>
                  <pic:blipFill>
                    <a:blip r:embed="rId304"/>
                    <a:stretch>
                      <a:fillRect/>
                    </a:stretch>
                  </pic:blipFill>
                  <pic:spPr bwMode="auto">
                    <a:xfrm>
                      <a:off x="0" y="0"/>
                      <a:ext cx="5943600" cy="5943600"/>
                    </a:xfrm>
                    <a:prstGeom prst="rect">
                      <a:avLst/>
                    </a:prstGeom>
                    <a:noFill/>
                    <a:ln w="9525">
                      <a:noFill/>
                      <a:headEnd/>
                      <a:tailEnd/>
                    </a:ln>
                  </pic:spPr>
                </pic:pic>
              </a:graphicData>
            </a:graphic>
          </wp:inline>
        </w:drawing>
      </w:r>
    </w:p>
    <w:p>
      <w:pPr>
        <w:pStyle w:val="ImageCaption"/>
      </w:pPr>
      <w:r>
        <w:t xml:space="preserve">Figure S8. Change in log-transformed leaf-punch strength (LPS), a measure of leaf toughness, by species and elevation zone. A) Compares logLPS means by species and elevation zone: LOW (&lt;1220 m), MID (1221 - 1828 m), HIGH (&gt; 1829 m). The black trend line represents the fitted model for all data points, see main text for</w:t>
      </w:r>
      <w:r>
        <w:t xml:space="preserve"> </w:t>
      </w:r>
      <w:r>
        <w:rPr>
          <w:i/>
          <w:iCs/>
        </w:rPr>
        <w:t xml:space="preserve">R</w:t>
      </w:r>
      <w:r>
        <w:rPr>
          <w:i/>
          <w:iCs/>
          <w:vertAlign w:val="superscript"/>
        </w:rPr>
        <w:t xml:space="preserve">2</w:t>
      </w:r>
      <w:r>
        <w:rPr>
          <w:i/>
          <w:iCs/>
          <w:vertAlign w:val="subscript"/>
        </w:rPr>
        <w:t xml:space="preserve">adj</w:t>
      </w:r>
      <w:r>
        <w:t xml:space="preserve"> </w:t>
      </w:r>
      <w:r>
        <w:t xml:space="preserve">and</w:t>
      </w:r>
      <w:r>
        <w:t xml:space="preserve"> </w:t>
      </w:r>
      <w:r>
        <w:rPr>
          <w:i/>
          <w:iCs/>
        </w:rPr>
        <w:t xml:space="preserve">p</w:t>
      </w:r>
      <w:r>
        <w:t xml:space="preserve"> </w:t>
      </w:r>
      <w:r>
        <w:t xml:space="preserve">values. B) Change in logLPS per species as elevation increases. Significance levels are represented by</w:t>
      </w:r>
      <w:r>
        <w:t xml:space="preserve"> </w:t>
      </w:r>
      <w:r>
        <w:rPr>
          <w:i/>
          <w:iCs/>
        </w:rPr>
        <w:t xml:space="preserve">ns</w:t>
      </w:r>
      <w:r>
        <w:t xml:space="preserve"> </w:t>
      </w:r>
      <w:r>
        <w:t xml:space="preserve">(not significant) and asterisks [</w:t>
      </w:r>
      <w:r>
        <w:rPr>
          <w:i/>
          <w:iCs/>
        </w:rPr>
        <w:t xml:space="preserve">p</w:t>
      </w:r>
      <w:r>
        <w:t xml:space="preserve"> </w:t>
      </w:r>
      <w:r>
        <w:t xml:space="preserve">&lt; .05 (*),</w:t>
      </w:r>
      <w:r>
        <w:t xml:space="preserve"> </w:t>
      </w:r>
      <w:r>
        <w:rPr>
          <w:i/>
          <w:iCs/>
        </w:rPr>
        <w:t xml:space="preserve">p</w:t>
      </w:r>
      <w:r>
        <w:t xml:space="preserve"> </w:t>
      </w:r>
      <w:r>
        <w:t xml:space="preserve">&lt; .01 (**),</w:t>
      </w:r>
      <w:r>
        <w:t xml:space="preserve"> </w:t>
      </w:r>
      <w:r>
        <w:rPr>
          <w:i/>
          <w:iCs/>
        </w:rPr>
        <w:t xml:space="preserve">p</w:t>
      </w:r>
      <w:r>
        <w:t xml:space="preserve"> </w:t>
      </w:r>
      <w:r>
        <w:t xml:space="preserve">&lt; .001 (***), and</w:t>
      </w:r>
      <w:r>
        <w:t xml:space="preserve"> </w:t>
      </w:r>
      <w:r>
        <w:rPr>
          <w:i/>
          <w:iCs/>
        </w:rPr>
        <w:t xml:space="preserve">p</w:t>
      </w:r>
      <w:r>
        <w:t xml:space="preserve"> </w:t>
      </w:r>
      <w:r>
        <w:t xml:space="preserve">&lt; .0001 (****)].</w:t>
      </w:r>
    </w:p>
    <w:bookmarkEnd w:id="307"/>
    <w:bookmarkStart w:id="311" w:name="figure-s9"/>
    <w:p>
      <w:pPr>
        <w:pStyle w:val="Heading2"/>
      </w:pPr>
      <w:r>
        <w:t xml:space="preserve">15.9 Figure S9</w:t>
      </w:r>
    </w:p>
    <w:p>
      <w:pPr>
        <w:pStyle w:val="CaptionedFigure"/>
      </w:pPr>
      <w:r>
        <w:drawing>
          <wp:inline>
            <wp:extent cx="5943600" cy="5943600"/>
            <wp:effectExtent b="0" l="0" r="0" t="0"/>
            <wp:docPr descr="Figure S9. Change in log-transformed leaf thickness (LT) (𝜇m) by species and elevation zone. A) Compares logLT means by species and elevation zone: LOW (&lt;1220 m), MID (1221 - 1828 m), HIGH (&gt; 1829 m). The black trend line represents the fitted model for all data points, see main text for R2adj and p values. B) Change in logLT per species as elevation increases. Significance levels are represented by ns (not significant) and asterisks [p &lt; .05 (*), p &lt; .01 (**), p &lt; .001 (***), and p &lt; .0001 (****)]." title="" id="309" name="Picture"/>
            <a:graphic>
              <a:graphicData uri="http://schemas.openxmlformats.org/drawingml/2006/picture">
                <pic:pic>
                  <pic:nvPicPr>
                    <pic:cNvPr descr="Aponte_Bolivar_mim2_manuscript_files/figure-docx/suppfigMIM29-1.png" id="310" name="Picture"/>
                    <pic:cNvPicPr>
                      <a:picLocks noChangeArrowheads="1" noChangeAspect="1"/>
                    </pic:cNvPicPr>
                  </pic:nvPicPr>
                  <pic:blipFill>
                    <a:blip r:embed="rId308"/>
                    <a:stretch>
                      <a:fillRect/>
                    </a:stretch>
                  </pic:blipFill>
                  <pic:spPr bwMode="auto">
                    <a:xfrm>
                      <a:off x="0" y="0"/>
                      <a:ext cx="5943600" cy="5943600"/>
                    </a:xfrm>
                    <a:prstGeom prst="rect">
                      <a:avLst/>
                    </a:prstGeom>
                    <a:noFill/>
                    <a:ln w="9525">
                      <a:noFill/>
                      <a:headEnd/>
                      <a:tailEnd/>
                    </a:ln>
                  </pic:spPr>
                </pic:pic>
              </a:graphicData>
            </a:graphic>
          </wp:inline>
        </w:drawing>
      </w:r>
    </w:p>
    <w:p>
      <w:pPr>
        <w:pStyle w:val="ImageCaption"/>
      </w:pPr>
      <w:r>
        <w:t xml:space="preserve">Figure S9. Change in log-transformed leaf thickness (LT) (𝜇m) by species and elevation zone. A) Compares logLT means by species and elevation zone: LOW (&lt;1220 m), MID (1221 - 1828 m), HIGH (&gt; 1829 m). The black trend line represents the fitted model for all data points, see main text for</w:t>
      </w:r>
      <w:r>
        <w:t xml:space="preserve"> </w:t>
      </w:r>
      <w:r>
        <w:rPr>
          <w:i/>
          <w:iCs/>
        </w:rPr>
        <w:t xml:space="preserve">R</w:t>
      </w:r>
      <w:r>
        <w:rPr>
          <w:i/>
          <w:iCs/>
          <w:vertAlign w:val="superscript"/>
        </w:rPr>
        <w:t xml:space="preserve">2</w:t>
      </w:r>
      <w:r>
        <w:rPr>
          <w:i/>
          <w:iCs/>
          <w:vertAlign w:val="subscript"/>
        </w:rPr>
        <w:t xml:space="preserve">adj</w:t>
      </w:r>
      <w:r>
        <w:t xml:space="preserve"> </w:t>
      </w:r>
      <w:r>
        <w:t xml:space="preserve">and</w:t>
      </w:r>
      <w:r>
        <w:t xml:space="preserve"> </w:t>
      </w:r>
      <w:r>
        <w:rPr>
          <w:i/>
          <w:iCs/>
        </w:rPr>
        <w:t xml:space="preserve">p</w:t>
      </w:r>
      <w:r>
        <w:t xml:space="preserve"> </w:t>
      </w:r>
      <w:r>
        <w:t xml:space="preserve">values. B) Change in logLT per species as elevation increases. Significance levels are represented by</w:t>
      </w:r>
      <w:r>
        <w:t xml:space="preserve"> </w:t>
      </w:r>
      <w:r>
        <w:rPr>
          <w:i/>
          <w:iCs/>
        </w:rPr>
        <w:t xml:space="preserve">ns</w:t>
      </w:r>
      <w:r>
        <w:t xml:space="preserve"> </w:t>
      </w:r>
      <w:r>
        <w:t xml:space="preserve">(not significant) and asterisks [</w:t>
      </w:r>
      <w:r>
        <w:rPr>
          <w:i/>
          <w:iCs/>
        </w:rPr>
        <w:t xml:space="preserve">p</w:t>
      </w:r>
      <w:r>
        <w:t xml:space="preserve"> </w:t>
      </w:r>
      <w:r>
        <w:t xml:space="preserve">&lt; .05 (*),</w:t>
      </w:r>
      <w:r>
        <w:t xml:space="preserve"> </w:t>
      </w:r>
      <w:r>
        <w:rPr>
          <w:i/>
          <w:iCs/>
        </w:rPr>
        <w:t xml:space="preserve">p</w:t>
      </w:r>
      <w:r>
        <w:t xml:space="preserve"> </w:t>
      </w:r>
      <w:r>
        <w:t xml:space="preserve">&lt; .01 (**),</w:t>
      </w:r>
      <w:r>
        <w:t xml:space="preserve"> </w:t>
      </w:r>
      <w:r>
        <w:rPr>
          <w:i/>
          <w:iCs/>
        </w:rPr>
        <w:t xml:space="preserve">p</w:t>
      </w:r>
      <w:r>
        <w:t xml:space="preserve"> </w:t>
      </w:r>
      <w:r>
        <w:t xml:space="preserve">&lt; .001 (***), and</w:t>
      </w:r>
      <w:r>
        <w:t xml:space="preserve"> </w:t>
      </w:r>
      <w:r>
        <w:rPr>
          <w:i/>
          <w:iCs/>
        </w:rPr>
        <w:t xml:space="preserve">p</w:t>
      </w:r>
      <w:r>
        <w:t xml:space="preserve"> </w:t>
      </w:r>
      <w:r>
        <w:t xml:space="preserve">&lt; .0001 (****)].</w:t>
      </w:r>
    </w:p>
    <w:bookmarkEnd w:id="311"/>
    <w:bookmarkStart w:id="313" w:name="table-s1"/>
    <w:p>
      <w:pPr>
        <w:pStyle w:val="Heading2"/>
      </w:pPr>
      <w:r>
        <w:t xml:space="preserve">15.10 Table S1</w:t>
      </w:r>
    </w:p>
    <w:tbl>
      <w:tblPr>
        <w:tblStyle w:val="Table"/>
        <w:tblW w:type="pct" w:w="5000"/>
        <w:tblLayout w:type="fixed"/>
        <w:tblLook w:firstRow="0" w:lastRow="0" w:firstColumn="0" w:lastColumn="0" w:noHBand="0" w:noVBand="0" w:val="0000"/>
      </w:tblPr>
      <w:tblGrid>
        <w:gridCol w:w="7920"/>
      </w:tblGrid>
      <w:tr>
        <w:tc>
          <w:tcPr/>
          <w:bookmarkStart w:id="312" w:name="supptbl-1"/>
          <w:p>
            <w:pPr>
              <w:jc w:val="center"/>
            </w:pPr>
            <w:pPr>
              <w:jc w:val="left"/>
              <w:spacing w:before="200"/>
              <w:pStyle w:val="ImageCaption"/>
            </w:pPr>
            <w:r>
              <w:t xml:space="preserve">Table S1: Number of individuals collected per population/site and species.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188"/>
              <w:gridCol w:w="1188"/>
              <w:gridCol w:w="1188"/>
              <w:gridCol w:w="1188"/>
              <w:gridCol w:w="1188"/>
              <w:gridCol w:w="1188"/>
              <w:gridCol w:w="1188"/>
              <w:gridCol w:w="1188"/>
            </w:tblGrid>
            <w:tr>
              <w:trPr>
                <w:trHeight w:val="360" w:hRule="auto"/>
              </w:trPr>
              body 1
              <w:tc>
                <w:tcPr>
                  <w:tcBorders>
                    <w:bottom w:val="single" w:sz="3"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0" w:line="240"/>
                    <w:ind w:left="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Site</w:t>
                  </w:r>
                </w:p>
              </w:tc>
              <w:tc>
                <w:tcPr>
                  <w:tcBorders>
                    <w:bottom w:val="single" w:sz="3"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Site Name</w:t>
                  </w:r>
                </w:p>
              </w:tc>
              <w:tc>
                <w:tcPr>
                  <w:tcBorders>
                    <w:bottom w:val="single" w:sz="3"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Forest/Park</w:t>
                  </w:r>
                </w:p>
              </w:tc>
              <w:tc>
                <w:tcPr>
                  <w:tcBorders>
                    <w:bottom w:val="single" w:sz="3"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Latitude</w:t>
                  </w:r>
                </w:p>
              </w:tc>
              <w:tc>
                <w:tcPr>
                  <w:tcBorders>
                    <w:bottom w:val="single" w:sz="3"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2"/>
                      <w:szCs w:val="22"/>
                      <w:color w:val="000000"/>
                    </w:rPr>
                    <w:t xml:space="preserve">Longitude</w:t>
                  </w:r>
                </w:p>
              </w:tc>
              <w:tc>
                <w:tcPr>
                  <w:tcBorders>
                    <w:bottom w:val="single" w:sz="3"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true"/>
                      <w:u w:val="none"/>
                      <w:sz w:val="22"/>
                      <w:szCs w:val="22"/>
                      <w:color w:val="000000"/>
                    </w:rPr>
                    <w:t xml:space="preserve">M. laciniatus</w:t>
                  </w:r>
                </w:p>
              </w:tc>
              <w:tc>
                <w:tcPr>
                  <w:tcBorders>
                    <w:bottom w:val="single" w:sz="3"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true"/>
                      <w:u w:val="none"/>
                      <w:sz w:val="22"/>
                      <w:szCs w:val="22"/>
                      <w:color w:val="000000"/>
                    </w:rPr>
                    <w:t xml:space="preserve">M. nasutus</w:t>
                  </w:r>
                </w:p>
              </w:tc>
              <w:tc>
                <w:tcPr>
                  <w:tcBorders>
                    <w:bottom w:val="single" w:sz="3"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0" w:line="240"/>
                    <w:ind w:left="20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true"/>
                      <w:u w:val="none"/>
                      <w:sz w:val="22"/>
                      <w:szCs w:val="22"/>
                      <w:color w:val="000000"/>
                    </w:rPr>
                    <w:t xml:space="preserve">M. guttatus</w:t>
                  </w:r>
                </w:p>
              </w:tc>
            </w:tr>
            <w:tr>
              <w:trPr>
                <w:trHeight w:val="360" w:hRule="auto"/>
              </w:trPr>
              body 2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AGFB</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Angel Falls</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Sierra National Forest</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37.338230</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-119.570677</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11</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BHEB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Bald Mountain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Sierra National Forest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37.053544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-119.393233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BMLZ</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Bretz Mill Road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Sierra National Forest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37.090625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-119.314015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5</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CCNB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Crab Tree Road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Stanislaus National Forest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38.183927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-119.963252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12</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CCRB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Carson Creek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Mariposa County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37.486337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-119.997920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CFZZ</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Crane Flat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Yosemite National Park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37.755986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-119.802952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HDRB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Highland Drive Road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Sierra National Forest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37.288671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-119.534709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HHBB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Hetch Hetchy 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Yosemite National Park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37.959056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-119.778553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HULB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Huntington Lake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Sierra National Forest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37.235530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-119.149620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5</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HUOB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Huntington Lake Overview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Sierra National Forest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37.150723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-119.273507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17</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KNOB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The Knobs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Yosemite National Park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37.853852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-119.440369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LMZZ</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Little Meadow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Yosemite National Park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37.767781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-119.772719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NFWB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North Fork Willow Creek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Sierra National Forest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37.257397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-119.521415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OPNZ</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Olmstead Point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Yosemite National Park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37.807232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-119.486313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r>
            <w:tr>
              <w:trPr>
                <w:trHeight w:val="36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OSKB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Onion Skins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Yosemite National Park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37.842693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-119.594572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r>
            <w:tr>
              <w:trPr>
                <w:trHeight w:val="360"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SDSB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Stoddard Spring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Stanislaus National Forest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38.136194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-120.094614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w:t>
                  </w:r>
                </w:p>
              </w:tc>
            </w:tr>
            <w:tr>
              <w:trPr>
                <w:trHeight w:val="360"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SHLZ</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Shaver Lake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Sierra National Forest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37.145131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-119.307426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5</w:t>
                  </w:r>
                </w:p>
              </w:tc>
            </w:tr>
            <w:tr>
              <w:trPr>
                <w:trHeight w:val="360"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SPLB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Spotless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Yosemite National Park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37.847194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-119.586129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r>
            <w:tr>
              <w:trPr>
                <w:trHeight w:val="360"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TRTZ</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Turtle Back Dome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Yosemite National Park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37.716098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-119.705317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r>
            <w:tr>
              <w:trPr>
                <w:trHeight w:val="360"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TWGB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Tawonga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Stanislaus National Forest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37.858820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-119.951305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9</w:t>
                  </w:r>
                </w:p>
              </w:tc>
            </w:tr>
            <w:tr>
              <w:trPr>
                <w:trHeight w:val="360"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WCFB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Wildcat Falls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Yosemite National Park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37.723593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-119.719077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12</w:t>
                  </w:r>
                </w:p>
              </w:tc>
            </w:tr>
            <w:tr>
              <w:trPr>
                <w:trHeight w:val="360"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WSHB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Wawona School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Yosemite National Park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37.543343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-119.647878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200" w:before="200" w:line="240"/>
                    <w:ind w:left="20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12</w:t>
                  </w:r>
                </w:p>
              </w:tc>
            </w:tr>
            <w:tr>
              <w:trPr>
                <w:trHeight w:val="360" w:hRule="auto"/>
              </w:trPr>
              body24
              <w:tc>
                <w:tcPr>
                  <w:tcBorders>
                    <w:bottom w:val="single" w:sz="3"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200" w:line="240"/>
                    <w:ind w:left="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YCNB</w:t>
                  </w:r>
                </w:p>
              </w:tc>
              <w:tc>
                <w:tcPr>
                  <w:tcBorders>
                    <w:bottom w:val="single" w:sz="3"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Yosemite Creek B</w:t>
                  </w:r>
                </w:p>
              </w:tc>
              <w:tc>
                <w:tcPr>
                  <w:tcBorders>
                    <w:bottom w:val="single" w:sz="3"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Yosemite National Park</w:t>
                  </w:r>
                </w:p>
              </w:tc>
              <w:tc>
                <w:tcPr>
                  <w:tcBorders>
                    <w:bottom w:val="single" w:sz="3"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37.843904</w:t>
                  </w:r>
                </w:p>
              </w:tc>
              <w:tc>
                <w:tcPr>
                  <w:tcBorders>
                    <w:bottom w:val="single" w:sz="3"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-119.572754</w:t>
                  </w:r>
                </w:p>
              </w:tc>
              <w:tc>
                <w:tcPr>
                  <w:tcBorders>
                    <w:bottom w:val="single" w:sz="3"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10</w:t>
                  </w:r>
                </w:p>
              </w:tc>
              <w:tc>
                <w:tcPr>
                  <w:tcBorders>
                    <w:bottom w:val="single" w:sz="3"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0" w:before="200" w:line="240"/>
                    <w:ind w:left="200" w:right="2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c>
                <w:tcPr>
                  <w:tcBorders>
                    <w:bottom w:val="single" w:sz="3"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0" w:before="200" w:line="240"/>
                    <w:ind w:left="200" w:right="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r>
            <w:tr>
              <w:trPr>
                <w:trHeight w:val="360" w:hRule="auto"/>
              </w:trPr>
              footer 1
              <w:tc>
                <w:tcPr>
                  <w:gridSpan w:val="8"/>
                  <w:tcBorders>
                    <w:bottom w:val="none" w:sz="0" w:space="0" w:color="FFFFFF"/>
                    <w:top w:val="single" w:sz="3"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
                  </w:r>
                </w:p>
              </w:tc>
            </w:tr>
            <w:tr>
              <w:trPr>
                <w:trHeight w:val="360" w:hRule="auto"/>
              </w:trPr>
              footer 2
              <w:tc>
                <w:tcPr>
                  <w:gridSpan w:val="8"/>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Total | |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123 | 43 | 137</w:t>
                  </w:r>
                </w:p>
              </w:tc>
            </w:tr>
          </w:tbl>
          <w:bookmarkEnd w:id="312"/>
        </w:tc>
      </w:tr>
    </w:tbl>
    <w:bookmarkEnd w:id="313"/>
    <w:bookmarkStart w:id="315" w:name="table-s2"/>
    <w:p>
      <w:pPr>
        <w:pStyle w:val="Heading2"/>
      </w:pPr>
      <w:r>
        <w:t xml:space="preserve">15.11 Table S2</w:t>
      </w:r>
    </w:p>
    <w:tbl>
      <w:tblPr>
        <w:tblStyle w:val="Table"/>
        <w:tblW w:type="pct" w:w="5000"/>
        <w:tblLayout w:type="fixed"/>
        <w:tblLook w:firstRow="0" w:lastRow="0" w:firstColumn="0" w:lastColumn="0" w:noHBand="0" w:noVBand="0" w:val="0000"/>
      </w:tblPr>
      <w:tblGrid>
        <w:gridCol w:w="7920"/>
      </w:tblGrid>
      <w:tr>
        <w:tc>
          <w:tcPr/>
          <w:bookmarkStart w:id="314" w:name="supptbl-2"/>
          <w:p>
            <w:pPr>
              <w:jc w:val="center"/>
            </w:pPr>
            <w:pPr>
              <w:jc w:val="left"/>
              <w:spacing w:before="200"/>
              <w:pStyle w:val="ImageCaption"/>
            </w:pPr>
            <w:r>
              <w:t xml:space="preserve">Table S2: Prevalence of phyla in samples per species.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z="16" w:space="0" w:color="D3D3D3"/>
                    <w:bottom w:val="single" w:sz="16" w:space="0" w:color="D3D3D3"/>
                    <w:start w:val="single" w:space="0" w:color="D3D3D3"/>
                    <w:end w:val="single" w:space="0" w:color="D3D3D3"/>
                  </w:tcBorders>
                </w:tcPr>
                <w:p>
                  <w:pPr>
                    <w:spacing w:before="0" w:after="60"/>
                    <w:keepNext/>
                    <w:jc w:val="end"/>
                  </w:pPr>
                  <w:r>
                    <w:rPr>
                      <w:rFonts w:ascii="Calibri" w:hAnsi="Calibri"/>
                      <w:sz w:val="20"/>
                    </w:rPr>
                    <w:t xml:space="default">Occurrence</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
                </w:tcPr>
                <w:p>
                  <w:pPr>
                    <w:spacing w:before="0" w:after="60"/>
                    <w:keepNext/>
                  </w:pPr>
                  <w:r>
                    <w:rPr>
                      <w:rFonts w:ascii="Calibri" w:hAnsi="Calibri"/>
                      <w:sz w:val="20"/>
                      <w:i/>
                    </w:rPr>
                    <w:t xml:space="default">M. laciniatus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Ascomycota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Basidiomycota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Mortierellomycota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Olpidiomycota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
                </w:tcPr>
                <w:p>
                  <w:pPr>
                    <w:spacing w:before="0" w:after="60"/>
                    <w:keepNext/>
                  </w:pPr>
                  <w:r>
                    <w:rPr>
                      <w:rFonts w:ascii="Calibri" w:hAnsi="Calibri"/>
                      <w:sz w:val="20"/>
                      <w:i/>
                    </w:rPr>
                    <w:t xml:space="default">M. nasutus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Ascomycota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Basidiomycota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Chytridiomycota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Mortierellomycota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Rozellomycota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
                </w:tcPr>
                <w:p>
                  <w:pPr>
                    <w:spacing w:before="0" w:after="60"/>
                    <w:keepNext/>
                  </w:pPr>
                  <w:r>
                    <w:rPr>
                      <w:rFonts w:ascii="Calibri" w:hAnsi="Calibri"/>
                      <w:sz w:val="20"/>
                      <w:i/>
                    </w:rPr>
                    <w:t xml:space="default">M. guttatus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Ascomycota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Basidiomycota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Mortierellomycota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Olpidiomycota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r>
            <w:tr>
              <w:trPr>
                <w:cantSplit/>
              </w:trPr>
              <w:tc>
                <w:tcPr>
                  <w:gridSpan w:val="2"/>
                </w:tcPr>
                <w:p>
                  <w:pPr>
                    <w:spacing w:before="0" w:after="60"/>
                    <w:keepNext/>
                  </w:pPr>
                  <w:r>
                    <w:rPr>
                      <w:rFonts w:ascii="Calibri" w:hAnsi="Calibri"/>
                      <w:sz w:val="20"/>
                    </w:rPr>
                    <w:t xml:space="default">Occurrence represents the number of samples where each phylum was detected per species.</w:t>
                  </w:r>
                </w:p>
              </w:tc>
            </w:tr>
          </w:tbl>
          <w:bookmarkEnd w:id="314"/>
        </w:tc>
      </w:tr>
    </w:tbl>
    <w:bookmarkEnd w:id="315"/>
    <w:bookmarkStart w:id="317" w:name="table-s3"/>
    <w:p>
      <w:pPr>
        <w:pStyle w:val="Heading2"/>
      </w:pPr>
      <w:r>
        <w:t xml:space="preserve">15.12 Table S3</w:t>
      </w:r>
    </w:p>
    <w:tbl>
      <w:tblPr>
        <w:tblStyle w:val="Table"/>
        <w:tblW w:type="pct" w:w="5000"/>
        <w:tblLayout w:type="fixed"/>
        <w:tblLook w:firstRow="0" w:lastRow="0" w:firstColumn="0" w:lastColumn="0" w:noHBand="0" w:noVBand="0" w:val="0000"/>
      </w:tblPr>
      <w:tblGrid>
        <w:gridCol w:w="7920"/>
      </w:tblGrid>
      <w:tr>
        <w:tc>
          <w:tcPr/>
          <w:bookmarkStart w:id="316" w:name="supptbl-3"/>
          <w:p>
            <w:pPr>
              <w:jc w:val="center"/>
            </w:pPr>
            <w:pPr>
              <w:jc w:val="left"/>
              <w:spacing w:before="200"/>
              <w:pStyle w:val="ImageCaption"/>
            </w:pPr>
            <w:r>
              <w:t xml:space="preserve">Table S3: Permutational ANOVA for the best-fit dbRDA model with hybrid cross-types. Significance levels are represented by asterisks [</w:t>
            </w:r>
            <w:r>
              <w:rPr>
                <w:i/>
                <w:iCs/>
              </w:rPr>
              <w:t xml:space="preserve">p</w:t>
            </w:r>
            <w:r>
              <w:t xml:space="preserve"> </w:t>
            </w:r>
            <w:r>
              <w:t xml:space="preserve">&lt; .05 (*),</w:t>
            </w:r>
            <w:r>
              <w:t xml:space="preserve"> </w:t>
            </w:r>
            <w:r>
              <w:rPr>
                <w:i/>
                <w:iCs/>
              </w:rPr>
              <w:t xml:space="preserve">p</w:t>
            </w:r>
            <w:r>
              <w:t xml:space="preserve"> </w:t>
            </w:r>
            <w:r>
              <w:t xml:space="preserve">&lt; .01 (**),</w:t>
            </w:r>
            <w:r>
              <w:t xml:space="preserve"> </w:t>
            </w:r>
            <w:r>
              <w:rPr>
                <w:i/>
                <w:iCs/>
              </w:rPr>
              <w:t xml:space="preserve">p</w:t>
            </w:r>
            <w:r>
              <w:t xml:space="preserve"> </w:t>
            </w:r>
            <w:r>
              <w:t xml:space="preserve">&lt; .001 (***), and</w:t>
            </w:r>
            <w:r>
              <w:t xml:space="preserve"> </w:t>
            </w:r>
            <w:r>
              <w:rPr>
                <w:i/>
                <w:iCs/>
              </w:rPr>
              <w:t xml:space="preserve">p</w:t>
            </w:r>
            <w:r>
              <w:t xml:space="preserve"> </w:t>
            </w:r>
            <w:r>
              <w:t xml:space="preserve">&lt; .0001 (****)].</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25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true"/>
                      <w:u w:val="none"/>
                      <w:sz w:val="22"/>
                      <w:szCs w:val="22"/>
                      <w:color w:val="000000"/>
                    </w:rPr>
                    <w:t xml:space="preserve">Term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true"/>
                      <w:u w:val="none"/>
                      <w:sz w:val="22"/>
                      <w:szCs w:val="22"/>
                      <w:color w:val="000000"/>
                    </w:rPr>
                    <w:t xml:space="preserve">Df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true"/>
                      <w:u w:val="none"/>
                      <w:sz w:val="22"/>
                      <w:szCs w:val="22"/>
                      <w:color w:val="000000"/>
                    </w:rPr>
                    <w:t xml:space="preserve">Sum. of Sqs.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true"/>
                      <w:u w:val="none"/>
                      <w:sz w:val="22"/>
                      <w:szCs w:val="22"/>
                      <w:color w:val="000000"/>
                    </w:rPr>
                    <w:t xml:space="preserve">F-value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true"/>
                      <w:u w:val="none"/>
                      <w:sz w:val="22"/>
                      <w:szCs w:val="22"/>
                      <w:color w:val="000000"/>
                    </w:rPr>
                    <w:t xml:space="preserve">p-value</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false"/>
                      <w:u w:val="none"/>
                      <w:sz w:val="20"/>
                      <w:szCs w:val="20"/>
                      <w:color w:val="000000"/>
                    </w:rPr>
                    <w:t xml:space="preserve">logLBI</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false"/>
                      <w:u w:val="none"/>
                      <w:sz w:val="22"/>
                      <w:szCs w:val="22"/>
                      <w:color w:val="000000"/>
                    </w:rPr>
                    <w:t xml:space="preserve">1.000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false"/>
                      <w:u w:val="none"/>
                      <w:sz w:val="22"/>
                      <w:szCs w:val="22"/>
                      <w:color w:val="000000"/>
                    </w:rPr>
                    <w:t xml:space="preserve">57.693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false"/>
                      <w:u w:val="none"/>
                      <w:sz w:val="22"/>
                      <w:szCs w:val="22"/>
                      <w:color w:val="000000"/>
                    </w:rPr>
                    <w:t xml:space="preserve">306.561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false"/>
                      <w:u w:val="none"/>
                      <w:sz w:val="22"/>
                      <w:szCs w:val="22"/>
                      <w:color w:val="000000"/>
                    </w:rPr>
                    <w:t xml:space="preserve">***</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false"/>
                      <w:u w:val="none"/>
                      <w:sz w:val="20"/>
                      <w:szCs w:val="20"/>
                      <w:color w:val="000000"/>
                    </w:rPr>
                    <w:t xml:space="preserve">Elevation_m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false"/>
                      <w:u w:val="non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false"/>
                      <w:u w:val="none"/>
                      <w:sz w:val="22"/>
                      <w:szCs w:val="22"/>
                      <w:color w:val="000000"/>
                    </w:rPr>
                    <w:t xml:space="preserve">53.745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false"/>
                      <w:u w:val="none"/>
                      <w:sz w:val="22"/>
                      <w:szCs w:val="22"/>
                      <w:color w:val="000000"/>
                    </w:rPr>
                    <w:t xml:space="preserve">285.579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false"/>
                      <w:u w:val="none"/>
                      <w:sz w:val="22"/>
                      <w:szCs w:val="22"/>
                      <w:color w:val="000000"/>
                    </w:rPr>
                    <w:t xml:space="preserve">***</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false"/>
                      <w:u w:val="none"/>
                      <w:sz w:val="20"/>
                      <w:szCs w:val="20"/>
                      <w:color w:val="000000"/>
                    </w:rPr>
                    <w:t xml:space="preserve">Species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false"/>
                      <w:u w:val="none"/>
                      <w:sz w:val="22"/>
                      <w:szCs w:val="22"/>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false"/>
                      <w:u w:val="none"/>
                      <w:sz w:val="22"/>
                      <w:szCs w:val="22"/>
                      <w:color w:val="000000"/>
                    </w:rPr>
                    <w:t xml:space="preserve">29.173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false"/>
                      <w:u w:val="none"/>
                      <w:sz w:val="22"/>
                      <w:szCs w:val="22"/>
                      <w:color w:val="000000"/>
                    </w:rPr>
                    <w:t xml:space="preserve">77.508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false"/>
                      <w:u w:val="none"/>
                      <w:sz w:val="22"/>
                      <w:szCs w:val="22"/>
                      <w:color w:val="000000"/>
                    </w:rPr>
                    <w:t xml:space="preserve">***</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false"/>
                      <w:u w:val="none"/>
                      <w:sz w:val="20"/>
                      <w:szCs w:val="20"/>
                      <w:color w:val="000000"/>
                    </w:rPr>
                    <w:t xml:space="preserve">Elevation_m:Species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false"/>
                      <w:u w:val="none"/>
                      <w:sz w:val="22"/>
                      <w:szCs w:val="22"/>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false"/>
                      <w:u w:val="none"/>
                      <w:sz w:val="22"/>
                      <w:szCs w:val="22"/>
                      <w:color w:val="000000"/>
                    </w:rPr>
                    <w:t xml:space="preserve">45.614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false"/>
                      <w:u w:val="none"/>
                      <w:sz w:val="22"/>
                      <w:szCs w:val="22"/>
                      <w:color w:val="000000"/>
                    </w:rPr>
                    <w:t xml:space="preserve">121.188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false"/>
                      <w:u w:val="none"/>
                      <w:sz w:val="22"/>
                      <w:szCs w:val="22"/>
                      <w:color w:val="000000"/>
                    </w:rPr>
                    <w:t xml:space="preserve">***</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true"/>
                      <w:b w:val="false"/>
                      <w:u w:val="none"/>
                      <w:sz w:val="22"/>
                      <w:szCs w:val="22"/>
                      <w:color w:val="000000"/>
                    </w:rPr>
                    <w:t xml:space="preserve">Residual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false"/>
                      <w:u w:val="none"/>
                      <w:sz w:val="22"/>
                      <w:szCs w:val="22"/>
                      <w:color w:val="000000"/>
                    </w:rPr>
                    <w:t xml:space="preserve">3,443.000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false"/>
                      <w:u w:val="none"/>
                      <w:sz w:val="22"/>
                      <w:szCs w:val="22"/>
                      <w:color w:val="000000"/>
                    </w:rPr>
                    <w:t xml:space="preserve">647.959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ex Gyre Termes" w:hAnsi="Tex Gyre Termes" w:eastAsia="Tex Gyre Termes" w:cs="Tex Gyre Termes"/>
                      <w:i w:val="false"/>
                      <w:b w:val="false"/>
                      <w:u w:val="none"/>
                      <w:sz w:val="22"/>
                      <w:szCs w:val="22"/>
                      <w:color w:val="000000"/>
                    </w:rPr>
                    <w:t xml:space="preserve"/>
                  </w:r>
                </w:p>
              </w:tc>
            </w:tr>
            <w:tr>
              <w:trPr>
                <w:trHeight w:val="360" w:hRule="auto"/>
              </w:trPr>
              footer1
              <w:tc>
                <w:tcPr>
                  <w:gridSpan w:val="5"/>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Significance levels are represented by ns (not significant) and asterisks [p &lt; .05 (*), p &lt; .01 (**), p &lt; .001 (***), and p &lt; .0001 (****)].</w:t>
                  </w:r>
                </w:p>
              </w:tc>
            </w:tr>
          </w:tbl>
          <w:bookmarkEnd w:id="316"/>
        </w:tc>
      </w:tr>
    </w:tbl>
    <w:bookmarkEnd w:id="317"/>
    <w:bookmarkStart w:id="323" w:name="supplementary-methods"/>
    <w:p>
      <w:pPr>
        <w:pStyle w:val="Heading2"/>
      </w:pPr>
      <w:r>
        <w:t xml:space="preserve">15.13 Supplementary methods</w:t>
      </w:r>
    </w:p>
    <w:bookmarkStart w:id="318" w:name="X58b6a4989f08b4342b5f6b836f395bb4bc7612c"/>
    <w:p>
      <w:pPr>
        <w:pStyle w:val="Heading3"/>
      </w:pPr>
      <w:r>
        <w:t xml:space="preserve">15.13.1 Leaf trait measurements: instruments and protocol detail</w:t>
      </w:r>
    </w:p>
    <w:p>
      <w:pPr>
        <w:pStyle w:val="FirstParagraph"/>
      </w:pPr>
      <w:r>
        <w:t xml:space="preserve">We cleaned plants with tap water to remove all soil and debris remnants from the leaves and roots. We removed all healthy leaves (~ 5 - 10) from the stems and took three measurements per trait from three haphazardly selected leaves from individual plants, except for LBI, where we measured only one leaf per plant. To calculate LBI we used a transparency film to hold the leaf in place and flatten, after which we took a digital photograph and then followed Ferris et al.</w:t>
      </w:r>
      <w:r>
        <w:t xml:space="preserve"> </w:t>
      </w:r>
      <w:r>
        <w:t xml:space="preserve">(2015)</w:t>
      </w:r>
      <w:r>
        <w:t xml:space="preserve">. We measured ACI content with ACM-200plus (Opti-Sciences Inc. Hudson, New Hampshire, U.S.A.) on haphazardly selected locations of the leaf surface (working from the petiole out to the leaf tip)</w:t>
      </w:r>
      <w:r>
        <w:t xml:space="preserve"> </w:t>
      </w:r>
      <w:r>
        <w:t xml:space="preserve">(Tellez et al., 2022)</w:t>
      </w:r>
      <w:r>
        <w:t xml:space="preserve">. The ACM-200 calculates an ACI value from the ratio of % transmittance at 931 nm/% transmittance at 525 nm</w:t>
      </w:r>
      <w:r>
        <w:t xml:space="preserve"> </w:t>
      </w:r>
      <w:r>
        <w:t xml:space="preserve">(n.d.)</w:t>
      </w:r>
      <w:r>
        <w:t xml:space="preserve">, effectively accounting for leaf thickness. We measured LT (μm) with a Mitutoyo 7327 Micrometer Gauge (Mitutoyo, Takatsu-ku, Kawasaki, Japan) on haphazardly selected locations of the leaf lamina, taking care to avoid major and secondary veins. We used an Imada DST-11a digital force gauge (Imada Inc., Northbrook, IL, United States) to measure LPS on the lamina of each leaf selected, avoiding minor leaf veins when possible</w:t>
      </w:r>
      <w:r>
        <w:t xml:space="preserve"> </w:t>
      </w:r>
      <w:r>
        <w:t xml:space="preserve">(Tellez et al., 2022)</w:t>
      </w:r>
      <w:r>
        <w:t xml:space="preserve">. It functions by conducting punch-and-die tests with a sharp-edged cylindrical steel punch (2.0 mm diameter) and a steel die with a sharp-edged aperture of small clearance (0.05 mm). Once LPS was measured, we used a 4 mm diameter punch hole to puncture disks for LMA measurements, collecting one disk per leaf. The dried disk punches were shipped to Tulane University, New Orleans, LA, USA to dry at 60℃ for 48-72 hours before being weighed.</w:t>
      </w:r>
    </w:p>
    <w:bookmarkEnd w:id="318"/>
    <w:bookmarkStart w:id="319" w:name="tissue-preservation-full-protocol"/>
    <w:p>
      <w:pPr>
        <w:pStyle w:val="Heading3"/>
      </w:pPr>
      <w:r>
        <w:t xml:space="preserve">15.13.2 Tissue preservation: full protocol</w:t>
      </w:r>
    </w:p>
    <w:p>
      <w:pPr>
        <w:pStyle w:val="FirstParagraph"/>
      </w:pPr>
      <w:r>
        <w:t xml:space="preserve">Upon completion of the leaf trait measurements, we prepared and preserved samples at the UC Merced Yosemite Field Station. We started by removing the main vein and margins from photosynthetic tissue. The leaf lamina was haphazardly cut with a sterile blade into 2 mm wide strips in parallel to the main vein</w:t>
      </w:r>
      <w:r>
        <w:t xml:space="preserve"> </w:t>
      </w:r>
      <w:r>
        <w:t xml:space="preserve">(Arnold et al., 2003; Higgins et al., 2014; Tellez et al., 2022)</w:t>
      </w:r>
      <w:r>
        <w:t xml:space="preserve">. Leaf strips were then sterilized with sequential washes in 95% EtOH (10 s), 0.5% sodium hypochlorite (NaOCl) (60 s), and 70% EtOH (60 s) and air dried under sterile conditions. Due to the small size of monkeyflower plants, the maximum amount of leaf lamina was preserved in sterile 15 mL tubes with ~ 10 mL CTAB solution (1 M Tris-HCl pH 8, 5 M NaCl, 0.5 M EDTA, and 20 g CTAB). All leaf tissue handling was performed in a sterile environment with an alcohol burner lamp inside a portable biosafety cabinet. All surfaces were previously sterilized sequentially with 0.5% NaOCl, 95% EtOH, and 70% EtOH. We surface sterilized surfaces and instruments in between sample handling to prevent cross contamination.</w:t>
      </w:r>
    </w:p>
    <w:bookmarkEnd w:id="319"/>
    <w:bookmarkStart w:id="320" w:name="X981434cbeb86895d095bd50bc8d2e899b996b6c"/>
    <w:p>
      <w:pPr>
        <w:pStyle w:val="Heading3"/>
      </w:pPr>
      <w:r>
        <w:t xml:space="preserve">15.13.3 Amplicon sequencing: reagents, instruments, and reaction detail</w:t>
      </w:r>
    </w:p>
    <w:p>
      <w:pPr>
        <w:pStyle w:val="FirstParagraph"/>
      </w:pPr>
      <w:r>
        <w:t xml:space="preserve">We stored leaf tissue in CTAB solution for 2 months at room temperature before extracting DNA at Tulane University. To prepare for the DNA extraction procedure, we decontaminated all instruments, materials, and surfaces in the biosafety cabinet with 0.5% NaOCl, 70% EtOH, and 95% EtOH, and subsequently treated them with UV light for 30 minutes. We subsampled 0.2 - 0.3 g of leaf tissue from each sample and placed it into sterile 2 mL tubes containing an assortment of beads: 3.2 mm stainless steel beads (Next Advance, Cat# SSB32), 100 µL stainless steel bead blend, 0.9-2.0 mm (NextAdvance, Cat# SSB14B) and 2-3 of the autoclaved 2 mm zirconium oxide beads (Next Advance, Cat# ZRoB20). We then lyophilized samples for 72 hours to fully remove CTAB content from tissue, submerged the sample tubes in liquid nitrogen for 30 s, and homogenized samples at 30 Hz for 3 minutes in a TissueLyser LT (QIAGEN, Valencia, CA, USA). We stored samples at −20℃ until DNA extraction.</w:t>
      </w:r>
    </w:p>
    <w:p>
      <w:pPr>
        <w:pStyle w:val="BodyText"/>
      </w:pPr>
      <w:r>
        <w:t xml:space="preserve">We used a DNA extraction protocol for high-molecular-weight DNA extraction adapted from Russo et al.</w:t>
      </w:r>
      <w:r>
        <w:t xml:space="preserve"> </w:t>
      </w:r>
      <w:r>
        <w:t xml:space="preserve">(2022)</w:t>
      </w:r>
      <w:r>
        <w:t xml:space="preserve">. Briefly, it is a CTAB:chloroform:isoamyl extraction combined with a solid-phase reversible immobilization (SPRI) bead step</w:t>
      </w:r>
      <w:r>
        <w:t xml:space="preserve"> </w:t>
      </w:r>
      <w:r>
        <w:t xml:space="preserve">(Liu et al., 2023; Rohland &amp; Reich, 2012; Russo et al., 2022)</w:t>
      </w:r>
      <w:r>
        <w:t xml:space="preserve">. Protocol modifications allowed us to optimize extractions for fungal DNA from preserved leaf tissue</w:t>
      </w:r>
      <w:r>
        <w:t xml:space="preserve"> </w:t>
      </w:r>
      <w:r>
        <w:t xml:space="preserve">(see details in Aponte Rolón, 2023)</w:t>
      </w:r>
      <w:r>
        <w:t xml:space="preserve">. After all genomic DNA was extracted, we quantified the DNA using a Quant-iT® dsDNA HS Assay kit with a Qubit Flourometer (Thermo Fisher Scientific, Waltham, MA, USA, Cat# Q33120) and followed a two-step amplification approach described by Sarmiento et al.</w:t>
      </w:r>
      <w:r>
        <w:t xml:space="preserve"> </w:t>
      </w:r>
      <w:r>
        <w:t xml:space="preserve">(2017)</w:t>
      </w:r>
      <w:r>
        <w:t xml:space="preserve"> </w:t>
      </w:r>
      <w:r>
        <w:t xml:space="preserve">and U’Ren &amp; Arnold</w:t>
      </w:r>
      <w:r>
        <w:t xml:space="preserve"> </w:t>
      </w:r>
      <w:r>
        <w:t xml:space="preserve">(2017)</w:t>
      </w:r>
      <w:r>
        <w:t xml:space="preserve">. Every sample was amplified in three parallel reactions at annealing temperatures of 52℃, 54℃, and 56℃ to amplify a wide range of fungal taxa and reduce amplification bias for short ITS sequences</w:t>
      </w:r>
      <w:r>
        <w:t xml:space="preserve"> </w:t>
      </w:r>
      <w:r>
        <w:t xml:space="preserve">(Lumibao et al., 2018; U’Ren &amp; Arnold, 2017)</w:t>
      </w:r>
      <w:r>
        <w:t xml:space="preserve">. Each PCR (PCR1) reaction contained 2 µL of sample DNA template. We visualized PCR1 reactions with SYBR™ Safe DNA Gel Stain (Thermo Fisher Scientific, Waltham, MA, USA, Cat# S33102) on a 2% agarose gel</w:t>
      </w:r>
      <w:r>
        <w:t xml:space="preserve"> </w:t>
      </w:r>
      <w:r>
        <w:t xml:space="preserve">(Oita et al., 2021)</w:t>
      </w:r>
      <w:r>
        <w:t xml:space="preserve">. We combined 5 µL of amplicon product from parallel reactions into a single tube per sample and purified using Sera-Mag™ SpeedBead Carboxylate-Modified Magnetic Particles (Hydrophobic) (Thermo Fisher Scientific, Waltham, MA, USA, Cat#09-981-123) prepared as per</w:t>
      </w:r>
      <w:r>
        <w:t xml:space="preserve"> </w:t>
      </w:r>
      <w:r>
        <w:t xml:space="preserve">(2023)</w:t>
      </w:r>
      <w:r>
        <w:t xml:space="preserve"> </w:t>
      </w:r>
      <w:r>
        <w:t xml:space="preserve">and used a ratio of 1.2x:1 with 80% EtOH following manufacturer’s instructions. We used 3 µL of PCR1 product from samples, DNA extraction controls, and PCR1 negative controls for a second PCR (PCR2) with barcoded adapters (IDT, Coralville, Iowa, USA). Each PCR2 reaction (total 30 µL) contained 1X Phusion Flash High Fidelity PCR Master Mix (Thermo Fisher Scientific, Waltham, MA, USA, Cat# F548L), 0.075 µM of barcoded primers (forward and reverse pooled at an initial concentration of 2 µM), and 0.20 mg/mL of BSA (Thermo Fisher Scientific, Waltham, MA, USA, Cat# B14), following</w:t>
      </w:r>
      <w:r>
        <w:t xml:space="preserve"> </w:t>
      </w:r>
      <w:r>
        <w:t xml:space="preserve">(2017)</w:t>
      </w:r>
      <w:r>
        <w:t xml:space="preserve">. Before final pooling for sequencing, we purified and concentrated amplicons using SPRI beads to a total volume of 20 µL. We quantified PCR2 product with a Quant-iT™ PicoGreen™ dsDNA Assay Kit (Thermo Fisher Scientific, Waltham, MA, USA, Cat# P7589) with a BioTek Synergy LX plate reader (Agilent, Santa Clara, CA) and combined equimolar amounts of libraries, including DNA extraction controls, PCR1, and PCR2 negative controls, into a 10 nM library pool. We did not detect any contamination visually or fluorometrically. Throughout all these steps, we used a separate set of sterile pipettes, tips, and equipment to reduce contamination in a designated PCR area to restrict contact with pre-PCR materials</w:t>
      </w:r>
      <w:r>
        <w:t xml:space="preserve"> </w:t>
      </w:r>
      <w:r>
        <w:t xml:space="preserve">(Oita et al., 2021)</w:t>
      </w:r>
      <w:r>
        <w:t xml:space="preserve">.</w:t>
      </w:r>
    </w:p>
    <w:bookmarkEnd w:id="320"/>
    <w:bookmarkStart w:id="321" w:name="illumina-truseq-adapters"/>
    <w:p>
      <w:pPr>
        <w:pStyle w:val="Heading3"/>
      </w:pPr>
      <w:r>
        <w:t xml:space="preserve">15.13.4 Illumina TruSeq adapters</w:t>
      </w:r>
    </w:p>
    <w:p>
      <w:pPr>
        <w:pStyle w:val="FirstParagraph"/>
      </w:pPr>
      <w:r>
        <w:t xml:space="preserve">The modified primers for the first PCR (adapter ligation and ITS1 amplification) were as follows: 5’-CAC TCT TTC CCT ACA CGA CGC TCT TCC GAT CTC TTG GTC ATT TAG AGG AAG TAA-3’ (forward) and 5’-GTG ACT GGA GTT CAG ACG TGT GCT CTT CCG ATC TGC TGC GTT CTT CAT CGA TGC-3’ (reverse).</w:t>
      </w:r>
      <w:r>
        <w:t xml:space="preserve"> </w:t>
      </w:r>
      <w:r>
        <w:t xml:space="preserve">See</w:t>
      </w:r>
      <w:r>
        <w:t xml:space="preserve"> </w:t>
      </w:r>
      <w:r>
        <w:t xml:space="preserve">(Gardes &amp; Bruns, 1993)</w:t>
      </w:r>
      <w:r>
        <w:t xml:space="preserve"> </w:t>
      </w:r>
      <w:r>
        <w:t xml:space="preserve">and</w:t>
      </w:r>
      <w:r>
        <w:t xml:space="preserve"> </w:t>
      </w:r>
      <w:r>
        <w:t xml:space="preserve">(White, T. J. et al., 1990)</w:t>
      </w:r>
      <w:r>
        <w:t xml:space="preserve"> </w:t>
      </w:r>
      <w:r>
        <w:t xml:space="preserve">for more details.</w:t>
      </w:r>
    </w:p>
    <w:bookmarkEnd w:id="321"/>
    <w:bookmarkStart w:id="322" w:name="supplementary-literature-cited"/>
    <w:p>
      <w:pPr>
        <w:pStyle w:val="Heading3"/>
      </w:pPr>
      <w:r>
        <w:t xml:space="preserve">15.13.5 Supplementary Literature Cited</w:t>
      </w:r>
    </w:p>
    <w:p>
      <w:pPr>
        <w:pStyle w:val="FirstParagraph"/>
      </w:pPr>
      <w:r>
        <w:t xml:space="preserve">Gardes, M., &amp; Bruns, T. D. (1993). ITS primers with enhanced specificity for basidiomycetes ‐ application to the identification of mycorrhizae and rusts. Molecular Ecology, 2(2), 113–118. https://doi.org/10.1111/j.1365-294X.1993.tb00005.x</w:t>
      </w:r>
    </w:p>
    <w:p>
      <w:pPr>
        <w:pStyle w:val="BodyText"/>
      </w:pPr>
      <w:r>
        <w:t xml:space="preserve">White, T. J., Bruns, T.D., Lee, S. B., &amp; Taylor, J. W. (1990). Amplification and direct sequencing of fungal ribosomal RNA genes for phylogenetics (pp. 315–322).</w:t>
      </w:r>
    </w:p>
    <w:bookmarkEnd w:id="322"/>
    <w:bookmarkEnd w:id="323"/>
    <w:bookmarkEnd w:id="324"/>
    <w:sectPr>
      <w:footnotePr>
        <w:numFmt w:val="decimal"/>
      </w:footnotePr>
      <w:type w:val="nextPage"/>
      <w:pgSz w:h="15840" w:w="12240"/>
      <w:pgMar w:bottom="1440" w:footer="0" w:gutter="0" w:header="0" w:left="1440" w:right="1440" w:top="1440"/>
      <w:lnNumType w:countBy="1" w:distance="288" w:restart="continuous"/>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DejaVu Serif">
    <w:charset w:val="01"/>
    <w:family w:val="roman"/>
    <w:pitch w:val="variable"/>
  </w:font>
  <w:font w:name="Cambria">
    <w:charset w:val="01"/>
    <w:family w:val="roman"/>
    <w:pitch w:val="variable"/>
  </w:font>
  <w:font w:name="TeX Gyre Termes">
    <w:charset w:val="01"/>
    <w:family w:val="roman"/>
    <w:pitch w:val="variable"/>
  </w:font>
  <w:font w:name="Consolas">
    <w:charset w:val="01"/>
    <w:family w:val="roman"/>
    <w:pitch w:val="variable"/>
  </w:font>
  <w:font w:name="Calibri">
    <w:charset w:val="01"/>
    <w:family w:val="roman"/>
    <w:pitch w:val="variable"/>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autoHyphenation w:val="true"/>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
  <w:rsids>
  </w:rsids>
  <w:themeFontLang w:bidi="" w:eastAsia=""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276" w:defLockedState="0" w:defQFormat="0" w:defSemiHidden="0" w:defUIPriority="0" w:defUnhideWhenUsed="0"/>
  <w:style w:default="1" w:styleId="Normal" w:type="paragraph">
    <w:name w:val="Normal"/>
    <w:qFormat/>
    <w:pPr>
      <w:widowControl/>
      <w:suppressAutoHyphens w:val="true"/>
      <w:bidi w:val="0"/>
      <w:spacing w:after="200" w:before="0"/>
      <w:jc w:val="left"/>
    </w:pPr>
    <w:rPr>
      <w:rFonts w:ascii="TeX Gyre Termes" w:cs="" w:cstheme="minorBidi" w:eastAsia="Cambria" w:eastAsiaTheme="minorHAnsi" w:hAnsi="TeX Gyre Termes"/>
      <w:color w:val="auto"/>
      <w:kern w:val="0"/>
      <w:sz w:val="24"/>
      <w:szCs w:val="24"/>
      <w:lang w:bidi="ar-SA" w:eastAsia="en-US" w:val="en-US"/>
    </w:rPr>
  </w:style>
  <w:style w:styleId="Heading1" w:type="paragraph">
    <w:name w:val="Heading 1"/>
    <w:basedOn w:val="Normal"/>
    <w:next w:val="BodyText"/>
    <w:uiPriority w:val="9"/>
    <w:qFormat/>
    <w:pPr>
      <w:keepNext w:val="true"/>
      <w:keepLines/>
      <w:spacing w:after="0" w:before="480"/>
      <w:outlineLvl w:val="0"/>
    </w:pPr>
    <w:rPr>
      <w:rFonts w:ascii="TeX Gyre Termes" w:cs="" w:cstheme="majorBidi" w:eastAsia="" w:eastAsiaTheme="majorEastAsia" w:hAnsi="TeX Gyre Termes"/>
      <w:b/>
      <w:bCs/>
      <w:color w:val="000000"/>
      <w:sz w:val="32"/>
      <w:szCs w:val="32"/>
    </w:rPr>
  </w:style>
  <w:style w:styleId="Heading2" w:type="paragraph">
    <w:name w:val="Heading 2"/>
    <w:basedOn w:val="Normal"/>
    <w:next w:val="BodyText"/>
    <w:uiPriority w:val="9"/>
    <w:unhideWhenUsed/>
    <w:qFormat/>
    <w:pPr>
      <w:keepNext w:val="true"/>
      <w:keepLines/>
      <w:spacing w:after="0" w:before="200"/>
      <w:outlineLvl w:val="1"/>
    </w:pPr>
    <w:rPr>
      <w:rFonts w:ascii="TeX Gyre Termes" w:cs="" w:cstheme="majorBidi" w:eastAsia="" w:eastAsiaTheme="majorEastAsia" w:hAnsi="TeX Gyre Termes"/>
      <w:b/>
      <w:bCs/>
      <w:color w:val="000000"/>
      <w:sz w:val="28"/>
      <w:szCs w:val="28"/>
    </w:rPr>
  </w:style>
  <w:style w:styleId="Heading3" w:type="paragraph">
    <w:name w:val="Heading 3"/>
    <w:basedOn w:val="Normal"/>
    <w:next w:val="BodyText"/>
    <w:uiPriority w:val="9"/>
    <w:unhideWhenUsed/>
    <w:qFormat/>
    <w:pPr>
      <w:keepNext w:val="true"/>
      <w:keepLines/>
      <w:spacing w:after="0" w:before="200"/>
      <w:outlineLvl w:val="2"/>
    </w:pPr>
    <w:rPr>
      <w:rFonts w:ascii="TeX Gyre Termes" w:cs="" w:cstheme="majorBidi" w:eastAsia="" w:eastAsiaTheme="majorEastAsia" w:hAnsi="TeX Gyre Termes"/>
      <w:b/>
      <w:bCs/>
      <w:color w:val="000000"/>
      <w:sz w:val="24"/>
      <w:szCs w:val="24"/>
    </w:rPr>
  </w:style>
  <w:style w:styleId="Heading4" w:type="paragraph">
    <w:name w:val="Heading 4"/>
    <w:basedOn w:val="Normal"/>
    <w:next w:val="BodyText"/>
    <w:uiPriority w:val="9"/>
    <w:unhideWhenUsed/>
    <w:qFormat/>
    <w:pPr>
      <w:keepNext w:val="true"/>
      <w:keepLines/>
      <w:spacing w:after="0" w:before="200"/>
      <w:outlineLvl w:val="3"/>
    </w:pPr>
    <w:rPr>
      <w:rFonts w:ascii="TeX Gyre Termes" w:cs="" w:cstheme="majorBidi" w:eastAsia="" w:eastAsiaTheme="majorEastAsia" w:hAnsi="TeX Gyre Termes"/>
      <w:bCs/>
      <w:i/>
      <w:color w:val="000000"/>
      <w:sz w:val="24"/>
      <w:szCs w:val="24"/>
    </w:rPr>
  </w:style>
  <w:style w:styleId="Heading5" w:type="paragraph">
    <w:name w:val="Heading 5"/>
    <w:basedOn w:val="Normal"/>
    <w:next w:val="BodyText"/>
    <w:uiPriority w:val="9"/>
    <w:unhideWhenUsed/>
    <w:qFormat/>
    <w:pPr>
      <w:keepNext w:val="true"/>
      <w:keepLines/>
      <w:spacing w:after="0" w:before="200"/>
      <w:outlineLvl w:val="4"/>
    </w:pPr>
    <w:rPr>
      <w:rFonts w:ascii="TeX Gyre Termes" w:cs="" w:cstheme="majorBidi" w:eastAsia="" w:eastAsiaTheme="majorEastAsia" w:hAnsi="TeX Gyre Termes"/>
      <w:iCs/>
      <w:color w:val="000000"/>
      <w:sz w:val="24"/>
      <w:szCs w:val="24"/>
    </w:rPr>
  </w:style>
  <w:style w:styleId="Heading6" w:type="paragraph">
    <w:name w:val="Heading 6"/>
    <w:basedOn w:val="Normal"/>
    <w:next w:val="BodyText"/>
    <w:uiPriority w:val="9"/>
    <w:unhideWhenUsed/>
    <w:qFormat/>
    <w:pPr>
      <w:keepNext w:val="true"/>
      <w:keepLines/>
      <w:spacing w:after="0" w:before="200"/>
      <w:outlineLvl w:val="5"/>
    </w:pPr>
    <w:rPr>
      <w:rFonts w:ascii="TeX Gyre Termes" w:cs="" w:cstheme="majorBidi" w:eastAsia="" w:eastAsiaTheme="majorEastAsia" w:hAnsi="TeX Gyre Termes"/>
      <w:color w:val="auto"/>
      <w:sz w:val="24"/>
      <w:szCs w:val="24"/>
    </w:rPr>
  </w:style>
  <w:style w:styleId="Heading7" w:type="paragraph">
    <w:name w:val="Heading 7"/>
    <w:basedOn w:val="Normal"/>
    <w:next w:val="BodyText"/>
    <w:uiPriority w:val="9"/>
    <w:unhideWhenUsed/>
    <w:qFormat/>
    <w:pPr>
      <w:keepNext w:val="true"/>
      <w:keepLines/>
      <w:spacing w:after="0" w:before="200"/>
      <w:outlineLvl w:val="6"/>
    </w:pPr>
    <w:rPr>
      <w:rFonts w:ascii="TeX Gyre Termes" w:cs="" w:cstheme="majorBidi" w:eastAsia="" w:eastAsiaTheme="majorEastAsia" w:hAnsi="TeX Gyre Termes"/>
      <w:color w:val="auto"/>
      <w:sz w:val="24"/>
      <w:szCs w:val="24"/>
    </w:rPr>
  </w:style>
  <w:style w:styleId="Heading8" w:type="paragraph">
    <w:name w:val="Heading 8"/>
    <w:basedOn w:val="Normal"/>
    <w:next w:val="BodyText"/>
    <w:uiPriority w:val="9"/>
    <w:unhideWhenUsed/>
    <w:qFormat/>
    <w:pPr>
      <w:keepNext w:val="true"/>
      <w:keepLines/>
      <w:spacing w:after="0" w:before="200"/>
      <w:outlineLvl w:val="7"/>
    </w:pPr>
    <w:rPr>
      <w:rFonts w:ascii="TeX Gyre Termes" w:cs="" w:cstheme="majorBidi" w:eastAsia="" w:eastAsiaTheme="majorEastAsia" w:hAnsi="TeX Gyre Termes"/>
      <w:color w:val="auto"/>
      <w:sz w:val="24"/>
      <w:szCs w:val="24"/>
    </w:rPr>
  </w:style>
  <w:style w:styleId="Heading9" w:type="paragraph">
    <w:name w:val="Heading 9"/>
    <w:basedOn w:val="Normal"/>
    <w:next w:val="BodyText"/>
    <w:uiPriority w:val="9"/>
    <w:unhideWhenUsed/>
    <w:qFormat/>
    <w:pPr>
      <w:keepNext w:val="true"/>
      <w:keepLines/>
      <w:spacing w:after="0" w:before="200"/>
      <w:outlineLvl w:val="8"/>
    </w:pPr>
    <w:rPr>
      <w:rFonts w:ascii="TeX Gyre Termes" w:cs="" w:cstheme="majorBidi" w:eastAsia="" w:eastAsiaTheme="majorEastAsia" w:hAnsi="TeX Gyre Termes"/>
      <w:color w:val="auto"/>
      <w:sz w:val="24"/>
      <w:szCs w:val="24"/>
    </w:rPr>
  </w:style>
  <w:style w:default="1" w:styleId="DefaultParagraphFont" w:type="character">
    <w:name w:val="Default Paragraph Font"/>
    <w:semiHidden/>
    <w:unhideWhenUsed/>
    <w:qFormat/>
    <w:rPr/>
  </w:style>
  <w:style w:customStyle="1" w:styleId="BodyTextChar" w:type="character">
    <w:name w:val="Body Text Char"/>
    <w:basedOn w:val="DefaultParagraphFont"/>
    <w:qFormat/>
    <w:rPr/>
  </w:style>
  <w:style w:customStyle="1" w:styleId="VerbatimChar" w:type="character">
    <w:name w:val="Verbatim Char"/>
    <w:basedOn w:val="BodyTextChar"/>
    <w:qFormat/>
    <w:rPr>
      <w:rFonts w:ascii="Consolas" w:hAnsi="Consolas"/>
      <w:sz w:val="22"/>
    </w:rPr>
  </w:style>
  <w:style w:customStyle="1" w:styleId="SectionNumber" w:type="character">
    <w:name w:val="Section Number"/>
    <w:basedOn w:val="BodyTextChar"/>
    <w:qFormat/>
    <w:rPr/>
  </w:style>
  <w:style w:styleId="FootnoteCharacters" w:type="character">
    <w:name w:val="Footnote Characters"/>
    <w:qFormat/>
    <w:rPr>
      <w:vertAlign w:val="superscript"/>
    </w:rPr>
  </w:style>
  <w:style w:styleId="FootnoteReference" w:type="character">
    <w:name w:val="Footnote Reference"/>
    <w:rPr>
      <w:vertAlign w:val="superscript"/>
    </w:rPr>
  </w:style>
  <w:style w:styleId="Hyperlink" w:type="character">
    <w:name w:val="Hyperlink"/>
    <w:basedOn w:val="BodyTextChar"/>
    <w:rPr>
      <w:color w:themeColor="accent1" w:val="4F81BD"/>
    </w:rPr>
  </w:style>
  <w:style w:styleId="EndnoteCharacters" w:type="character">
    <w:name w:val="Endnote Characters"/>
    <w:qFormat/>
    <w:rPr>
      <w:vertAlign w:val="superscript"/>
    </w:rPr>
  </w:style>
  <w:style w:styleId="EndnoteReference" w:type="character">
    <w:name w:val="Endnote Reference"/>
    <w:rPr>
      <w:vertAlign w:val="superscript"/>
    </w:rPr>
  </w:style>
  <w:style w:styleId="LineNumber" w:type="character">
    <w:name w:val="Line Number"/>
    <w:rPr/>
  </w:style>
  <w:style w:styleId="Heading" w:type="paragraph">
    <w:name w:val="Heading"/>
    <w:basedOn w:val="Normal"/>
    <w:next w:val="BodyText"/>
    <w:qFormat/>
    <w:pPr>
      <w:keepNext w:val="true"/>
      <w:spacing w:after="120" w:before="240"/>
    </w:pPr>
    <w:rPr>
      <w:rFonts w:ascii="TeX Gyre Termes" w:cs="Lucida Sans" w:eastAsia="Microsoft YaHei" w:hAnsi="TeX Gyre Termes"/>
      <w:sz w:val="28"/>
      <w:szCs w:val="28"/>
    </w:rPr>
  </w:style>
  <w:style w:styleId="BodyText" w:type="paragraph">
    <w:name w:val="Body Text"/>
    <w:basedOn w:val="Normal"/>
    <w:link w:val="BodyTextChar"/>
    <w:qFormat/>
    <w:pPr>
      <w:spacing w:after="180" w:before="180" w:line="480" w:lineRule="auto"/>
    </w:pPr>
    <w:rPr>
      <w:rFonts w:ascii="TeX Gyre Termes" w:hAnsi="TeX Gyre Termes"/>
    </w:rPr>
  </w:style>
  <w:style w:styleId="List" w:type="paragraph">
    <w:name w:val="List"/>
    <w:basedOn w:val="BodyText"/>
    <w:pPr/>
    <w:rPr>
      <w:rFonts w:cs="Lucida Sans"/>
    </w:rPr>
  </w:style>
  <w:style w:styleId="Caption" w:type="paragraph">
    <w:name w:val="Caption"/>
    <w:basedOn w:val="Normal"/>
    <w:link w:val="BodyTextChar"/>
    <w:qFormat/>
    <w:pPr>
      <w:spacing w:after="120" w:before="0"/>
    </w:pPr>
    <w:rPr>
      <w:rFonts w:ascii="TeX Gyre Termes" w:hAnsi="TeX Gyre Termes"/>
      <w:i w:val="false"/>
    </w:rPr>
  </w:style>
  <w:style w:styleId="Index" w:type="paragraph">
    <w:name w:val="Index"/>
    <w:basedOn w:val="Normal"/>
    <w:qFormat/>
    <w:pPr>
      <w:suppressLineNumbers/>
    </w:pPr>
    <w:rPr>
      <w:rFonts w:cs="Lucida Sans"/>
    </w:rPr>
  </w:style>
  <w:style w:customStyle="1" w:styleId="FirstParagraph" w:type="paragraph">
    <w:name w:val="First Paragraph"/>
    <w:basedOn w:val="BodyText"/>
    <w:next w:val="BodyText"/>
    <w:qFormat/>
    <w:pPr>
      <w:spacing w:line="480" w:lineRule="auto"/>
    </w:pPr>
    <w:rPr>
      <w:rFonts w:ascii="TeX Gyre Termes" w:hAnsi="TeX Gyre Termes"/>
    </w:rPr>
  </w:style>
  <w:style w:customStyle="1" w:styleId="Compact" w:type="paragraph">
    <w:name w:val="Compact"/>
    <w:basedOn w:val="BodyText"/>
    <w:qFormat/>
    <w:pPr>
      <w:spacing w:after="36" w:before="36"/>
    </w:pPr>
    <w:rPr/>
  </w:style>
  <w:style w:styleId="Title" w:type="paragraph">
    <w:name w:val="Title"/>
    <w:basedOn w:val="Normal"/>
    <w:next w:val="BodyText"/>
    <w:qFormat/>
    <w:pPr>
      <w:keepNext w:val="true"/>
      <w:keepLines/>
      <w:spacing w:after="240" w:before="480"/>
      <w:jc w:val="left"/>
    </w:pPr>
    <w:rPr>
      <w:rFonts w:ascii="TeX Gyre Termes" w:cs="" w:cstheme="majorBidi" w:eastAsia="" w:eastAsiaTheme="majorEastAsia" w:hAnsi="TeX Gyre Termes"/>
      <w:b/>
      <w:bCs/>
      <w:color w:val="000000"/>
      <w:sz w:val="36"/>
      <w:szCs w:val="36"/>
    </w:rPr>
  </w:style>
  <w:style w:styleId="Subtitle" w:type="paragraph">
    <w:name w:val="Subtitle"/>
    <w:basedOn w:val="Title"/>
    <w:next w:val="BodyText"/>
    <w:qFormat/>
    <w:pPr>
      <w:keepNext w:val="true"/>
      <w:keepLines/>
      <w:spacing w:after="240" w:before="240"/>
      <w:jc w:val="left"/>
    </w:pPr>
    <w:rPr>
      <w:sz w:val="30"/>
      <w:szCs w:val="30"/>
    </w:rPr>
  </w:style>
  <w:style w:customStyle="1" w:styleId="Author" w:type="paragraph">
    <w:name w:val="Author"/>
    <w:next w:val="BodyText"/>
    <w:qFormat/>
    <w:pPr>
      <w:keepNext w:val="true"/>
      <w:keepLines/>
      <w:widowControl/>
      <w:suppressAutoHyphens w:val="true"/>
      <w:bidi w:val="0"/>
      <w:spacing w:after="200" w:before="0"/>
      <w:jc w:val="left"/>
    </w:pPr>
    <w:rPr>
      <w:rFonts w:ascii="TeX Gyre Termes" w:cs="" w:cstheme="minorBidi" w:eastAsia="Cambria" w:eastAsiaTheme="minorHAnsi" w:hAnsi="TeX Gyre Termes"/>
      <w:color w:val="auto"/>
      <w:kern w:val="0"/>
      <w:sz w:val="24"/>
      <w:szCs w:val="24"/>
      <w:lang w:bidi="ar-SA" w:eastAsia="en-US" w:val="en-US"/>
    </w:rPr>
  </w:style>
  <w:style w:styleId="Date" w:type="paragraph">
    <w:name w:val="Date"/>
    <w:next w:val="BodyText"/>
    <w:qFormat/>
    <w:pPr>
      <w:keepNext w:val="true"/>
      <w:keepLines/>
      <w:widowControl/>
      <w:suppressAutoHyphens w:val="true"/>
      <w:bidi w:val="0"/>
      <w:spacing w:after="200" w:before="0"/>
      <w:jc w:val="left"/>
    </w:pPr>
    <w:rPr>
      <w:rFonts w:ascii="TeX Gyre Termes" w:cs="" w:cstheme="minorBidi" w:eastAsia="Cambria" w:eastAsiaTheme="minorHAnsi" w:hAnsi="TeX Gyre Termes"/>
      <w:color w:val="auto"/>
      <w:kern w:val="0"/>
      <w:sz w:val="24"/>
      <w:szCs w:val="24"/>
      <w:lang w:bidi="ar-SA" w:eastAsia="en-US" w:val="en-US"/>
    </w:rPr>
  </w:style>
  <w:style w:customStyle="1" w:styleId="Abstract" w:type="paragraph">
    <w:name w:val="Abstract"/>
    <w:basedOn w:val="Normal"/>
    <w:next w:val="BodyText"/>
    <w:qFormat/>
    <w:pPr>
      <w:keepNext w:val="true"/>
      <w:keepLines/>
      <w:spacing w:after="300" w:before="300"/>
    </w:pPr>
    <w:rPr>
      <w:rFonts w:ascii="TeX Gyre Termes" w:hAnsi="TeX Gyre Termes"/>
      <w:sz w:val="20"/>
      <w:szCs w:val="20"/>
    </w:rPr>
  </w:style>
  <w:style w:styleId="Bibliography" w:type="paragraph">
    <w:name w:val="Bibliography"/>
    <w:basedOn w:val="Normal"/>
    <w:qFormat/>
    <w:pPr/>
    <w:rPr>
      <w:rFonts w:ascii="TeX Gyre Termes" w:hAnsi="TeX Gyre Termes"/>
    </w:rPr>
  </w:style>
  <w:style w:styleId="BlockText" w:type="paragraph">
    <w:name w:val="Block Text"/>
    <w:basedOn w:val="BodyText"/>
    <w:next w:val="BodyText"/>
    <w:uiPriority w:val="9"/>
    <w:unhideWhenUsed/>
    <w:qFormat/>
    <w:pPr>
      <w:spacing w:after="100" w:before="100"/>
      <w:ind w:hanging="0" w:left="480" w:right="480"/>
    </w:pPr>
    <w:rPr/>
  </w:style>
  <w:style w:styleId="FootnoteText" w:type="paragraph">
    <w:name w:val="Footnote Text"/>
    <w:basedOn w:val="Normal"/>
    <w:uiPriority w:val="9"/>
    <w:unhideWhenUsed/>
    <w:qFormat/>
    <w:pPr/>
    <w:rPr>
      <w:rFonts w:ascii="TeX Gyre Termes" w:hAnsi="TeX Gyre Termes"/>
    </w:rPr>
  </w:style>
  <w:style w:customStyle="1" w:styleId="DefinitionTerm" w:type="paragraph">
    <w:name w:val="Definition Term"/>
    <w:basedOn w:val="Normal"/>
    <w:next w:val="Definition"/>
    <w:qFormat/>
    <w:pPr>
      <w:keepNext w:val="true"/>
      <w:keepLines/>
      <w:spacing w:after="0" w:before="0"/>
    </w:pPr>
    <w:rPr>
      <w:rFonts w:ascii="TeX Gyre Termes" w:hAnsi="TeX Gyre Termes"/>
      <w:b/>
    </w:rPr>
  </w:style>
  <w:style w:customStyle="1" w:styleId="Definition" w:type="paragraph">
    <w:name w:val="Definition"/>
    <w:basedOn w:val="Normal"/>
    <w:qFormat/>
    <w:pPr/>
    <w:rPr>
      <w:rFonts w:ascii="TeX Gyre Termes" w:hAnsi="TeX Gyre Termes"/>
    </w:rPr>
  </w:style>
  <w:style w:customStyle="1" w:styleId="TableCaption" w:type="paragraph">
    <w:name w:val="Table Caption"/>
    <w:basedOn w:val="Caption"/>
    <w:qFormat/>
    <w:pPr>
      <w:keepNext w:val="true"/>
    </w:pPr>
    <w:rPr/>
  </w:style>
  <w:style w:customStyle="1" w:styleId="ImageCaption" w:type="paragraph">
    <w:name w:val="Image Caption"/>
    <w:basedOn w:val="Caption"/>
    <w:qFormat/>
    <w:pPr/>
    <w:rPr/>
  </w:style>
  <w:style w:customStyle="1" w:styleId="Figure" w:type="paragraph">
    <w:name w:val="Figure"/>
    <w:basedOn w:val="Normal"/>
    <w:qFormat/>
    <w:pPr/>
    <w:rPr>
      <w:rFonts w:ascii="TeX Gyre Termes" w:hAnsi="TeX Gyre Termes"/>
    </w:rPr>
  </w:style>
  <w:style w:customStyle="1" w:styleId="CaptionedFigure" w:type="paragraph">
    <w:name w:val="Captioned Figure"/>
    <w:basedOn w:val="Figure"/>
    <w:qFormat/>
    <w:pPr>
      <w:keepNext w:val="true"/>
    </w:pPr>
    <w:rPr/>
  </w:style>
  <w:style w:styleId="IndexHeading" w:type="paragraph">
    <w:name w:val="Index Heading"/>
    <w:basedOn w:val="Heading"/>
    <w:pPr/>
    <w:rPr/>
  </w:style>
  <w:style w:styleId="TOCHeading" w:type="paragraph">
    <w:name w:val="TOC Heading"/>
    <w:basedOn w:val="Heading1"/>
    <w:next w:val="BodyText"/>
    <w:uiPriority w:val="39"/>
    <w:unhideWhenUsed/>
    <w:qFormat/>
    <w:pPr>
      <w:spacing w:after="0" w:before="240" w:line="259" w:lineRule="auto"/>
      <w:outlineLvl w:val="9"/>
    </w:pPr>
    <w:rPr>
      <w:rFonts w:ascii="Calibri" w:asciiTheme="majorHAnsi" w:cs="" w:cstheme="majorBidi" w:eastAsia="" w:eastAsiaTheme="majorEastAsia" w:hAnsi="Calibri" w:hAnsiTheme="majorHAnsi"/>
      <w:b w:val="false"/>
      <w:bCs w:val="false"/>
      <w:color w:themeColor="accent1" w:themeShade="bf" w:val="365F91"/>
    </w:rPr>
  </w:style>
  <w:style w:styleId="HeaderandFooter" w:type="paragraph">
    <w:name w:val="Header and Footer"/>
    <w:basedOn w:val="Normal"/>
    <w:qFormat/>
    <w:pPr>
      <w:suppressLineNumbers/>
      <w:tabs>
        <w:tab w:pos="720" w:val="clear"/>
        <w:tab w:leader="none" w:pos="4680" w:val="center"/>
        <w:tab w:leader="none" w:pos="9360" w:val="right"/>
      </w:tabs>
    </w:pPr>
    <w:rPr>
      <w:rFonts w:ascii="TeX Gyre Termes" w:hAnsi="TeX Gyre Termes"/>
    </w:rPr>
  </w:style>
  <w:style w:styleId="Footer" w:type="paragraph">
    <w:name w:val="Footer"/>
    <w:basedOn w:val="HeaderandFooter"/>
    <w:pPr>
      <w:suppressLineNumbers/>
    </w:pPr>
    <w:rPr/>
  </w:style>
  <w:style w:styleId="Header" w:type="paragraph">
    <w:name w:val="Header"/>
    <w:basedOn w:val="HeaderandFooter"/>
    <w:pPr>
      <w:suppressLineNumbers/>
    </w:pPr>
    <w:rPr/>
  </w:style>
  <w:style w:styleId="EnvelopeAddress" w:type="paragraph">
    <w:name w:val="Envelope Address"/>
    <w:basedOn w:val="Normal"/>
    <w:pPr>
      <w:suppressLineNumbers/>
      <w:spacing w:after="60" w:before="0"/>
    </w:pPr>
    <w:rPr>
      <w:rFonts w:ascii="TeX Gyre Termes" w:hAnsi="TeX Gyre Termes"/>
    </w:rPr>
  </w:style>
  <w:style w:styleId="BlockQuotation" w:type="paragraph">
    <w:name w:val="Block Quotation"/>
    <w:basedOn w:val="Normal"/>
    <w:qFormat/>
    <w:pPr>
      <w:spacing w:after="283" w:before="0"/>
      <w:ind w:hanging="0" w:left="567" w:right="567"/>
    </w:pPr>
    <w:rPr>
      <w:rFonts w:ascii="TeX Gyre Termes" w:hAnsi="TeX Gyre Termes"/>
    </w:rPr>
  </w:style>
  <w:style w:styleId="Comment" w:type="paragraph">
    <w:name w:val="Comment"/>
    <w:basedOn w:val="Normal"/>
    <w:qFormat/>
    <w:pPr/>
    <w:rPr>
      <w:rFonts w:ascii="TeX Gyre Termes" w:hAnsi="TeX Gyre Termes"/>
      <w:sz w:val="20"/>
      <w:szCs w:val="20"/>
    </w:rPr>
  </w:style>
  <w:style w:styleId="Salutation" w:type="paragraph">
    <w:name w:val="Salutation"/>
    <w:basedOn w:val="Normal"/>
    <w:pPr>
      <w:suppressLineNumbers/>
    </w:pPr>
    <w:rPr>
      <w:rFonts w:ascii="TeX Gyre Termes" w:hAnsi="TeX Gyre Termes"/>
    </w:rPr>
  </w:style>
  <w:style w:styleId="EndnoteText" w:type="paragraph">
    <w:name w:val="Endnote Text"/>
    <w:basedOn w:val="Normal"/>
    <w:pPr>
      <w:suppressLineNumbers/>
      <w:ind w:hanging="340" w:left="340"/>
    </w:pPr>
    <w:rPr>
      <w:rFonts w:ascii="TeX Gyre Termes" w:hAnsi="TeX Gyre Termes"/>
      <w:sz w:val="20"/>
      <w:szCs w:val="20"/>
    </w:rPr>
  </w:style>
  <w:style w:styleId="FrameContents" w:type="paragraph">
    <w:name w:val="Frame Contents"/>
    <w:basedOn w:val="Normal"/>
    <w:qFormat/>
    <w:pPr/>
    <w:rPr>
      <w:rFonts w:ascii="TeX Gyre Termes" w:hAnsi="TeX Gyre Termes"/>
    </w:rPr>
  </w:style>
  <w:style w:default="1" w:styleId="Table" w:type="table">
    <w:name w:val="Table"/>
    <w:basedOn w:val="TableNormal"/>
    <w:semiHidden/>
    <w:unhideWhenUsed/>
    <w:qFormat/>
    <w:tblPr>
      <w:tblCellMar>
        <w:top w:type="dxa" w:w="0"/>
        <w:left w:type="dxa" w:w="108"/>
        <w:bottom w:type="dxa" w:w="0"/>
        <w:right w:type="dxa" w:w="108"/>
      </w:tblCellMar>
    </w:tblPr>
    <w:tblStylePr w:type="firstRow">
      <w:tblPr/>
      <w:tcPr>
        <w:tcBorders>
          <w:bottom w:val="single"/>
        </w:tcBorders>
        <w:vAlign w:val="bottom"/>
      </w:tcPr>
    </w:tblStyle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8" Target="media/rId238.png" /><Relationship Type="http://schemas.openxmlformats.org/officeDocument/2006/relationships/image" Id="rId243" Target="media/rId243.png" /><Relationship Type="http://schemas.openxmlformats.org/officeDocument/2006/relationships/image" Id="rId248" Target="media/rId248.png" /><Relationship Type="http://schemas.openxmlformats.org/officeDocument/2006/relationships/image" Id="rId253" Target="media/rId253.png" /><Relationship Type="http://schemas.openxmlformats.org/officeDocument/2006/relationships/image" Id="rId258" Target="media/rId258.png" /><Relationship Type="http://schemas.openxmlformats.org/officeDocument/2006/relationships/image" Id="rId263" Target="media/rId263.png" /><Relationship Type="http://schemas.openxmlformats.org/officeDocument/2006/relationships/image" Id="rId268" Target="media/rId268.png" /><Relationship Type="http://schemas.openxmlformats.org/officeDocument/2006/relationships/image" Id="rId276" Target="media/rId276.png" /><Relationship Type="http://schemas.openxmlformats.org/officeDocument/2006/relationships/image" Id="rId280" Target="media/rId280.png" /><Relationship Type="http://schemas.openxmlformats.org/officeDocument/2006/relationships/image" Id="rId284" Target="media/rId284.png" /><Relationship Type="http://schemas.openxmlformats.org/officeDocument/2006/relationships/image" Id="rId288" Target="media/rId288.png" /><Relationship Type="http://schemas.openxmlformats.org/officeDocument/2006/relationships/image" Id="rId292" Target="media/rId292.png" /><Relationship Type="http://schemas.openxmlformats.org/officeDocument/2006/relationships/image" Id="rId296" Target="media/rId296.png" /><Relationship Type="http://schemas.openxmlformats.org/officeDocument/2006/relationships/image" Id="rId300" Target="media/rId300.png" /><Relationship Type="http://schemas.openxmlformats.org/officeDocument/2006/relationships/image" Id="rId304" Target="media/rId304.png" /><Relationship Type="http://schemas.openxmlformats.org/officeDocument/2006/relationships/image" Id="rId308" Target="media/rId308.png" /><Relationship Type="http://schemas.openxmlformats.org/officeDocument/2006/relationships/hyperlink" Id="rId58" Target="https://CRAN.R-project.org/package=MuMIn" TargetMode="External" /><Relationship Type="http://schemas.openxmlformats.org/officeDocument/2006/relationships/hyperlink" Id="rId209" Target="https://calscape.org/Mimulus-guttatus-(Seep-Monkey-Flower)" TargetMode="External" /><Relationship Type="http://schemas.openxmlformats.org/officeDocument/2006/relationships/hyperlink" Id="rId49" Target="https://doi.org/10.1002/9781118445112.stat07841" TargetMode="External" /><Relationship Type="http://schemas.openxmlformats.org/officeDocument/2006/relationships/hyperlink" Id="rId122" Target="https://doi.org/10.1002/ecy.2740" TargetMode="External" /><Relationship Type="http://schemas.openxmlformats.org/officeDocument/2006/relationships/hyperlink" Id="rId70" Target="https://doi.org/10.1002/yea.3314" TargetMode="External" /><Relationship Type="http://schemas.openxmlformats.org/officeDocument/2006/relationships/hyperlink" Id="rId45" Target="https://doi.org/10.1007/0-306-46855-7_19" TargetMode="External" /><Relationship Type="http://schemas.openxmlformats.org/officeDocument/2006/relationships/hyperlink" Id="rId225" Target="https://doi.org/10.1007/978-1-4615-6956-5_7" TargetMode="External" /><Relationship Type="http://schemas.openxmlformats.org/officeDocument/2006/relationships/hyperlink" Id="rId221" Target="https://doi.org/10.1007/978-3-319-93594-2_1" TargetMode="External" /><Relationship Type="http://schemas.openxmlformats.org/officeDocument/2006/relationships/hyperlink" Id="rId161" Target="https://doi.org/10.1007/978-3-319-93594-2_5" TargetMode="External" /><Relationship Type="http://schemas.openxmlformats.org/officeDocument/2006/relationships/hyperlink" Id="rId171" Target="https://doi.org/10.1007/b98882" TargetMode="External" /><Relationship Type="http://schemas.openxmlformats.org/officeDocument/2006/relationships/hyperlink" Id="rId60" Target="https://doi.org/10.1007/s00248-011-9975-8" TargetMode="External" /><Relationship Type="http://schemas.openxmlformats.org/officeDocument/2006/relationships/hyperlink" Id="rId231" Target="https://doi.org/10.1007/s00572-005-0033-6" TargetMode="External" /><Relationship Type="http://schemas.openxmlformats.org/officeDocument/2006/relationships/hyperlink" Id="rId207" Target="https://doi.org/10.1007/s13199-019-00635-1" TargetMode="External" /><Relationship Type="http://schemas.openxmlformats.org/officeDocument/2006/relationships/hyperlink" Id="rId156" Target="https://doi.org/10.1016/S0723-2020(99)80032-0" TargetMode="External" /><Relationship Type="http://schemas.openxmlformats.org/officeDocument/2006/relationships/hyperlink" Id="rId116" Target="https://doi.org/10.1016/j.actao.2020.103525" TargetMode="External" /><Relationship Type="http://schemas.openxmlformats.org/officeDocument/2006/relationships/hyperlink" Id="rId144" Target="https://doi.org/10.1016/j.biocontrol.2020.104246" TargetMode="External" /><Relationship Type="http://schemas.openxmlformats.org/officeDocument/2006/relationships/hyperlink" Id="rId111" Target="https://doi.org/10.1016/j.funeco.2013.12.005" TargetMode="External" /><Relationship Type="http://schemas.openxmlformats.org/officeDocument/2006/relationships/hyperlink" Id="rId82" Target="https://doi.org/10.1016/j.pbi.2015.06.003" TargetMode="External" /><Relationship Type="http://schemas.openxmlformats.org/officeDocument/2006/relationships/hyperlink" Id="rId136" Target="https://doi.org/10.1016/j.ppees.2024.125795" TargetMode="External" /><Relationship Type="http://schemas.openxmlformats.org/officeDocument/2006/relationships/hyperlink" Id="rId142" Target="https://doi.org/10.1016/j.scitotenv.2018.06.077" TargetMode="External" /><Relationship Type="http://schemas.openxmlformats.org/officeDocument/2006/relationships/hyperlink" Id="rId109" Target="https://doi.org/10.1016/j.tig.2017.04.002" TargetMode="External" /><Relationship Type="http://schemas.openxmlformats.org/officeDocument/2006/relationships/hyperlink" Id="rId99" Target="https://doi.org/10.1016/j.tree.2015.05.007" TargetMode="External" /><Relationship Type="http://schemas.openxmlformats.org/officeDocument/2006/relationships/hyperlink" Id="rId114" Target="https://doi.org/10.1038/ncomms6320" TargetMode="External" /><Relationship Type="http://schemas.openxmlformats.org/officeDocument/2006/relationships/hyperlink" Id="rId199" Target="https://doi.org/10.1038/nmeth.2089" TargetMode="External" /><Relationship Type="http://schemas.openxmlformats.org/officeDocument/2006/relationships/hyperlink" Id="rId72" Target="https://doi.org/10.1038/nmeth.3869" TargetMode="External" /><Relationship Type="http://schemas.openxmlformats.org/officeDocument/2006/relationships/hyperlink" Id="rId169" Target="https://doi.org/10.1038/nrmicro.2016.59" TargetMode="External" /><Relationship Type="http://schemas.openxmlformats.org/officeDocument/2006/relationships/hyperlink" Id="rId64" Target="https://doi.org/10.1038/s41396-021-01006-9" TargetMode="External" /><Relationship Type="http://schemas.openxmlformats.org/officeDocument/2006/relationships/hyperlink" Id="rId118" Target="https://doi.org/10.1038/s41564-024-01773-z" TargetMode="External" /><Relationship Type="http://schemas.openxmlformats.org/officeDocument/2006/relationships/hyperlink" Id="rId74" Target="https://doi.org/10.1038/s41598-021-01636-1" TargetMode="External" /><Relationship Type="http://schemas.openxmlformats.org/officeDocument/2006/relationships/hyperlink" Id="rId163" Target="https://doi.org/10.1038/s42003-021-01826-7" TargetMode="External" /><Relationship Type="http://schemas.openxmlformats.org/officeDocument/2006/relationships/hyperlink" Id="rId124" Target="https://doi.org/10.1038/s43705-022-00107-6" TargetMode="External" /><Relationship Type="http://schemas.openxmlformats.org/officeDocument/2006/relationships/hyperlink" Id="rId234" Target="https://doi.org/10.1038/sj.hdy.6801018" TargetMode="External" /><Relationship Type="http://schemas.openxmlformats.org/officeDocument/2006/relationships/hyperlink" Id="rId158" Target="https://doi.org/10.1071/FP11057" TargetMode="External" /><Relationship Type="http://schemas.openxmlformats.org/officeDocument/2006/relationships/hyperlink" Id="rId193" Target="https://doi.org/10.1073/pnas.1706324114" TargetMode="External" /><Relationship Type="http://schemas.openxmlformats.org/officeDocument/2006/relationships/hyperlink" Id="rId56" Target="https://doi.org/10.1073/pnas.2533483100" TargetMode="External" /><Relationship Type="http://schemas.openxmlformats.org/officeDocument/2006/relationships/hyperlink" Id="rId179" Target="https://doi.org/10.1073/pnas.91.25.11841" TargetMode="External" /><Relationship Type="http://schemas.openxmlformats.org/officeDocument/2006/relationships/hyperlink" Id="rId211" Target="https://doi.org/10.1073/pnas.92.7.2647" TargetMode="External" /><Relationship Type="http://schemas.openxmlformats.org/officeDocument/2006/relationships/hyperlink" Id="rId227" Target="https://doi.org/10.1080/23766808.2019.1659022" TargetMode="External" /><Relationship Type="http://schemas.openxmlformats.org/officeDocument/2006/relationships/hyperlink" Id="rId152" Target="https://doi.org/10.1086/730540" TargetMode="External" /><Relationship Type="http://schemas.openxmlformats.org/officeDocument/2006/relationships/hyperlink" Id="rId93" Target="https://doi.org/10.1093/aob/mcv080" TargetMode="External" /><Relationship Type="http://schemas.openxmlformats.org/officeDocument/2006/relationships/hyperlink" Id="rId86" Target="https://doi.org/10.1093/bioinformatics/btv401" TargetMode="External" /><Relationship Type="http://schemas.openxmlformats.org/officeDocument/2006/relationships/hyperlink" Id="rId88" Target="https://doi.org/10.1093/bioinformatics/btw354" TargetMode="External" /><Relationship Type="http://schemas.openxmlformats.org/officeDocument/2006/relationships/hyperlink" Id="rId146" Target="https://doi.org/10.1093/femsec/fiab161" TargetMode="External" /><Relationship Type="http://schemas.openxmlformats.org/officeDocument/2006/relationships/hyperlink" Id="rId47" Target="https://doi.org/10.1094/PBIOMES-01-22-0006-FI" TargetMode="External" /><Relationship Type="http://schemas.openxmlformats.org/officeDocument/2006/relationships/hyperlink" Id="rId217" Target="https://doi.org/10.1098/rspb.2022.2279" TargetMode="External" /><Relationship Type="http://schemas.openxmlformats.org/officeDocument/2006/relationships/hyperlink" Id="rId95" Target="https://doi.org/10.1098/rstb.2014.0001" TargetMode="External" /><Relationship Type="http://schemas.openxmlformats.org/officeDocument/2006/relationships/hyperlink" Id="rId84" Target="https://doi.org/10.1101/2024.06.26.600870" TargetMode="External" /><Relationship Type="http://schemas.openxmlformats.org/officeDocument/2006/relationships/hyperlink" Id="rId181" Target="https://doi.org/10.1101/gr.128124.111" TargetMode="External" /><Relationship Type="http://schemas.openxmlformats.org/officeDocument/2006/relationships/hyperlink" Id="rId54" Target="https://doi.org/10.1111/1365-2435.14717" TargetMode="External" /><Relationship Type="http://schemas.openxmlformats.org/officeDocument/2006/relationships/hyperlink" Id="rId189" Target="https://doi.org/10.1111/ecog.02809" TargetMode="External" /><Relationship Type="http://schemas.openxmlformats.org/officeDocument/2006/relationships/hyperlink" Id="rId97" Target="https://doi.org/10.1111/evo.13476" TargetMode="External" /><Relationship Type="http://schemas.openxmlformats.org/officeDocument/2006/relationships/hyperlink" Id="rId215" Target="https://doi.org/10.1111/j.0014-3820.2003.tb01494.x" TargetMode="External" /><Relationship Type="http://schemas.openxmlformats.org/officeDocument/2006/relationships/hyperlink" Id="rId101" Target="https://doi.org/10.1111/j.1365-294X.1993.tb00005.x" TargetMode="External" /><Relationship Type="http://schemas.openxmlformats.org/officeDocument/2006/relationships/hyperlink" Id="rId201" Target="https://doi.org/10.1111/j.1469-8137.1993.tb03898.x" TargetMode="External" /><Relationship Type="http://schemas.openxmlformats.org/officeDocument/2006/relationships/hyperlink" Id="rId76" Target="https://doi.org/10.1111/j.1469-8137.2012.04284.x" TargetMode="External" /><Relationship Type="http://schemas.openxmlformats.org/officeDocument/2006/relationships/hyperlink" Id="rId195" Target="https://doi.org/10.1111/j.1752-4571.2010.00141.x" TargetMode="External" /><Relationship Type="http://schemas.openxmlformats.org/officeDocument/2006/relationships/hyperlink" Id="rId132" Target="https://doi.org/10.1111/j.2041-210X.2010.00078.x" TargetMode="External" /><Relationship Type="http://schemas.openxmlformats.org/officeDocument/2006/relationships/hyperlink" Id="rId62" Target="https://doi.org/10.1111/j.2517-6161.1995.tb02031.x" TargetMode="External" /><Relationship Type="http://schemas.openxmlformats.org/officeDocument/2006/relationships/hyperlink" Id="rId205" Target="https://doi.org/10.1111/mec.13528" TargetMode="External" /><Relationship Type="http://schemas.openxmlformats.org/officeDocument/2006/relationships/hyperlink" Id="rId90" Target="https://doi.org/10.1111/mec.13869" TargetMode="External" /><Relationship Type="http://schemas.openxmlformats.org/officeDocument/2006/relationships/hyperlink" Id="rId177" Target="https://doi.org/10.1111/mec.15280" TargetMode="External" /><Relationship Type="http://schemas.openxmlformats.org/officeDocument/2006/relationships/hyperlink" Id="rId103" Target="https://doi.org/10.1111/nph.15504" TargetMode="External" /><Relationship Type="http://schemas.openxmlformats.org/officeDocument/2006/relationships/hyperlink" Id="rId138" Target="https://doi.org/10.1111/nph.71365" TargetMode="External" /><Relationship Type="http://schemas.openxmlformats.org/officeDocument/2006/relationships/hyperlink" Id="rId126" Target="https://doi.org/10.1126/science.1208584" TargetMode="External" /><Relationship Type="http://schemas.openxmlformats.org/officeDocument/2006/relationships/hyperlink" Id="rId197" Target="https://doi.org/10.1128/msphere.00354-23" TargetMode="External" /><Relationship Type="http://schemas.openxmlformats.org/officeDocument/2006/relationships/hyperlink" Id="rId107" Target="https://doi.org/10.1155/S1110724304406147" TargetMode="External" /><Relationship Type="http://schemas.openxmlformats.org/officeDocument/2006/relationships/hyperlink" Id="rId183" Target="https://doi.org/10.1186/1471-2105-13-283" TargetMode="External" /><Relationship Type="http://schemas.openxmlformats.org/officeDocument/2006/relationships/hyperlink" Id="rId134" Target="https://doi.org/10.1186/s12864-023-09211-w" TargetMode="External" /><Relationship Type="http://schemas.openxmlformats.org/officeDocument/2006/relationships/hyperlink" Id="rId78" Target="https://doi.org/10.1186/s40168-018-0605-2" TargetMode="External" /><Relationship Type="http://schemas.openxmlformats.org/officeDocument/2006/relationships/hyperlink" Id="rId66" Target="https://doi.org/10.1371/journal.pgen.1004410" TargetMode="External" /><Relationship Type="http://schemas.openxmlformats.org/officeDocument/2006/relationships/hyperlink" Id="rId154" Target="https://doi.org/10.1371/journal.pone.0061217" TargetMode="External" /><Relationship Type="http://schemas.openxmlformats.org/officeDocument/2006/relationships/hyperlink" Id="rId148" Target="https://doi.org/10.14806/ej.17.1.200" TargetMode="External" /><Relationship Type="http://schemas.openxmlformats.org/officeDocument/2006/relationships/hyperlink" Id="rId43" Target="https://doi.org/10.15156/BIO/2938068" TargetMode="External" /><Relationship Type="http://schemas.openxmlformats.org/officeDocument/2006/relationships/hyperlink" Id="rId129" Target="https://doi.org/10.1890/0012-9615(1999)069[0001:DBRATM]2.0.CO;2" TargetMode="External" /><Relationship Type="http://schemas.openxmlformats.org/officeDocument/2006/relationships/hyperlink" Id="rId150" Target="https://doi.org/10.1890/0012-9658(2001)082[0290:FMMTCD]2.0.CO;2" TargetMode="External" /><Relationship Type="http://schemas.openxmlformats.org/officeDocument/2006/relationships/hyperlink" Id="rId68" Target="https://doi.org/10.1890/07-2080.1" TargetMode="External" /><Relationship Type="http://schemas.openxmlformats.org/officeDocument/2006/relationships/hyperlink" Id="rId203" Target="https://doi.org/10.3120/0024-9637-60.3.236" TargetMode="External" /><Relationship Type="http://schemas.openxmlformats.org/officeDocument/2006/relationships/hyperlink" Id="rId185" Target="https://doi.org/10.3389/fcimb.2023.1067475" TargetMode="External" /><Relationship Type="http://schemas.openxmlformats.org/officeDocument/2006/relationships/hyperlink" Id="rId213" Target="https://doi.org/10.3389/fmicb.2016.01399" TargetMode="External" /><Relationship Type="http://schemas.openxmlformats.org/officeDocument/2006/relationships/hyperlink" Id="rId187" Target="https://doi.org/10.3389/fpls.2022.883897" TargetMode="External" /><Relationship Type="http://schemas.openxmlformats.org/officeDocument/2006/relationships/hyperlink" Id="rId80" Target="https://doi.org/10.3390/microorganisms7100445" TargetMode="External" /><Relationship Type="http://schemas.openxmlformats.org/officeDocument/2006/relationships/hyperlink" Id="rId229" Target="https://doi.org/10.3390/plants10050905" TargetMode="External" /><Relationship Type="http://schemas.openxmlformats.org/officeDocument/2006/relationships/hyperlink" Id="rId105" Target="https://doi.org/10.3732/ajb.1200568" TargetMode="External" /><Relationship Type="http://schemas.openxmlformats.org/officeDocument/2006/relationships/hyperlink" Id="rId140" Target="https://doi.org/10.64898/2026.01.14.699501" TargetMode="External" /><Relationship Type="http://schemas.openxmlformats.org/officeDocument/2006/relationships/hyperlink" Id="rId223" Target="https://doi.org/dx.doi.org/10.17504/protocols.io.fscbnaw" TargetMode="External" /><Relationship Type="http://schemas.openxmlformats.org/officeDocument/2006/relationships/hyperlink" Id="rId219" Target="https://doi.org/lutzoni" TargetMode="External" /><Relationship Type="http://schemas.openxmlformats.org/officeDocument/2006/relationships/hyperlink" Id="rId52" Target="https://dx.doi.org/10.17504/protocols.io.bp2l6xn8rlqe/v2" TargetMode="External" /><Relationship Type="http://schemas.openxmlformats.org/officeDocument/2006/relationships/hyperlink" Id="rId39" Target="https://github.com/jibarozzo/endophyte_-leaf-traits_mimulus.git" TargetMode="External" /><Relationship Type="http://schemas.openxmlformats.org/officeDocument/2006/relationships/hyperlink" Id="rId165" Target="https://github.com/vegandevs/vegan" TargetMode="External" /><Relationship Type="http://schemas.openxmlformats.org/officeDocument/2006/relationships/hyperlink" Id="rId120" Target="https://rpkgs.datanovia.com/ggpubr/" TargetMode="External" /><Relationship Type="http://schemas.openxmlformats.org/officeDocument/2006/relationships/hyperlink" Id="rId173" Target="https://svn.r-project.org/R-packages/trunk/nlme/" TargetMode="External" /><Relationship Type="http://schemas.openxmlformats.org/officeDocument/2006/relationships/hyperlink" Id="rId175" Target="https://www.R-project.org/" TargetMode="External" /><Relationship Type="http://schemas.openxmlformats.org/officeDocument/2006/relationships/hyperlink" Id="rId167" Target="https://www.optisci.com/acm-200.html" TargetMode="External" /><Relationship Type="http://schemas.openxmlformats.org/officeDocument/2006/relationships/hyperlink" Id="rId191" Target="https://www.proquest.com/dissertations-theses/plant-microbiome-structure-across-species-range/docview/2847621649/se-2?accountid=35115" TargetMode="External" /><Relationship Type="http://schemas.openxmlformats.org/officeDocument/2006/relationships/hyperlink" Id="rId9" Target="mailto:bolivar@jhmi.edu" TargetMode="External" /></Relationships>
</file>

<file path=word/_rels/footnotes.xml.rels><?xml version="1.0" encoding="UTF-8"?><Relationships xmlns="http://schemas.openxmlformats.org/package/2006/relationships"><Relationship Type="http://schemas.openxmlformats.org/officeDocument/2006/relationships/hyperlink" Id="rId58" Target="https://CRAN.R-project.org/package=MuMIn" TargetMode="External" /><Relationship Type="http://schemas.openxmlformats.org/officeDocument/2006/relationships/hyperlink" Id="rId209" Target="https://calscape.org/Mimulus-guttatus-(Seep-Monkey-Flower)" TargetMode="External" /><Relationship Type="http://schemas.openxmlformats.org/officeDocument/2006/relationships/hyperlink" Id="rId49" Target="https://doi.org/10.1002/9781118445112.stat07841" TargetMode="External" /><Relationship Type="http://schemas.openxmlformats.org/officeDocument/2006/relationships/hyperlink" Id="rId122" Target="https://doi.org/10.1002/ecy.2740" TargetMode="External" /><Relationship Type="http://schemas.openxmlformats.org/officeDocument/2006/relationships/hyperlink" Id="rId70" Target="https://doi.org/10.1002/yea.3314" TargetMode="External" /><Relationship Type="http://schemas.openxmlformats.org/officeDocument/2006/relationships/hyperlink" Id="rId45" Target="https://doi.org/10.1007/0-306-46855-7_19" TargetMode="External" /><Relationship Type="http://schemas.openxmlformats.org/officeDocument/2006/relationships/hyperlink" Id="rId225" Target="https://doi.org/10.1007/978-1-4615-6956-5_7" TargetMode="External" /><Relationship Type="http://schemas.openxmlformats.org/officeDocument/2006/relationships/hyperlink" Id="rId221" Target="https://doi.org/10.1007/978-3-319-93594-2_1" TargetMode="External" /><Relationship Type="http://schemas.openxmlformats.org/officeDocument/2006/relationships/hyperlink" Id="rId161" Target="https://doi.org/10.1007/978-3-319-93594-2_5" TargetMode="External" /><Relationship Type="http://schemas.openxmlformats.org/officeDocument/2006/relationships/hyperlink" Id="rId171" Target="https://doi.org/10.1007/b98882" TargetMode="External" /><Relationship Type="http://schemas.openxmlformats.org/officeDocument/2006/relationships/hyperlink" Id="rId60" Target="https://doi.org/10.1007/s00248-011-9975-8" TargetMode="External" /><Relationship Type="http://schemas.openxmlformats.org/officeDocument/2006/relationships/hyperlink" Id="rId231" Target="https://doi.org/10.1007/s00572-005-0033-6" TargetMode="External" /><Relationship Type="http://schemas.openxmlformats.org/officeDocument/2006/relationships/hyperlink" Id="rId207" Target="https://doi.org/10.1007/s13199-019-00635-1" TargetMode="External" /><Relationship Type="http://schemas.openxmlformats.org/officeDocument/2006/relationships/hyperlink" Id="rId156" Target="https://doi.org/10.1016/S0723-2020(99)80032-0" TargetMode="External" /><Relationship Type="http://schemas.openxmlformats.org/officeDocument/2006/relationships/hyperlink" Id="rId116" Target="https://doi.org/10.1016/j.actao.2020.103525" TargetMode="External" /><Relationship Type="http://schemas.openxmlformats.org/officeDocument/2006/relationships/hyperlink" Id="rId144" Target="https://doi.org/10.1016/j.biocontrol.2020.104246" TargetMode="External" /><Relationship Type="http://schemas.openxmlformats.org/officeDocument/2006/relationships/hyperlink" Id="rId111" Target="https://doi.org/10.1016/j.funeco.2013.12.005" TargetMode="External" /><Relationship Type="http://schemas.openxmlformats.org/officeDocument/2006/relationships/hyperlink" Id="rId82" Target="https://doi.org/10.1016/j.pbi.2015.06.003" TargetMode="External" /><Relationship Type="http://schemas.openxmlformats.org/officeDocument/2006/relationships/hyperlink" Id="rId136" Target="https://doi.org/10.1016/j.ppees.2024.125795" TargetMode="External" /><Relationship Type="http://schemas.openxmlformats.org/officeDocument/2006/relationships/hyperlink" Id="rId142" Target="https://doi.org/10.1016/j.scitotenv.2018.06.077" TargetMode="External" /><Relationship Type="http://schemas.openxmlformats.org/officeDocument/2006/relationships/hyperlink" Id="rId109" Target="https://doi.org/10.1016/j.tig.2017.04.002" TargetMode="External" /><Relationship Type="http://schemas.openxmlformats.org/officeDocument/2006/relationships/hyperlink" Id="rId99" Target="https://doi.org/10.1016/j.tree.2015.05.007" TargetMode="External" /><Relationship Type="http://schemas.openxmlformats.org/officeDocument/2006/relationships/hyperlink" Id="rId114" Target="https://doi.org/10.1038/ncomms6320" TargetMode="External" /><Relationship Type="http://schemas.openxmlformats.org/officeDocument/2006/relationships/hyperlink" Id="rId199" Target="https://doi.org/10.1038/nmeth.2089" TargetMode="External" /><Relationship Type="http://schemas.openxmlformats.org/officeDocument/2006/relationships/hyperlink" Id="rId72" Target="https://doi.org/10.1038/nmeth.3869" TargetMode="External" /><Relationship Type="http://schemas.openxmlformats.org/officeDocument/2006/relationships/hyperlink" Id="rId169" Target="https://doi.org/10.1038/nrmicro.2016.59" TargetMode="External" /><Relationship Type="http://schemas.openxmlformats.org/officeDocument/2006/relationships/hyperlink" Id="rId64" Target="https://doi.org/10.1038/s41396-021-01006-9" TargetMode="External" /><Relationship Type="http://schemas.openxmlformats.org/officeDocument/2006/relationships/hyperlink" Id="rId118" Target="https://doi.org/10.1038/s41564-024-01773-z" TargetMode="External" /><Relationship Type="http://schemas.openxmlformats.org/officeDocument/2006/relationships/hyperlink" Id="rId74" Target="https://doi.org/10.1038/s41598-021-01636-1" TargetMode="External" /><Relationship Type="http://schemas.openxmlformats.org/officeDocument/2006/relationships/hyperlink" Id="rId163" Target="https://doi.org/10.1038/s42003-021-01826-7" TargetMode="External" /><Relationship Type="http://schemas.openxmlformats.org/officeDocument/2006/relationships/hyperlink" Id="rId124" Target="https://doi.org/10.1038/s43705-022-00107-6" TargetMode="External" /><Relationship Type="http://schemas.openxmlformats.org/officeDocument/2006/relationships/hyperlink" Id="rId234" Target="https://doi.org/10.1038/sj.hdy.6801018" TargetMode="External" /><Relationship Type="http://schemas.openxmlformats.org/officeDocument/2006/relationships/hyperlink" Id="rId158" Target="https://doi.org/10.1071/FP11057" TargetMode="External" /><Relationship Type="http://schemas.openxmlformats.org/officeDocument/2006/relationships/hyperlink" Id="rId193" Target="https://doi.org/10.1073/pnas.1706324114" TargetMode="External" /><Relationship Type="http://schemas.openxmlformats.org/officeDocument/2006/relationships/hyperlink" Id="rId56" Target="https://doi.org/10.1073/pnas.2533483100" TargetMode="External" /><Relationship Type="http://schemas.openxmlformats.org/officeDocument/2006/relationships/hyperlink" Id="rId179" Target="https://doi.org/10.1073/pnas.91.25.11841" TargetMode="External" /><Relationship Type="http://schemas.openxmlformats.org/officeDocument/2006/relationships/hyperlink" Id="rId211" Target="https://doi.org/10.1073/pnas.92.7.2647" TargetMode="External" /><Relationship Type="http://schemas.openxmlformats.org/officeDocument/2006/relationships/hyperlink" Id="rId227" Target="https://doi.org/10.1080/23766808.2019.1659022" TargetMode="External" /><Relationship Type="http://schemas.openxmlformats.org/officeDocument/2006/relationships/hyperlink" Id="rId152" Target="https://doi.org/10.1086/730540" TargetMode="External" /><Relationship Type="http://schemas.openxmlformats.org/officeDocument/2006/relationships/hyperlink" Id="rId93" Target="https://doi.org/10.1093/aob/mcv080" TargetMode="External" /><Relationship Type="http://schemas.openxmlformats.org/officeDocument/2006/relationships/hyperlink" Id="rId86" Target="https://doi.org/10.1093/bioinformatics/btv401" TargetMode="External" /><Relationship Type="http://schemas.openxmlformats.org/officeDocument/2006/relationships/hyperlink" Id="rId88" Target="https://doi.org/10.1093/bioinformatics/btw354" TargetMode="External" /><Relationship Type="http://schemas.openxmlformats.org/officeDocument/2006/relationships/hyperlink" Id="rId146" Target="https://doi.org/10.1093/femsec/fiab161" TargetMode="External" /><Relationship Type="http://schemas.openxmlformats.org/officeDocument/2006/relationships/hyperlink" Id="rId47" Target="https://doi.org/10.1094/PBIOMES-01-22-0006-FI" TargetMode="External" /><Relationship Type="http://schemas.openxmlformats.org/officeDocument/2006/relationships/hyperlink" Id="rId217" Target="https://doi.org/10.1098/rspb.2022.2279" TargetMode="External" /><Relationship Type="http://schemas.openxmlformats.org/officeDocument/2006/relationships/hyperlink" Id="rId95" Target="https://doi.org/10.1098/rstb.2014.0001" TargetMode="External" /><Relationship Type="http://schemas.openxmlformats.org/officeDocument/2006/relationships/hyperlink" Id="rId84" Target="https://doi.org/10.1101/2024.06.26.600870" TargetMode="External" /><Relationship Type="http://schemas.openxmlformats.org/officeDocument/2006/relationships/hyperlink" Id="rId181" Target="https://doi.org/10.1101/gr.128124.111" TargetMode="External" /><Relationship Type="http://schemas.openxmlformats.org/officeDocument/2006/relationships/hyperlink" Id="rId54" Target="https://doi.org/10.1111/1365-2435.14717" TargetMode="External" /><Relationship Type="http://schemas.openxmlformats.org/officeDocument/2006/relationships/hyperlink" Id="rId189" Target="https://doi.org/10.1111/ecog.02809" TargetMode="External" /><Relationship Type="http://schemas.openxmlformats.org/officeDocument/2006/relationships/hyperlink" Id="rId97" Target="https://doi.org/10.1111/evo.13476" TargetMode="External" /><Relationship Type="http://schemas.openxmlformats.org/officeDocument/2006/relationships/hyperlink" Id="rId215" Target="https://doi.org/10.1111/j.0014-3820.2003.tb01494.x" TargetMode="External" /><Relationship Type="http://schemas.openxmlformats.org/officeDocument/2006/relationships/hyperlink" Id="rId101" Target="https://doi.org/10.1111/j.1365-294X.1993.tb00005.x" TargetMode="External" /><Relationship Type="http://schemas.openxmlformats.org/officeDocument/2006/relationships/hyperlink" Id="rId201" Target="https://doi.org/10.1111/j.1469-8137.1993.tb03898.x" TargetMode="External" /><Relationship Type="http://schemas.openxmlformats.org/officeDocument/2006/relationships/hyperlink" Id="rId76" Target="https://doi.org/10.1111/j.1469-8137.2012.04284.x" TargetMode="External" /><Relationship Type="http://schemas.openxmlformats.org/officeDocument/2006/relationships/hyperlink" Id="rId195" Target="https://doi.org/10.1111/j.1752-4571.2010.00141.x" TargetMode="External" /><Relationship Type="http://schemas.openxmlformats.org/officeDocument/2006/relationships/hyperlink" Id="rId132" Target="https://doi.org/10.1111/j.2041-210X.2010.00078.x" TargetMode="External" /><Relationship Type="http://schemas.openxmlformats.org/officeDocument/2006/relationships/hyperlink" Id="rId62" Target="https://doi.org/10.1111/j.2517-6161.1995.tb02031.x" TargetMode="External" /><Relationship Type="http://schemas.openxmlformats.org/officeDocument/2006/relationships/hyperlink" Id="rId205" Target="https://doi.org/10.1111/mec.13528" TargetMode="External" /><Relationship Type="http://schemas.openxmlformats.org/officeDocument/2006/relationships/hyperlink" Id="rId90" Target="https://doi.org/10.1111/mec.13869" TargetMode="External" /><Relationship Type="http://schemas.openxmlformats.org/officeDocument/2006/relationships/hyperlink" Id="rId177" Target="https://doi.org/10.1111/mec.15280" TargetMode="External" /><Relationship Type="http://schemas.openxmlformats.org/officeDocument/2006/relationships/hyperlink" Id="rId103" Target="https://doi.org/10.1111/nph.15504" TargetMode="External" /><Relationship Type="http://schemas.openxmlformats.org/officeDocument/2006/relationships/hyperlink" Id="rId138" Target="https://doi.org/10.1111/nph.71365" TargetMode="External" /><Relationship Type="http://schemas.openxmlformats.org/officeDocument/2006/relationships/hyperlink" Id="rId126" Target="https://doi.org/10.1126/science.1208584" TargetMode="External" /><Relationship Type="http://schemas.openxmlformats.org/officeDocument/2006/relationships/hyperlink" Id="rId197" Target="https://doi.org/10.1128/msphere.00354-23" TargetMode="External" /><Relationship Type="http://schemas.openxmlformats.org/officeDocument/2006/relationships/hyperlink" Id="rId107" Target="https://doi.org/10.1155/S1110724304406147" TargetMode="External" /><Relationship Type="http://schemas.openxmlformats.org/officeDocument/2006/relationships/hyperlink" Id="rId183" Target="https://doi.org/10.1186/1471-2105-13-283" TargetMode="External" /><Relationship Type="http://schemas.openxmlformats.org/officeDocument/2006/relationships/hyperlink" Id="rId134" Target="https://doi.org/10.1186/s12864-023-09211-w" TargetMode="External" /><Relationship Type="http://schemas.openxmlformats.org/officeDocument/2006/relationships/hyperlink" Id="rId78" Target="https://doi.org/10.1186/s40168-018-0605-2" TargetMode="External" /><Relationship Type="http://schemas.openxmlformats.org/officeDocument/2006/relationships/hyperlink" Id="rId66" Target="https://doi.org/10.1371/journal.pgen.1004410" TargetMode="External" /><Relationship Type="http://schemas.openxmlformats.org/officeDocument/2006/relationships/hyperlink" Id="rId154" Target="https://doi.org/10.1371/journal.pone.0061217" TargetMode="External" /><Relationship Type="http://schemas.openxmlformats.org/officeDocument/2006/relationships/hyperlink" Id="rId148" Target="https://doi.org/10.14806/ej.17.1.200" TargetMode="External" /><Relationship Type="http://schemas.openxmlformats.org/officeDocument/2006/relationships/hyperlink" Id="rId43" Target="https://doi.org/10.15156/BIO/2938068" TargetMode="External" /><Relationship Type="http://schemas.openxmlformats.org/officeDocument/2006/relationships/hyperlink" Id="rId129" Target="https://doi.org/10.1890/0012-9615(1999)069[0001:DBRATM]2.0.CO;2" TargetMode="External" /><Relationship Type="http://schemas.openxmlformats.org/officeDocument/2006/relationships/hyperlink" Id="rId150" Target="https://doi.org/10.1890/0012-9658(2001)082[0290:FMMTCD]2.0.CO;2" TargetMode="External" /><Relationship Type="http://schemas.openxmlformats.org/officeDocument/2006/relationships/hyperlink" Id="rId68" Target="https://doi.org/10.1890/07-2080.1" TargetMode="External" /><Relationship Type="http://schemas.openxmlformats.org/officeDocument/2006/relationships/hyperlink" Id="rId203" Target="https://doi.org/10.3120/0024-9637-60.3.236" TargetMode="External" /><Relationship Type="http://schemas.openxmlformats.org/officeDocument/2006/relationships/hyperlink" Id="rId185" Target="https://doi.org/10.3389/fcimb.2023.1067475" TargetMode="External" /><Relationship Type="http://schemas.openxmlformats.org/officeDocument/2006/relationships/hyperlink" Id="rId213" Target="https://doi.org/10.3389/fmicb.2016.01399" TargetMode="External" /><Relationship Type="http://schemas.openxmlformats.org/officeDocument/2006/relationships/hyperlink" Id="rId187" Target="https://doi.org/10.3389/fpls.2022.883897" TargetMode="External" /><Relationship Type="http://schemas.openxmlformats.org/officeDocument/2006/relationships/hyperlink" Id="rId80" Target="https://doi.org/10.3390/microorganisms7100445" TargetMode="External" /><Relationship Type="http://schemas.openxmlformats.org/officeDocument/2006/relationships/hyperlink" Id="rId229" Target="https://doi.org/10.3390/plants10050905" TargetMode="External" /><Relationship Type="http://schemas.openxmlformats.org/officeDocument/2006/relationships/hyperlink" Id="rId105" Target="https://doi.org/10.3732/ajb.1200568" TargetMode="External" /><Relationship Type="http://schemas.openxmlformats.org/officeDocument/2006/relationships/hyperlink" Id="rId140" Target="https://doi.org/10.64898/2026.01.14.699501" TargetMode="External" /><Relationship Type="http://schemas.openxmlformats.org/officeDocument/2006/relationships/hyperlink" Id="rId223" Target="https://doi.org/dx.doi.org/10.17504/protocols.io.fscbnaw" TargetMode="External" /><Relationship Type="http://schemas.openxmlformats.org/officeDocument/2006/relationships/hyperlink" Id="rId219" Target="https://doi.org/lutzoni" TargetMode="External" /><Relationship Type="http://schemas.openxmlformats.org/officeDocument/2006/relationships/hyperlink" Id="rId52" Target="https://dx.doi.org/10.17504/protocols.io.bp2l6xn8rlqe/v2" TargetMode="External" /><Relationship Type="http://schemas.openxmlformats.org/officeDocument/2006/relationships/hyperlink" Id="rId39" Target="https://github.com/jibarozzo/endophyte_-leaf-traits_mimulus.git" TargetMode="External" /><Relationship Type="http://schemas.openxmlformats.org/officeDocument/2006/relationships/hyperlink" Id="rId165" Target="https://github.com/vegandevs/vegan" TargetMode="External" /><Relationship Type="http://schemas.openxmlformats.org/officeDocument/2006/relationships/hyperlink" Id="rId120" Target="https://rpkgs.datanovia.com/ggpubr/" TargetMode="External" /><Relationship Type="http://schemas.openxmlformats.org/officeDocument/2006/relationships/hyperlink" Id="rId173" Target="https://svn.r-project.org/R-packages/trunk/nlme/" TargetMode="External" /><Relationship Type="http://schemas.openxmlformats.org/officeDocument/2006/relationships/hyperlink" Id="rId175" Target="https://www.R-project.org/" TargetMode="External" /><Relationship Type="http://schemas.openxmlformats.org/officeDocument/2006/relationships/hyperlink" Id="rId167" Target="https://www.optisci.com/acm-200.html" TargetMode="External" /><Relationship Type="http://schemas.openxmlformats.org/officeDocument/2006/relationships/hyperlink" Id="rId191" Target="https://www.proquest.com/dissertations-theses/plant-microbiome-structure-across-species-range/docview/2847621649/se-2?accountid=35115" TargetMode="External" /><Relationship Type="http://schemas.openxmlformats.org/officeDocument/2006/relationships/hyperlink" Id="rId9" Target="mailto:bolivar@jhmi.edu" TargetMode="Externa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102</TotalTime>
  <Application>LibreOffice/24.2.0.3$Linux_X86_64 LibreOffice_project/420$Build-3</Application>
  <AppVersion>15.0000</AppVersion>
  <Pages>2</Pages>
  <Words>53</Words>
  <Characters>281</Characters>
  <CharactersWithSpaces>368</CharactersWithSpaces>
  <Paragraphs>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Foliar fungal symbionts in sympatric yellow monkeyflowers along elevation gradients in the Sierra Nevada</dc:title>
  <dc:creator>Bolívar Aponte Rolón1,✉, Kathleen G. Ferris1, and Sunshine A. Van Bael1</dc:creator>
  <cp:keywords/>
  <dcterms:created xsi:type="dcterms:W3CDTF">2026-08-28T22:40:08Z</dcterms:created>
  <dcterms:modified xsi:type="dcterms:W3CDTF">2026-08-28T22:40:08Z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references.yaml</vt:lpwstr>
  </property>
  <property fmtid="{D5CDD505-2E9C-101B-9397-08002B2CF9AE}" pid="5" name="by-affiliation">
    <vt:lpwstr/>
  </property>
  <property fmtid="{D5CDD505-2E9C-101B-9397-08002B2CF9AE}" pid="6" name="by-author">
    <vt:lpwstr/>
  </property>
  <property fmtid="{D5CDD505-2E9C-101B-9397-08002B2CF9AE}" pid="7" name="citation-package">
    <vt:lpwstr>biblatex</vt:lpwstr>
  </property>
  <property fmtid="{D5CDD505-2E9C-101B-9397-08002B2CF9AE}" pid="8" name="crossref">
    <vt:lpwstr/>
  </property>
  <property fmtid="{D5CDD505-2E9C-101B-9397-08002B2CF9AE}" pid="9" name="csl">
    <vt:lpwstr>molecular-ecology.csl</vt:lpwstr>
  </property>
  <property fmtid="{D5CDD505-2E9C-101B-9397-08002B2CF9AE}" pid="10" name="date">
    <vt:lpwstr>August 28, 2026</vt:lpwstr>
  </property>
  <property fmtid="{D5CDD505-2E9C-101B-9397-08002B2CF9AE}" pid="11" name="date-format">
    <vt:lpwstr>MMMM D, YYYY</vt:lpwstr>
  </property>
  <property fmtid="{D5CDD505-2E9C-101B-9397-08002B2CF9AE}" pid="12" name="editor">
    <vt:lpwstr>source</vt:lpwstr>
  </property>
  <property fmtid="{D5CDD505-2E9C-101B-9397-08002B2CF9AE}" pid="13" name="execute">
    <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labels">
    <vt:lpwstr/>
  </property>
  <property fmtid="{D5CDD505-2E9C-101B-9397-08002B2CF9AE}" pid="18" name="toc-title">
    <vt:lpwstr>Table of contents</vt:lpwstr>
  </property>
</Properties>
</file>