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jpeg" ContentType="image/jpeg"/>
  <Override PartName="/word/media/image5.jpeg" ContentType="image/jpeg"/>
  <Override PartName="/word/media/image3.jpeg" ContentType="image/jpeg"/>
  <Override PartName="/word/media/image6.jpeg" ContentType="image/jpeg"/>
  <Override PartName="/word/media/image7.jpeg" ContentType="image/jpeg"/>
  <Override PartName="/word/media/image1.jpeg" ContentType="image/jpeg"/>
  <Override PartName="/word/media/image4.jpeg" ContentType="image/jpeg"/>
  <Override PartName="/word/media/image8.jpeg" ContentType="image/jpeg"/>
  <Override PartName="/word/media/image9.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numPr>
          <w:ilvl w:val="0"/>
          <w:numId w:val="2"/>
        </w:numPr>
        <w:spacing w:before="480" w:after="240"/>
        <w:ind w:hanging="0" w:left="0"/>
        <w:jc w:val="left"/>
        <w:rPr/>
      </w:pPr>
      <w:r>
        <w:rPr/>
        <w:t>Foliar fungal symbionts in sympatric yellow monkeyflowers along elevation gradients in the Sierra Nevada</w:t>
      </w:r>
    </w:p>
    <w:p>
      <w:pPr>
        <w:pStyle w:val="Author"/>
        <w:numPr>
          <w:ilvl w:val="0"/>
          <w:numId w:val="2"/>
        </w:numPr>
        <w:ind w:hanging="0" w:left="0"/>
        <w:rPr/>
      </w:pPr>
      <w:r>
        <w:rPr/>
        <w:t>Bolívar Aponte Rolón</w:t>
      </w:r>
      <w:r>
        <w:rPr>
          <w:vertAlign w:val="superscript"/>
        </w:rPr>
        <w:t>1,2,✉</w:t>
      </w:r>
      <w:r>
        <w:rPr/>
        <w:t>, Kathleen G. Ferris</w:t>
      </w:r>
      <w:r>
        <w:rPr>
          <w:vertAlign w:val="superscript"/>
        </w:rPr>
        <w:t>2</w:t>
      </w:r>
      <w:r>
        <w:rPr/>
        <w:t>, and Sunshine A. Van Bael</w:t>
      </w:r>
      <w:r>
        <w:rPr>
          <w:vertAlign w:val="superscript"/>
        </w:rPr>
        <w:t>2</w:t>
      </w:r>
    </w:p>
    <w:p>
      <w:pPr>
        <w:pStyle w:val="Date"/>
        <w:numPr>
          <w:ilvl w:val="0"/>
          <w:numId w:val="2"/>
        </w:numPr>
        <w:ind w:hanging="0" w:left="0"/>
        <w:rPr/>
      </w:pPr>
      <w:r>
        <w:rPr/>
        <w:t>January 18, 2026</w:t>
      </w:r>
    </w:p>
    <w:p>
      <w:pPr>
        <w:pStyle w:val="FirstParagraph"/>
        <w:numPr>
          <w:ilvl w:val="0"/>
          <w:numId w:val="2"/>
        </w:numPr>
        <w:ind w:hanging="0" w:left="0"/>
        <w:rPr/>
      </w:pPr>
      <w:r>
        <w:rPr>
          <w:vertAlign w:val="superscript"/>
        </w:rPr>
        <w:t>1</w:t>
      </w:r>
      <w:r>
        <w:rPr/>
        <w:t xml:space="preserve"> Department of Agricultural and Biosystems Engineering, Iowa State University, Ames, IA 50011, USA</w:t>
        <w:br/>
      </w:r>
      <w:r>
        <w:rPr>
          <w:vertAlign w:val="superscript"/>
        </w:rPr>
        <w:t>2</w:t>
      </w:r>
      <w:r>
        <w:rPr/>
        <w:t xml:space="preserve"> Department of Ecology and Evolutionary Biology, Tulane University, 6823 St. Charles Avenue, New Orleans, LA 70118</w:t>
      </w:r>
    </w:p>
    <w:p>
      <w:pPr>
        <w:pStyle w:val="BodyText"/>
        <w:numPr>
          <w:ilvl w:val="0"/>
          <w:numId w:val="2"/>
        </w:numPr>
        <w:bidi w:val="0"/>
        <w:spacing w:before="240" w:after="120"/>
        <w:ind w:hanging="0" w:left="0"/>
        <w:jc w:val="left"/>
        <w:rPr>
          <w:rFonts w:ascii="TeX Gyre Termes" w:hAnsi="TeX Gyre Termes"/>
        </w:rPr>
      </w:pPr>
      <w:r>
        <w:rPr>
          <w:rFonts w:ascii="TeX Gyre Termes" w:hAnsi="TeX Gyre Termes"/>
          <w:vertAlign w:val="superscript"/>
        </w:rPr>
        <w:t>✉</w:t>
      </w:r>
      <w:r>
        <w:rPr>
          <w:rFonts w:ascii="TeX Gyre Termes" w:hAnsi="TeX Gyre Termes"/>
        </w:rPr>
        <w:t xml:space="preserve"> </w:t>
      </w:r>
      <w:r>
        <w:rPr>
          <w:rFonts w:ascii="TeX Gyre Termes" w:hAnsi="TeX Gyre Termes"/>
        </w:rPr>
        <w:t xml:space="preserve">Correspondence: </w:t>
      </w:r>
      <w:hyperlink r:id="rId2">
        <w:r>
          <w:rPr>
            <w:rStyle w:val="Hyperlink"/>
            <w:rFonts w:ascii="TeX Gyre Termes" w:hAnsi="TeX Gyre Termes"/>
          </w:rPr>
          <w:t>Bolívar Aponte Rolón &lt;bolivar@iastate.edu&gt;</w:t>
        </w:r>
      </w:hyperlink>
    </w:p>
    <w:p>
      <w:pPr>
        <w:pStyle w:val="Heading1"/>
        <w:numPr>
          <w:ilvl w:val="0"/>
          <w:numId w:val="2"/>
        </w:numPr>
        <w:bidi w:val="0"/>
        <w:spacing w:before="240" w:after="120"/>
        <w:ind w:hanging="0" w:left="0"/>
        <w:jc w:val="left"/>
        <w:rPr>
          <w:rFonts w:ascii="TeX Gyre Termes" w:hAnsi="TeX Gyre Termes"/>
        </w:rPr>
      </w:pPr>
      <w:r>
        <w:rPr>
          <w:rFonts w:ascii="TeX Gyre Termes" w:hAnsi="TeX Gyre Termes"/>
        </w:rPr>
        <w:t>13. Supplementary Material</w:t>
      </w:r>
    </w:p>
    <w:p>
      <w:pPr>
        <w:pStyle w:val="Heading2"/>
        <w:numPr>
          <w:ilvl w:val="1"/>
          <w:numId w:val="2"/>
        </w:numPr>
        <w:bidi w:val="0"/>
        <w:ind w:hanging="0" w:left="0"/>
        <w:jc w:val="left"/>
        <w:rPr>
          <w:rFonts w:ascii="TeX Gyre Termes" w:hAnsi="TeX Gyre Termes"/>
        </w:rPr>
      </w:pPr>
      <w:bookmarkStart w:id="0" w:name="figure-s1"/>
      <w:bookmarkEnd w:id="0"/>
      <w:r>
        <w:rPr>
          <w:rFonts w:ascii="TeX Gyre Termes" w:hAnsi="TeX Gyre Termes"/>
        </w:rPr>
        <w:t>13.1 Figure S1</w:t>
      </w:r>
    </w:p>
    <w:p>
      <w:pPr>
        <w:pStyle w:val="CaptionedFigure"/>
        <w:bidi w:val="0"/>
        <w:jc w:val="left"/>
        <w:rPr>
          <w:rFonts w:ascii="Cambria" w:hAnsi="Cambria"/>
        </w:rPr>
      </w:pPr>
      <w:r>
        <w:rPr/>
        <w:drawing>
          <wp:inline distT="0" distB="0" distL="0" distR="0">
            <wp:extent cx="5399405" cy="53994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399405" cy="5399405"/>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S1</w:t>
      </w:r>
      <w:r>
        <w:rPr>
          <w:rFonts w:ascii="TeX Gyre Termes" w:hAnsi="TeX Gyre Termes"/>
        </w:rPr>
        <w:t xml:space="preserve">. Correlation matrix of log-transformed leaf functional traits by host species. The plot is based on the Spearman’s rho.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Heading2"/>
        <w:numPr>
          <w:ilvl w:val="1"/>
          <w:numId w:val="2"/>
        </w:numPr>
        <w:bidi w:val="0"/>
        <w:ind w:hanging="0" w:left="0"/>
        <w:jc w:val="left"/>
        <w:rPr>
          <w:rFonts w:ascii="TeX Gyre Termes" w:hAnsi="TeX Gyre Termes"/>
        </w:rPr>
      </w:pPr>
      <w:bookmarkStart w:id="1" w:name="figure-s2"/>
      <w:bookmarkEnd w:id="1"/>
      <w:r>
        <w:rPr>
          <w:rFonts w:ascii="TeX Gyre Termes" w:hAnsi="TeX Gyre Termes"/>
        </w:rPr>
        <w:t>13.2 Figure S2</w:t>
      </w:r>
    </w:p>
    <w:p>
      <w:pPr>
        <w:pStyle w:val="CaptionedFigure"/>
        <w:bidi w:val="0"/>
        <w:jc w:val="left"/>
        <w:rPr>
          <w:rFonts w:ascii="Cambria" w:hAnsi="Cambria"/>
        </w:rPr>
      </w:pPr>
      <w:r>
        <w:rPr/>
        <w:drawing>
          <wp:inline distT="0" distB="0" distL="0" distR="0">
            <wp:extent cx="5399405" cy="534225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399405" cy="5342255"/>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S2</w:t>
      </w:r>
      <w:r>
        <w:rPr>
          <w:rFonts w:ascii="TeX Gyre Termes" w:hAnsi="TeX Gyre Termes"/>
          <w:b w:val="false"/>
          <w:bCs w:val="false"/>
        </w:rPr>
        <w:t>.</w:t>
      </w:r>
      <w:r>
        <w:rPr>
          <w:rFonts w:ascii="TeX Gyre Termes" w:hAnsi="TeX Gyre Termes"/>
        </w:rPr>
        <w:t xml:space="preserve"> Heatmap of the top 10 most abundant FEF genera in the dataset. The heatmap is faceted by host species and elevation zone.</w:t>
      </w:r>
    </w:p>
    <w:p>
      <w:pPr>
        <w:pStyle w:val="Heading2"/>
        <w:numPr>
          <w:ilvl w:val="1"/>
          <w:numId w:val="2"/>
        </w:numPr>
        <w:bidi w:val="0"/>
        <w:ind w:hanging="0" w:left="0"/>
        <w:jc w:val="left"/>
        <w:rPr>
          <w:rFonts w:ascii="TeX Gyre Termes" w:hAnsi="TeX Gyre Termes"/>
        </w:rPr>
      </w:pPr>
      <w:bookmarkStart w:id="2" w:name="figure-s3"/>
      <w:bookmarkEnd w:id="2"/>
      <w:r>
        <w:rPr>
          <w:rFonts w:ascii="TeX Gyre Termes" w:hAnsi="TeX Gyre Termes"/>
        </w:rPr>
        <w:t>13.3 Figure S3</w:t>
      </w:r>
    </w:p>
    <w:p>
      <w:pPr>
        <w:pStyle w:val="CaptionedFigure"/>
        <w:bidi w:val="0"/>
        <w:jc w:val="left"/>
        <w:rPr>
          <w:rFonts w:ascii="Cambria" w:hAnsi="Cambria"/>
        </w:rPr>
      </w:pPr>
      <w:r>
        <w:rPr/>
        <w:drawing>
          <wp:inline distT="0" distB="0" distL="0" distR="0">
            <wp:extent cx="5342255" cy="53149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342255" cy="5314950"/>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S3</w:t>
      </w:r>
      <w:r>
        <w:rPr>
          <w:rFonts w:ascii="TeX Gyre Termes" w:hAnsi="TeX Gyre Termes"/>
        </w:rPr>
        <w:t>. Venn diagrams of presence and absence of ASVs among species and elevation zones un-rarified data and rarified data. A) Represents the overlap of ASVs in in host species and B) per elevation zone. Number of ASVs are represented the count and in parentheses as a ratio shared between host species and elevation zone</w:t>
      </w:r>
    </w:p>
    <w:p>
      <w:pPr>
        <w:pStyle w:val="Heading2"/>
        <w:numPr>
          <w:ilvl w:val="1"/>
          <w:numId w:val="2"/>
        </w:numPr>
        <w:bidi w:val="0"/>
        <w:ind w:hanging="0" w:left="0"/>
        <w:jc w:val="left"/>
        <w:rPr>
          <w:rFonts w:ascii="TeX Gyre Termes" w:hAnsi="TeX Gyre Termes"/>
        </w:rPr>
      </w:pPr>
      <w:bookmarkStart w:id="3" w:name="figure-s4"/>
      <w:bookmarkEnd w:id="3"/>
      <w:r>
        <w:rPr>
          <w:rFonts w:ascii="TeX Gyre Termes" w:hAnsi="TeX Gyre Termes"/>
        </w:rPr>
        <w:t>13.4 Figure S4</w:t>
      </w:r>
    </w:p>
    <w:p>
      <w:pPr>
        <w:pStyle w:val="CaptionedFigure"/>
        <w:bidi w:val="0"/>
        <w:jc w:val="left"/>
        <w:rPr>
          <w:rFonts w:ascii="Cambria" w:hAnsi="Cambria"/>
        </w:rPr>
      </w:pPr>
      <w:r>
        <w:rPr/>
        <w:drawing>
          <wp:inline distT="0" distB="0" distL="0" distR="0">
            <wp:extent cx="5399405" cy="525907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399405" cy="5259070"/>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S4</w:t>
      </w:r>
      <w:r>
        <w:rPr>
          <w:rFonts w:ascii="TeX Gyre Termes" w:hAnsi="TeX Gyre Termes"/>
        </w:rPr>
        <w:t xml:space="preserve">. Alpha and beta diversity means comparisons in host species and elevation zones. Alpha diversity means comparisons; A) Observed ASV richness (𝑞 = 0); B) Shannon’s entropy (𝑞 = 1); and C) Inverse Simpson’s index (𝑞 = 2) per host species. A-C) Blue filled boxplots correspond to </w:t>
      </w:r>
      <w:r>
        <w:rPr>
          <w:rFonts w:ascii="TeX Gyre Termes" w:hAnsi="TeX Gyre Termes"/>
          <w:i/>
          <w:iCs/>
        </w:rPr>
        <w:t>M. laciniatus</w:t>
      </w:r>
      <w:r>
        <w:rPr>
          <w:rFonts w:ascii="TeX Gyre Termes" w:hAnsi="TeX Gyre Termes"/>
        </w:rPr>
        <w:t xml:space="preserve">, green filled to </w:t>
      </w:r>
      <w:r>
        <w:rPr>
          <w:rFonts w:ascii="TeX Gyre Termes" w:hAnsi="TeX Gyre Termes"/>
          <w:i/>
          <w:iCs/>
        </w:rPr>
        <w:t>M. nasutus</w:t>
      </w:r>
      <w:r>
        <w:rPr>
          <w:rFonts w:ascii="TeX Gyre Termes" w:hAnsi="TeX Gyre Termes"/>
        </w:rPr>
        <w:t xml:space="preserve">, and yellow to </w:t>
      </w:r>
      <w:r>
        <w:rPr>
          <w:rFonts w:ascii="TeX Gyre Termes" w:hAnsi="TeX Gyre Termes"/>
          <w:i/>
          <w:iCs/>
        </w:rPr>
        <w:t>M. guttatus</w:t>
      </w:r>
      <w:r>
        <w:rPr>
          <w:rFonts w:ascii="TeX Gyre Termes" w:hAnsi="TeX Gyre Termes"/>
        </w:rPr>
        <w:t xml:space="preserve">. Beta diversity mean comparisons; A) Observed ASV richness (𝑞 = 0); B) Shannon’s entropy (𝑞 = 1); and C) Inverse Simpson’s index (𝑞 = 2) per elevation zone. D-F) Violet boxplots correspond to LOW elevation sites, pink filled to MID and light maroon to HIGH elevation sites, while squares represent </w:t>
      </w:r>
      <w:r>
        <w:rPr>
          <w:rFonts w:ascii="TeX Gyre Termes" w:hAnsi="TeX Gyre Termes"/>
          <w:i/>
          <w:iCs/>
        </w:rPr>
        <w:t>M. laciniatus</w:t>
      </w:r>
      <w:r>
        <w:rPr>
          <w:rFonts w:ascii="TeX Gyre Termes" w:hAnsi="TeX Gyre Termes"/>
        </w:rPr>
        <w:t xml:space="preserve">, circles </w:t>
      </w:r>
      <w:r>
        <w:rPr>
          <w:rFonts w:ascii="TeX Gyre Termes" w:hAnsi="TeX Gyre Termes"/>
          <w:i/>
          <w:iCs/>
        </w:rPr>
        <w:t>M. nasutus</w:t>
      </w:r>
      <w:r>
        <w:rPr>
          <w:rFonts w:ascii="TeX Gyre Termes" w:hAnsi="TeX Gyre Termes"/>
        </w:rPr>
        <w:t xml:space="preserve"> and triangles </w:t>
      </w:r>
      <w:r>
        <w:rPr>
          <w:rFonts w:ascii="TeX Gyre Termes" w:hAnsi="TeX Gyre Termes"/>
          <w:i/>
          <w:iCs/>
        </w:rPr>
        <w:t>M. guttatus</w:t>
      </w:r>
      <w:r>
        <w:rPr>
          <w:rFonts w:ascii="TeX Gyre Termes" w:hAnsi="TeX Gyre Termes"/>
        </w:rPr>
        <w:t xml:space="preserve">.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Heading2"/>
        <w:numPr>
          <w:ilvl w:val="1"/>
          <w:numId w:val="2"/>
        </w:numPr>
        <w:bidi w:val="0"/>
        <w:ind w:hanging="0" w:left="0"/>
        <w:jc w:val="left"/>
        <w:rPr>
          <w:rFonts w:ascii="TeX Gyre Termes" w:hAnsi="TeX Gyre Termes"/>
        </w:rPr>
      </w:pPr>
      <w:bookmarkStart w:id="4" w:name="figure-s5"/>
      <w:bookmarkEnd w:id="4"/>
      <w:r>
        <w:rPr>
          <w:rFonts w:ascii="TeX Gyre Termes" w:hAnsi="TeX Gyre Termes"/>
        </w:rPr>
        <w:t>13.5 Figure S5</w:t>
      </w:r>
    </w:p>
    <w:p>
      <w:pPr>
        <w:pStyle w:val="CaptionedFigure"/>
        <w:bidi w:val="0"/>
        <w:jc w:val="left"/>
        <w:rPr>
          <w:rFonts w:ascii="Cambria" w:hAnsi="Cambria"/>
        </w:rPr>
      </w:pPr>
      <w:r>
        <w:rPr/>
        <w:drawing>
          <wp:inline distT="0" distB="0" distL="0" distR="0">
            <wp:extent cx="5342255" cy="534225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5342255" cy="5342255"/>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S5</w:t>
      </w:r>
      <w:r>
        <w:rPr>
          <w:rFonts w:ascii="TeX Gyre Termes" w:hAnsi="TeX Gyre Termes"/>
        </w:rPr>
        <w:t xml:space="preserve">. Comparison of log-transformed leaf mass per area (LMA) by species and elevation zone. A) Compares logLMA means by species and elevation zone: LOW (&lt;1220 m), MID (1221 - 1828 m), HIGH (&gt; 1829 m). B) Change in logLMA per species as elevation increases. The black trend line represents the fitted model for all data points, see main text for </w:t>
      </w:r>
      <w:r>
        <w:rPr>
          <w:rFonts w:ascii="TeX Gyre Termes" w:hAnsi="TeX Gyre Termes"/>
          <w:i/>
          <w:iCs/>
        </w:rPr>
        <w:t>R</w:t>
      </w:r>
      <w:r>
        <w:rPr>
          <w:rFonts w:ascii="TeX Gyre Termes" w:hAnsi="TeX Gyre Termes"/>
          <w:i/>
          <w:iCs/>
          <w:vertAlign w:val="superscript"/>
        </w:rPr>
        <w:t>2</w:t>
      </w:r>
      <w:r>
        <w:rPr>
          <w:rFonts w:ascii="TeX Gyre Termes" w:hAnsi="TeX Gyre Termes"/>
          <w:i/>
          <w:iCs/>
          <w:vertAlign w:val="subscript"/>
        </w:rPr>
        <w:t>adj</w:t>
      </w:r>
      <w:r>
        <w:rPr>
          <w:rFonts w:ascii="TeX Gyre Termes" w:hAnsi="TeX Gyre Termes"/>
        </w:rPr>
        <w:t xml:space="preserve"> and </w:t>
      </w:r>
      <w:r>
        <w:rPr>
          <w:rFonts w:ascii="TeX Gyre Termes" w:hAnsi="TeX Gyre Termes"/>
          <w:i/>
          <w:iCs/>
        </w:rPr>
        <w:t>p</w:t>
      </w:r>
      <w:r>
        <w:rPr>
          <w:rFonts w:ascii="TeX Gyre Termes" w:hAnsi="TeX Gyre Termes"/>
        </w:rPr>
        <w:t xml:space="preserve"> values.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Heading2"/>
        <w:numPr>
          <w:ilvl w:val="1"/>
          <w:numId w:val="2"/>
        </w:numPr>
        <w:bidi w:val="0"/>
        <w:ind w:hanging="0" w:left="0"/>
        <w:jc w:val="left"/>
        <w:rPr>
          <w:rFonts w:ascii="TeX Gyre Termes" w:hAnsi="TeX Gyre Termes"/>
        </w:rPr>
      </w:pPr>
      <w:bookmarkStart w:id="5" w:name="figure-s6"/>
      <w:bookmarkEnd w:id="5"/>
      <w:r>
        <w:rPr>
          <w:rFonts w:ascii="TeX Gyre Termes" w:hAnsi="TeX Gyre Termes"/>
        </w:rPr>
        <w:t>13.6 Figure S6</w:t>
      </w:r>
    </w:p>
    <w:p>
      <w:pPr>
        <w:pStyle w:val="CaptionedFigure"/>
        <w:bidi w:val="0"/>
        <w:jc w:val="left"/>
        <w:rPr>
          <w:rFonts w:ascii="Cambria" w:hAnsi="Cambria"/>
        </w:rPr>
      </w:pPr>
      <w:r>
        <w:rPr/>
        <w:drawing>
          <wp:inline distT="0" distB="0" distL="0" distR="0">
            <wp:extent cx="5342255" cy="449834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5342255" cy="4498340"/>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S6</w:t>
      </w:r>
      <w:r>
        <w:rPr>
          <w:rFonts w:ascii="TeX Gyre Termes" w:hAnsi="TeX Gyre Termes"/>
        </w:rPr>
        <w:t xml:space="preserve">. Change in log-transformed anthocyanin content index (ACI) by species and elevation zone. A) Compares logACI means by species and elevation zone: LOW (&lt;1220 m), MID (1221 - 1828 m), HIGH (&gt; 1829 m). The black trend line represents the fitted model for all data points, see main text for </w:t>
      </w:r>
      <w:r>
        <w:rPr>
          <w:rFonts w:ascii="TeX Gyre Termes" w:hAnsi="TeX Gyre Termes"/>
          <w:i/>
          <w:iCs/>
        </w:rPr>
        <w:t>R</w:t>
      </w:r>
      <w:r>
        <w:rPr>
          <w:rFonts w:ascii="TeX Gyre Termes" w:hAnsi="TeX Gyre Termes"/>
          <w:i/>
          <w:iCs/>
          <w:vertAlign w:val="superscript"/>
        </w:rPr>
        <w:t>2</w:t>
      </w:r>
      <w:r>
        <w:rPr>
          <w:rFonts w:ascii="TeX Gyre Termes" w:hAnsi="TeX Gyre Termes"/>
          <w:i/>
          <w:iCs/>
          <w:vertAlign w:val="subscript"/>
        </w:rPr>
        <w:t>adj</w:t>
      </w:r>
      <w:r>
        <w:rPr>
          <w:rFonts w:ascii="TeX Gyre Termes" w:hAnsi="TeX Gyre Termes"/>
        </w:rPr>
        <w:t xml:space="preserve"> and </w:t>
      </w:r>
      <w:r>
        <w:rPr>
          <w:rFonts w:ascii="TeX Gyre Termes" w:hAnsi="TeX Gyre Termes"/>
          <w:i/>
          <w:iCs/>
        </w:rPr>
        <w:t>p</w:t>
      </w:r>
      <w:r>
        <w:rPr>
          <w:rFonts w:ascii="TeX Gyre Termes" w:hAnsi="TeX Gyre Termes"/>
        </w:rPr>
        <w:t xml:space="preserve"> values. B) Change in logLPS per species as elevation increases.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Heading2"/>
        <w:numPr>
          <w:ilvl w:val="1"/>
          <w:numId w:val="2"/>
        </w:numPr>
        <w:bidi w:val="0"/>
        <w:ind w:hanging="0" w:left="0"/>
        <w:jc w:val="left"/>
        <w:rPr>
          <w:rFonts w:ascii="TeX Gyre Termes" w:hAnsi="TeX Gyre Termes"/>
        </w:rPr>
      </w:pPr>
      <w:bookmarkStart w:id="6" w:name="figure-s7"/>
      <w:bookmarkEnd w:id="6"/>
      <w:r>
        <w:rPr>
          <w:rFonts w:ascii="TeX Gyre Termes" w:hAnsi="TeX Gyre Termes"/>
        </w:rPr>
        <w:t>13.7 Figure S7</w:t>
      </w:r>
    </w:p>
    <w:p>
      <w:pPr>
        <w:pStyle w:val="CaptionedFigure"/>
        <w:bidi w:val="0"/>
        <w:jc w:val="left"/>
        <w:rPr>
          <w:rFonts w:ascii="Cambria" w:hAnsi="Cambria"/>
        </w:rPr>
      </w:pPr>
      <w:r>
        <w:rPr/>
        <w:drawing>
          <wp:inline distT="0" distB="0" distL="0" distR="0">
            <wp:extent cx="5342255" cy="534225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5342255" cy="5342255"/>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S7</w:t>
      </w:r>
      <w:r>
        <w:rPr>
          <w:rFonts w:ascii="TeX Gyre Termes" w:hAnsi="TeX Gyre Termes"/>
        </w:rPr>
        <w:t xml:space="preserve">. Change in log-transformed leaf lobe index (LBI) by species and elevation zone. A) Compares logLBI means by species and elevation zone: LOW (&lt;1220 m), MID (1221 - 1828 m), HIGH (&gt; 1829 m). The black trend line represents the fitted model for all data points, see main text for </w:t>
      </w:r>
      <w:r>
        <w:rPr>
          <w:rFonts w:ascii="TeX Gyre Termes" w:hAnsi="TeX Gyre Termes"/>
          <w:i/>
          <w:iCs/>
        </w:rPr>
        <w:t>R</w:t>
      </w:r>
      <w:r>
        <w:rPr>
          <w:rFonts w:ascii="TeX Gyre Termes" w:hAnsi="TeX Gyre Termes"/>
          <w:i/>
          <w:iCs/>
          <w:vertAlign w:val="superscript"/>
        </w:rPr>
        <w:t>2</w:t>
      </w:r>
      <w:r>
        <w:rPr>
          <w:rFonts w:ascii="TeX Gyre Termes" w:hAnsi="TeX Gyre Termes"/>
          <w:i/>
          <w:iCs/>
          <w:vertAlign w:val="subscript"/>
        </w:rPr>
        <w:t>adj</w:t>
      </w:r>
      <w:r>
        <w:rPr>
          <w:rFonts w:ascii="TeX Gyre Termes" w:hAnsi="TeX Gyre Termes"/>
        </w:rPr>
        <w:t xml:space="preserve"> and </w:t>
      </w:r>
      <w:r>
        <w:rPr>
          <w:rFonts w:ascii="TeX Gyre Termes" w:hAnsi="TeX Gyre Termes"/>
          <w:i/>
          <w:iCs/>
        </w:rPr>
        <w:t>p</w:t>
      </w:r>
      <w:r>
        <w:rPr>
          <w:rFonts w:ascii="TeX Gyre Termes" w:hAnsi="TeX Gyre Termes"/>
        </w:rPr>
        <w:t xml:space="preserve"> values. B) Change in logLPS per species as elevation increases.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Heading2"/>
        <w:numPr>
          <w:ilvl w:val="1"/>
          <w:numId w:val="2"/>
        </w:numPr>
        <w:bidi w:val="0"/>
        <w:ind w:hanging="0" w:left="0"/>
        <w:jc w:val="left"/>
        <w:rPr>
          <w:rFonts w:ascii="TeX Gyre Termes" w:hAnsi="TeX Gyre Termes"/>
        </w:rPr>
      </w:pPr>
      <w:bookmarkStart w:id="7" w:name="figure-s8"/>
      <w:bookmarkEnd w:id="7"/>
      <w:r>
        <w:rPr>
          <w:rFonts w:ascii="TeX Gyre Termes" w:hAnsi="TeX Gyre Termes"/>
        </w:rPr>
        <w:t>13.8 Figure S8</w:t>
      </w:r>
    </w:p>
    <w:p>
      <w:pPr>
        <w:pStyle w:val="CaptionedFigure"/>
        <w:bidi w:val="0"/>
        <w:jc w:val="left"/>
        <w:rPr>
          <w:rFonts w:ascii="Cambria" w:hAnsi="Cambria"/>
        </w:rPr>
      </w:pPr>
      <w:r>
        <w:rPr/>
        <w:drawing>
          <wp:inline distT="0" distB="0" distL="0" distR="0">
            <wp:extent cx="5342255" cy="534225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5342255" cy="5342255"/>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S8</w:t>
      </w:r>
      <w:r>
        <w:rPr>
          <w:rFonts w:ascii="TeX Gyre Termes" w:hAnsi="TeX Gyre Termes"/>
        </w:rPr>
        <w:t xml:space="preserve">. Change in log-transformed leaf-punch strength (LPS), a measure of leaf toughness, by species and elevation zone. A) Compares logLPS means by species and elevation zone: LOW (&lt;1220 m), MID (1221 - 1828 m), HIGH (&gt; 1829 m). The black trend line represents the fitted model for all data points, see main text for </w:t>
      </w:r>
      <w:r>
        <w:rPr>
          <w:rFonts w:ascii="TeX Gyre Termes" w:hAnsi="TeX Gyre Termes"/>
          <w:i/>
          <w:iCs/>
        </w:rPr>
        <w:t>R</w:t>
      </w:r>
      <w:r>
        <w:rPr>
          <w:rFonts w:ascii="TeX Gyre Termes" w:hAnsi="TeX Gyre Termes"/>
          <w:i/>
          <w:iCs/>
          <w:vertAlign w:val="superscript"/>
        </w:rPr>
        <w:t>2</w:t>
      </w:r>
      <w:r>
        <w:rPr>
          <w:rFonts w:ascii="TeX Gyre Termes" w:hAnsi="TeX Gyre Termes"/>
          <w:i/>
          <w:iCs/>
          <w:vertAlign w:val="subscript"/>
        </w:rPr>
        <w:t>adj</w:t>
      </w:r>
      <w:r>
        <w:rPr>
          <w:rFonts w:ascii="TeX Gyre Termes" w:hAnsi="TeX Gyre Termes"/>
        </w:rPr>
        <w:t xml:space="preserve"> and </w:t>
      </w:r>
      <w:r>
        <w:rPr>
          <w:rFonts w:ascii="TeX Gyre Termes" w:hAnsi="TeX Gyre Termes"/>
          <w:i/>
          <w:iCs/>
        </w:rPr>
        <w:t>p</w:t>
      </w:r>
      <w:r>
        <w:rPr>
          <w:rFonts w:ascii="TeX Gyre Termes" w:hAnsi="TeX Gyre Termes"/>
        </w:rPr>
        <w:t xml:space="preserve"> values. B) Change in logLPS per species as elevation increases.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Heading2"/>
        <w:numPr>
          <w:ilvl w:val="1"/>
          <w:numId w:val="2"/>
        </w:numPr>
        <w:bidi w:val="0"/>
        <w:ind w:hanging="0" w:left="0"/>
        <w:jc w:val="left"/>
        <w:rPr>
          <w:rFonts w:ascii="TeX Gyre Termes" w:hAnsi="TeX Gyre Termes"/>
        </w:rPr>
      </w:pPr>
      <w:bookmarkStart w:id="8" w:name="figure-s9"/>
      <w:bookmarkEnd w:id="8"/>
      <w:r>
        <w:rPr>
          <w:rFonts w:ascii="TeX Gyre Termes" w:hAnsi="TeX Gyre Termes"/>
        </w:rPr>
        <w:t>13.9 Figure S9</w:t>
      </w:r>
    </w:p>
    <w:p>
      <w:pPr>
        <w:pStyle w:val="CaptionedFigure"/>
        <w:bidi w:val="0"/>
        <w:jc w:val="left"/>
        <w:rPr>
          <w:rFonts w:ascii="Cambria" w:hAnsi="Cambria"/>
        </w:rPr>
      </w:pPr>
      <w:r>
        <w:rPr/>
        <w:drawing>
          <wp:inline distT="0" distB="0" distL="0" distR="0">
            <wp:extent cx="5342255" cy="534225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5342255" cy="5342255"/>
                    </a:xfrm>
                    <a:prstGeom prst="rect">
                      <a:avLst/>
                    </a:prstGeom>
                    <a:noFill/>
                  </pic:spPr>
                </pic:pic>
              </a:graphicData>
            </a:graphic>
          </wp:inline>
        </w:drawing>
      </w:r>
    </w:p>
    <w:p>
      <w:pPr>
        <w:pStyle w:val="ImageCaption"/>
        <w:bidi w:val="0"/>
        <w:jc w:val="left"/>
        <w:rPr>
          <w:rFonts w:ascii="Cambria" w:hAnsi="Cambria"/>
        </w:rPr>
      </w:pPr>
      <w:r>
        <w:rPr>
          <w:rFonts w:ascii="TeX Gyre Termes" w:hAnsi="TeX Gyre Termes"/>
          <w:b/>
          <w:bCs/>
        </w:rPr>
        <w:t>Figure S9</w:t>
      </w:r>
      <w:r>
        <w:rPr>
          <w:rFonts w:ascii="TeX Gyre Termes" w:hAnsi="TeX Gyre Termes"/>
        </w:rPr>
        <w:t xml:space="preserve">. Change in log-transformed leaf thickness (LT) (𝜇m) by species and elevation zone. A) Compares logLT means by species and elevation zone: LOW (&lt;1220 m), MID (1221 - 1828 m), HIGH (&gt; 1829 m). The black trend line represents the fitted model for all data points, see main text for </w:t>
      </w:r>
      <w:r>
        <w:rPr>
          <w:rFonts w:ascii="TeX Gyre Termes" w:hAnsi="TeX Gyre Termes"/>
          <w:i/>
          <w:iCs/>
        </w:rPr>
        <w:t>R</w:t>
      </w:r>
      <w:r>
        <w:rPr>
          <w:rFonts w:ascii="TeX Gyre Termes" w:hAnsi="TeX Gyre Termes"/>
          <w:i/>
          <w:iCs/>
          <w:vertAlign w:val="superscript"/>
        </w:rPr>
        <w:t>2</w:t>
      </w:r>
      <w:r>
        <w:rPr>
          <w:rFonts w:ascii="TeX Gyre Termes" w:hAnsi="TeX Gyre Termes"/>
          <w:i/>
          <w:iCs/>
          <w:vertAlign w:val="subscript"/>
        </w:rPr>
        <w:t>adj</w:t>
      </w:r>
      <w:r>
        <w:rPr>
          <w:rFonts w:ascii="TeX Gyre Termes" w:hAnsi="TeX Gyre Termes"/>
        </w:rPr>
        <w:t xml:space="preserve"> and </w:t>
      </w:r>
      <w:r>
        <w:rPr>
          <w:rFonts w:ascii="TeX Gyre Termes" w:hAnsi="TeX Gyre Termes"/>
          <w:i/>
          <w:iCs/>
        </w:rPr>
        <w:t>p</w:t>
      </w:r>
      <w:r>
        <w:rPr>
          <w:rFonts w:ascii="TeX Gyre Termes" w:hAnsi="TeX Gyre Termes"/>
        </w:rPr>
        <w:t xml:space="preserve"> values. B) Change in logLT per species as elevation increases. Significance levels are represented by </w:t>
      </w:r>
      <w:r>
        <w:rPr>
          <w:rFonts w:ascii="TeX Gyre Termes" w:hAnsi="TeX Gyre Termes"/>
          <w:i/>
          <w:iCs/>
        </w:rPr>
        <w:t>ns</w:t>
      </w:r>
      <w:r>
        <w:rPr>
          <w:rFonts w:ascii="TeX Gyre Termes" w:hAnsi="TeX Gyre Termes"/>
        </w:rPr>
        <w:t xml:space="preserve"> (not significant) and asterisks [</w:t>
      </w:r>
      <w:r>
        <w:rPr>
          <w:rFonts w:ascii="TeX Gyre Termes" w:hAnsi="TeX Gyre Termes"/>
          <w:i/>
          <w:iCs/>
        </w:rPr>
        <w:t>p</w:t>
      </w:r>
      <w:r>
        <w:rPr>
          <w:rFonts w:ascii="TeX Gyre Termes" w:hAnsi="TeX Gyre Termes"/>
        </w:rPr>
        <w:t xml:space="preserve"> &lt; .05 (*), </w:t>
      </w:r>
      <w:r>
        <w:rPr>
          <w:rFonts w:ascii="TeX Gyre Termes" w:hAnsi="TeX Gyre Termes"/>
          <w:i/>
          <w:iCs/>
        </w:rPr>
        <w:t>p</w:t>
      </w:r>
      <w:r>
        <w:rPr>
          <w:rFonts w:ascii="TeX Gyre Termes" w:hAnsi="TeX Gyre Termes"/>
        </w:rPr>
        <w:t xml:space="preserve"> &lt; .01 (**), </w:t>
      </w:r>
      <w:r>
        <w:rPr>
          <w:rFonts w:ascii="TeX Gyre Termes" w:hAnsi="TeX Gyre Termes"/>
          <w:i/>
          <w:iCs/>
        </w:rPr>
        <w:t>p</w:t>
      </w:r>
      <w:r>
        <w:rPr>
          <w:rFonts w:ascii="TeX Gyre Termes" w:hAnsi="TeX Gyre Termes"/>
        </w:rPr>
        <w:t xml:space="preserve"> &lt; .001 (***), and </w:t>
      </w:r>
      <w:r>
        <w:rPr>
          <w:rFonts w:ascii="TeX Gyre Termes" w:hAnsi="TeX Gyre Termes"/>
          <w:i/>
          <w:iCs/>
        </w:rPr>
        <w:t>p</w:t>
      </w:r>
      <w:r>
        <w:rPr>
          <w:rFonts w:ascii="TeX Gyre Termes" w:hAnsi="TeX Gyre Termes"/>
        </w:rPr>
        <w:t xml:space="preserve"> &lt; .0001 (****)].</w:t>
      </w:r>
    </w:p>
    <w:p>
      <w:pPr>
        <w:pStyle w:val="ImageCaption"/>
        <w:bidi w:val="0"/>
        <w:jc w:val="left"/>
        <w:rPr>
          <w:rFonts w:ascii="Cambria" w:hAnsi="Cambria"/>
        </w:rPr>
      </w:pPr>
      <w:r>
        <w:rPr>
          <w:rFonts w:ascii="Cambria" w:hAnsi="Cambria"/>
        </w:rPr>
      </w:r>
    </w:p>
    <w:p>
      <w:pPr>
        <w:pStyle w:val="ImageCaption"/>
        <w:bidi w:val="0"/>
        <w:jc w:val="left"/>
        <w:rPr>
          <w:rFonts w:ascii="Cambria" w:hAnsi="Cambria"/>
        </w:rPr>
      </w:pPr>
      <w:r>
        <w:rPr>
          <w:rFonts w:ascii="Cambria" w:hAnsi="Cambria"/>
        </w:rPr>
      </w:r>
    </w:p>
    <w:p>
      <w:pPr>
        <w:pStyle w:val="ImageCaption"/>
        <w:bidi w:val="0"/>
        <w:jc w:val="left"/>
        <w:rPr>
          <w:rFonts w:ascii="Cambria" w:hAnsi="Cambria"/>
        </w:rPr>
      </w:pPr>
      <w:r>
        <w:rPr>
          <w:rFonts w:ascii="Cambria" w:hAnsi="Cambria"/>
        </w:rPr>
      </w:r>
    </w:p>
    <w:p>
      <w:pPr>
        <w:pStyle w:val="ImageCaption"/>
        <w:bidi w:val="0"/>
        <w:jc w:val="left"/>
        <w:rPr>
          <w:rFonts w:ascii="Cambria" w:hAnsi="Cambria"/>
        </w:rPr>
      </w:pPr>
      <w:r>
        <w:rPr>
          <w:rFonts w:ascii="Cambria" w:hAnsi="Cambria"/>
        </w:rPr>
      </w:r>
    </w:p>
    <w:p>
      <w:pPr>
        <w:pStyle w:val="ImageCaption"/>
        <w:bidi w:val="0"/>
        <w:jc w:val="left"/>
        <w:rPr>
          <w:rFonts w:ascii="Cambria" w:hAnsi="Cambria"/>
        </w:rPr>
      </w:pPr>
      <w:r>
        <w:rPr>
          <w:rFonts w:ascii="Cambria" w:hAnsi="Cambria"/>
        </w:rPr>
      </w:r>
    </w:p>
    <w:p>
      <w:pPr>
        <w:pStyle w:val="ImageCaption"/>
        <w:bidi w:val="0"/>
        <w:jc w:val="left"/>
        <w:rPr>
          <w:rFonts w:ascii="Cambria" w:hAnsi="Cambria"/>
        </w:rPr>
      </w:pPr>
      <w:r>
        <w:rPr>
          <w:rFonts w:ascii="Cambria" w:hAnsi="Cambria"/>
        </w:rPr>
      </w:r>
    </w:p>
    <w:p>
      <w:pPr>
        <w:pStyle w:val="ImageCaption"/>
        <w:bidi w:val="0"/>
        <w:jc w:val="left"/>
        <w:rPr>
          <w:rFonts w:ascii="Cambria" w:hAnsi="Cambria"/>
        </w:rPr>
      </w:pPr>
      <w:r>
        <w:rPr>
          <w:rFonts w:ascii="Cambria" w:hAnsi="Cambria"/>
        </w:rPr>
      </w:r>
    </w:p>
    <w:p>
      <w:pPr>
        <w:pStyle w:val="Heading2"/>
        <w:numPr>
          <w:ilvl w:val="1"/>
          <w:numId w:val="2"/>
        </w:numPr>
        <w:bidi w:val="0"/>
        <w:ind w:hanging="0" w:left="0"/>
        <w:jc w:val="left"/>
        <w:rPr>
          <w:rFonts w:ascii="TeX Gyre Termes" w:hAnsi="TeX Gyre Termes"/>
        </w:rPr>
      </w:pPr>
      <w:r>
        <w:rPr>
          <w:rFonts w:ascii="TeX Gyre Termes" w:hAnsi="TeX Gyre Termes"/>
        </w:rPr>
        <w:t xml:space="preserve">13.10 Table S1 </w:t>
      </w:r>
    </w:p>
    <w:p>
      <w:pPr>
        <w:pStyle w:val="Heading2"/>
        <w:numPr>
          <w:ilvl w:val="1"/>
          <w:numId w:val="2"/>
        </w:numPr>
        <w:bidi w:val="0"/>
        <w:ind w:hanging="0" w:left="0"/>
        <w:jc w:val="center"/>
        <w:rPr>
          <w:sz w:val="24"/>
          <w:szCs w:val="24"/>
        </w:rPr>
      </w:pPr>
      <w:r>
        <w:rPr>
          <w:rFonts w:ascii="TeX Gyre Termes" w:hAnsi="TeX Gyre Termes"/>
          <w:sz w:val="24"/>
          <w:szCs w:val="24"/>
        </w:rPr>
        <w:t>Number of individuals collected per population/site and species.</w:t>
      </w:r>
    </w:p>
    <w:tbl>
      <w:tblPr>
        <w:tblW w:w="9329" w:type="dxa"/>
        <w:jc w:val="center"/>
        <w:tblInd w:w="0" w:type="dxa"/>
        <w:tblLayout w:type="fixed"/>
        <w:tblCellMar>
          <w:top w:w="0" w:type="dxa"/>
          <w:left w:w="0" w:type="dxa"/>
          <w:bottom w:w="0" w:type="dxa"/>
          <w:right w:w="0" w:type="dxa"/>
        </w:tblCellMar>
      </w:tblPr>
      <w:tblGrid>
        <w:gridCol w:w="839"/>
        <w:gridCol w:w="1260"/>
        <w:gridCol w:w="1622"/>
        <w:gridCol w:w="1350"/>
        <w:gridCol w:w="1438"/>
        <w:gridCol w:w="1082"/>
        <w:gridCol w:w="988"/>
        <w:gridCol w:w="750"/>
      </w:tblGrid>
      <w:tr>
        <w:trPr>
          <w:trHeight w:val="360" w:hRule="atLeast"/>
          <w:cantSplit w:val="true"/>
        </w:trPr>
        <w:tc>
          <w:tcPr>
            <w:tcW w:w="839" w:type="dxa"/>
            <w:tcBorders>
              <w:top w:val="single" w:sz="2" w:space="0" w:color="000000"/>
              <w:bottom w:val="single" w:sz="2" w:space="0" w:color="000000"/>
            </w:tcBorders>
            <w:shd w:color="auto" w:fill="FFFFFF"/>
          </w:tcPr>
          <w:p>
            <w:pPr>
              <w:pStyle w:val="Normal"/>
              <w:tabs>
                <w:tab w:val="clear" w:pos="709"/>
              </w:tabs>
              <w:bidi w:val="0"/>
              <w:spacing w:lineRule="auto" w:line="240"/>
              <w:ind w:hanging="0" w:left="0" w:right="200"/>
              <w:jc w:val="left"/>
              <w:rPr>
                <w:rFonts w:ascii="TeX Gyre Termes" w:hAnsi="TeX Gyre Termes"/>
              </w:rPr>
            </w:pPr>
            <w:r>
              <w:rPr>
                <w:rFonts w:eastAsia="DejaVu Sans" w:cs="DejaVu Sans" w:ascii="TeX Gyre Termes" w:hAnsi="TeX Gyre Termes"/>
                <w:b/>
                <w:bCs/>
                <w:i w:val="false"/>
                <w:iCs w:val="false"/>
                <w:color w:val="000000"/>
                <w:sz w:val="20"/>
                <w:szCs w:val="20"/>
                <w:u w:val="none"/>
              </w:rPr>
              <w:t>Site</w:t>
            </w:r>
          </w:p>
        </w:tc>
        <w:tc>
          <w:tcPr>
            <w:tcW w:w="1260"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200"/>
              <w:jc w:val="left"/>
              <w:rPr>
                <w:rFonts w:ascii="TeX Gyre Termes" w:hAnsi="TeX Gyre Termes"/>
              </w:rPr>
            </w:pPr>
            <w:r>
              <w:rPr>
                <w:rFonts w:eastAsia="DejaVu Sans" w:cs="DejaVu Sans" w:ascii="TeX Gyre Termes" w:hAnsi="TeX Gyre Termes"/>
                <w:b/>
                <w:bCs/>
                <w:i w:val="false"/>
                <w:iCs w:val="false"/>
                <w:color w:val="000000"/>
                <w:sz w:val="20"/>
                <w:szCs w:val="20"/>
                <w:u w:val="none"/>
              </w:rPr>
              <w:t>Site Name</w:t>
            </w:r>
          </w:p>
        </w:tc>
        <w:tc>
          <w:tcPr>
            <w:tcW w:w="1622"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200"/>
              <w:jc w:val="left"/>
              <w:rPr>
                <w:rFonts w:ascii="TeX Gyre Termes" w:hAnsi="TeX Gyre Termes"/>
              </w:rPr>
            </w:pPr>
            <w:r>
              <w:rPr>
                <w:rFonts w:eastAsia="DejaVu Sans" w:cs="DejaVu Sans" w:ascii="TeX Gyre Termes" w:hAnsi="TeX Gyre Termes"/>
                <w:b/>
                <w:bCs/>
                <w:i w:val="false"/>
                <w:iCs w:val="false"/>
                <w:color w:val="000000"/>
                <w:sz w:val="20"/>
                <w:szCs w:val="20"/>
                <w:u w:val="none"/>
              </w:rPr>
              <w:t>Forest/Park</w:t>
            </w:r>
          </w:p>
        </w:tc>
        <w:tc>
          <w:tcPr>
            <w:tcW w:w="1350"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200"/>
              <w:jc w:val="right"/>
              <w:rPr>
                <w:rFonts w:ascii="TeX Gyre Termes" w:hAnsi="TeX Gyre Termes"/>
              </w:rPr>
            </w:pPr>
            <w:r>
              <w:rPr>
                <w:rFonts w:eastAsia="DejaVu Sans" w:cs="DejaVu Sans" w:ascii="TeX Gyre Termes" w:hAnsi="TeX Gyre Termes"/>
                <w:b/>
                <w:bCs/>
                <w:i w:val="false"/>
                <w:iCs w:val="false"/>
                <w:color w:val="000000"/>
                <w:sz w:val="20"/>
                <w:szCs w:val="20"/>
                <w:u w:val="none"/>
              </w:rPr>
              <w:t>Latitude</w:t>
            </w:r>
          </w:p>
        </w:tc>
        <w:tc>
          <w:tcPr>
            <w:tcW w:w="1438"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200"/>
              <w:jc w:val="right"/>
              <w:rPr>
                <w:rFonts w:ascii="TeX Gyre Termes" w:hAnsi="TeX Gyre Termes"/>
              </w:rPr>
            </w:pPr>
            <w:r>
              <w:rPr>
                <w:rFonts w:eastAsia="DejaVu Sans" w:cs="DejaVu Sans" w:ascii="TeX Gyre Termes" w:hAnsi="TeX Gyre Termes"/>
                <w:b/>
                <w:bCs/>
                <w:i w:val="false"/>
                <w:iCs w:val="false"/>
                <w:color w:val="000000"/>
                <w:sz w:val="20"/>
                <w:szCs w:val="20"/>
                <w:u w:val="none"/>
              </w:rPr>
              <w:t>Longitude</w:t>
            </w:r>
          </w:p>
        </w:tc>
        <w:tc>
          <w:tcPr>
            <w:tcW w:w="1082"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200"/>
              <w:jc w:val="right"/>
              <w:rPr>
                <w:rFonts w:ascii="TeX Gyre Termes" w:hAnsi="TeX Gyre Termes"/>
              </w:rPr>
            </w:pPr>
            <w:r>
              <w:rPr>
                <w:rFonts w:eastAsia="DejaVu Sans" w:cs="DejaVu Sans" w:ascii="TeX Gyre Termes" w:hAnsi="TeX Gyre Termes"/>
                <w:b/>
                <w:bCs/>
                <w:i/>
                <w:iCs/>
                <w:color w:val="000000"/>
                <w:sz w:val="16"/>
                <w:szCs w:val="16"/>
                <w:u w:val="none"/>
              </w:rPr>
              <w:t>M. laciniatus</w:t>
            </w:r>
          </w:p>
        </w:tc>
        <w:tc>
          <w:tcPr>
            <w:tcW w:w="988"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200"/>
              <w:jc w:val="right"/>
              <w:rPr>
                <w:rFonts w:ascii="TeX Gyre Termes" w:hAnsi="TeX Gyre Termes"/>
              </w:rPr>
            </w:pPr>
            <w:r>
              <w:rPr>
                <w:rFonts w:eastAsia="DejaVu Sans" w:cs="DejaVu Sans" w:ascii="TeX Gyre Termes" w:hAnsi="TeX Gyre Termes"/>
                <w:b/>
                <w:bCs/>
                <w:i/>
                <w:iCs/>
                <w:color w:val="000000"/>
                <w:sz w:val="16"/>
                <w:szCs w:val="16"/>
                <w:u w:val="none"/>
              </w:rPr>
              <w:t>M. nasutus</w:t>
            </w:r>
          </w:p>
        </w:tc>
        <w:tc>
          <w:tcPr>
            <w:tcW w:w="750" w:type="dxa"/>
            <w:tcBorders>
              <w:top w:val="single" w:sz="2" w:space="0" w:color="000000"/>
              <w:bottom w:val="single" w:sz="2" w:space="0" w:color="000000"/>
            </w:tcBorders>
            <w:shd w:color="auto" w:fill="FFFFFF"/>
          </w:tcPr>
          <w:p>
            <w:pPr>
              <w:pStyle w:val="Normal"/>
              <w:tabs>
                <w:tab w:val="clear" w:pos="709"/>
              </w:tabs>
              <w:bidi w:val="0"/>
              <w:spacing w:lineRule="auto" w:line="240"/>
              <w:ind w:hanging="0" w:left="200" w:right="0"/>
              <w:jc w:val="right"/>
              <w:rPr>
                <w:rFonts w:ascii="TeX Gyre Termes" w:hAnsi="TeX Gyre Termes"/>
              </w:rPr>
            </w:pPr>
            <w:r>
              <w:rPr>
                <w:rFonts w:eastAsia="DejaVu Sans" w:cs="DejaVu Sans" w:ascii="TeX Gyre Termes" w:hAnsi="TeX Gyre Termes"/>
                <w:b/>
                <w:bCs/>
                <w:i/>
                <w:iCs/>
                <w:color w:val="000000"/>
                <w:sz w:val="16"/>
                <w:szCs w:val="16"/>
                <w:u w:val="none"/>
              </w:rPr>
              <w:t>M. guttatus</w:t>
            </w:r>
          </w:p>
        </w:tc>
      </w:tr>
      <w:tr>
        <w:trPr>
          <w:trHeight w:val="360" w:hRule="atLeast"/>
          <w:cantSplit w:val="true"/>
        </w:trPr>
        <w:tc>
          <w:tcPr>
            <w:tcW w:w="839" w:type="dxa"/>
            <w:tcBorders>
              <w:top w:val="single" w:sz="2" w:space="0" w:color="000000"/>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AGFB</w:t>
            </w:r>
          </w:p>
        </w:tc>
        <w:tc>
          <w:tcPr>
            <w:tcW w:w="1260" w:type="dxa"/>
            <w:tcBorders>
              <w:top w:val="single" w:sz="2" w:space="0" w:color="000000"/>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Angel Falls</w:t>
            </w:r>
          </w:p>
        </w:tc>
        <w:tc>
          <w:tcPr>
            <w:tcW w:w="1622" w:type="dxa"/>
            <w:tcBorders>
              <w:top w:val="single" w:sz="2" w:space="0" w:color="000000"/>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top w:val="single" w:sz="2" w:space="0" w:color="000000"/>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37.338230</w:t>
            </w:r>
          </w:p>
        </w:tc>
        <w:tc>
          <w:tcPr>
            <w:tcW w:w="1438" w:type="dxa"/>
            <w:tcBorders>
              <w:top w:val="single" w:sz="2" w:space="0" w:color="000000"/>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-119.570677</w:t>
            </w:r>
          </w:p>
        </w:tc>
        <w:tc>
          <w:tcPr>
            <w:tcW w:w="1082" w:type="dxa"/>
            <w:tcBorders>
              <w:top w:val="single" w:sz="2" w:space="0" w:color="000000"/>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w:t>
            </w:r>
          </w:p>
        </w:tc>
        <w:tc>
          <w:tcPr>
            <w:tcW w:w="988" w:type="dxa"/>
            <w:tcBorders>
              <w:top w:val="single" w:sz="2" w:space="0" w:color="000000"/>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750" w:type="dxa"/>
            <w:tcBorders>
              <w:top w:val="single" w:sz="2" w:space="0" w:color="000000"/>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BHEB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Bald Mountain</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37.053544</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-119.393233</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9</w:t>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BMLZ</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Bretz Mill Road</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37.090625</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-119.314015</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CCNB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Crab Tree Road</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Stanislaus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38.183927</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-119.963252</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12</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CCRB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Carson Creek</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Mariposa County</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37.486337</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-119.997920</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9</w:t>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CFZZ</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Crane Flat</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37.755986</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-119.802952</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HDRB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Highland Drive Road</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37.288671</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-119.534709</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HHBB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Hetch Hetchy B</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37.959056</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-119.778553</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HULB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Huntington Lake</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37.235530</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-119.149620</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HUOB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Huntington Lake Overview</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37.150723</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-119.273507</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17</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KNOB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The Knobs</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37.853852</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-119.440369</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LMZZ</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Little Meadow</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37.767781</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-119.772719</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NFWB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North Fork Willow Creek</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37.257397</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-119.521415</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98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OPNZ</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Olmstead Point</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37.807232</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-119.486313</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20</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OSKB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Onion Skins</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37.842693</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-119.594572</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7</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SDSB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Stoddard Spring</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Stanislaus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38.136194</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-120.094614</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SHLZ</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Shaver Lake</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Sierra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37.145131</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-119.307426</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5</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SPLB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Spotless</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37.847194</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-119.586129</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9</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TRTZ</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Turtle Back Dome</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37.716098</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-119.705317</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sz w:val="20"/>
                <w:szCs w:val="20"/>
              </w:rPr>
            </w:pPr>
            <w:r>
              <w:rPr>
                <w:sz w:val="20"/>
                <w:szCs w:val="20"/>
              </w:rPr>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TWGB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Tawonga</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Stanislaus National Forest</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37.858820</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-119.951305</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9</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WCFB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Wildcat Falls</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37.723593</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-119.719077</w:t>
            </w:r>
          </w:p>
        </w:tc>
        <w:tc>
          <w:tcPr>
            <w:tcW w:w="1082"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w:t>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12</w:t>
            </w:r>
          </w:p>
        </w:tc>
      </w:tr>
      <w:tr>
        <w:trPr>
          <w:trHeight w:val="360" w:hRule="atLeast"/>
          <w:cantSplit w:val="true"/>
        </w:trPr>
        <w:tc>
          <w:tcPr>
            <w:tcW w:w="839" w:type="dxa"/>
            <w:tcBorders/>
            <w:shd w:color="auto" w:fill="FFFFFF"/>
          </w:tcPr>
          <w:p>
            <w:pPr>
              <w:pStyle w:val="Normal"/>
              <w:tabs>
                <w:tab w:val="clear" w:pos="709"/>
              </w:tabs>
              <w:bidi w:val="0"/>
              <w:spacing w:lineRule="auto" w:line="240" w:before="200" w:after="20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WSHB</w:t>
            </w:r>
          </w:p>
        </w:tc>
        <w:tc>
          <w:tcPr>
            <w:tcW w:w="1260"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Wawona School</w:t>
            </w:r>
          </w:p>
        </w:tc>
        <w:tc>
          <w:tcPr>
            <w:tcW w:w="1622" w:type="dxa"/>
            <w:tcBorders/>
            <w:shd w:color="auto" w:fill="FFFFFF"/>
          </w:tcPr>
          <w:p>
            <w:pPr>
              <w:pStyle w:val="Normal"/>
              <w:tabs>
                <w:tab w:val="clear" w:pos="709"/>
              </w:tabs>
              <w:bidi w:val="0"/>
              <w:spacing w:lineRule="auto" w:line="240" w:before="200" w:after="20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37.543343</w:t>
            </w:r>
          </w:p>
        </w:tc>
        <w:tc>
          <w:tcPr>
            <w:tcW w:w="1438" w:type="dxa"/>
            <w:tcBorders/>
            <w:shd w:color="auto" w:fill="FFFFFF"/>
          </w:tcPr>
          <w:p>
            <w:pPr>
              <w:pStyle w:val="Normal"/>
              <w:tabs>
                <w:tab w:val="clear" w:pos="709"/>
              </w:tabs>
              <w:bidi w:val="0"/>
              <w:spacing w:lineRule="auto" w:line="240" w:before="200" w:after="20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-119.647878</w:t>
            </w:r>
          </w:p>
        </w:tc>
        <w:tc>
          <w:tcPr>
            <w:tcW w:w="1082"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988" w:type="dxa"/>
            <w:tcBorders/>
            <w:shd w:color="auto" w:fill="FFFFFF"/>
          </w:tcPr>
          <w:p>
            <w:pPr>
              <w:pStyle w:val="Normal"/>
              <w:tabs>
                <w:tab w:val="clear" w:pos="709"/>
              </w:tabs>
              <w:bidi w:val="0"/>
              <w:spacing w:lineRule="auto" w:line="240" w:before="200" w:after="200"/>
              <w:ind w:hanging="0" w:left="200" w:right="200"/>
              <w:jc w:val="right"/>
              <w:rPr>
                <w:sz w:val="20"/>
                <w:szCs w:val="20"/>
              </w:rPr>
            </w:pPr>
            <w:r>
              <w:rPr>
                <w:sz w:val="20"/>
                <w:szCs w:val="20"/>
              </w:rPr>
            </w:r>
          </w:p>
        </w:tc>
        <w:tc>
          <w:tcPr>
            <w:tcW w:w="750" w:type="dxa"/>
            <w:tcBorders/>
            <w:shd w:color="auto" w:fill="FFFFFF"/>
          </w:tcPr>
          <w:p>
            <w:pPr>
              <w:pStyle w:val="Normal"/>
              <w:tabs>
                <w:tab w:val="clear" w:pos="709"/>
              </w:tabs>
              <w:bidi w:val="0"/>
              <w:spacing w:lineRule="auto" w:line="240" w:before="200" w:after="200"/>
              <w:ind w:hanging="0" w:left="200" w:right="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12</w:t>
            </w:r>
          </w:p>
        </w:tc>
      </w:tr>
      <w:tr>
        <w:trPr>
          <w:trHeight w:val="360" w:hRule="atLeast"/>
          <w:cantSplit w:val="true"/>
        </w:trPr>
        <w:tc>
          <w:tcPr>
            <w:tcW w:w="839" w:type="dxa"/>
            <w:tcBorders>
              <w:bottom w:val="single" w:sz="2" w:space="0" w:color="000000"/>
            </w:tcBorders>
            <w:shd w:color="auto" w:fill="FFFFFF"/>
          </w:tcPr>
          <w:p>
            <w:pPr>
              <w:pStyle w:val="Normal"/>
              <w:tabs>
                <w:tab w:val="clear" w:pos="709"/>
              </w:tabs>
              <w:bidi w:val="0"/>
              <w:spacing w:lineRule="auto" w:line="240" w:before="200" w:after="0"/>
              <w:ind w:hanging="0" w:left="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YCNB</w:t>
            </w:r>
          </w:p>
        </w:tc>
        <w:tc>
          <w:tcPr>
            <w:tcW w:w="1260" w:type="dxa"/>
            <w:tcBorders>
              <w:bottom w:val="single" w:sz="2" w:space="0" w:color="000000"/>
            </w:tcBorders>
            <w:shd w:color="auto" w:fill="FFFFFF"/>
          </w:tcPr>
          <w:p>
            <w:pPr>
              <w:pStyle w:val="Normal"/>
              <w:tabs>
                <w:tab w:val="clear" w:pos="709"/>
              </w:tabs>
              <w:bidi w:val="0"/>
              <w:spacing w:lineRule="auto" w:line="240" w:before="200" w:after="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Creek B</w:t>
            </w:r>
          </w:p>
        </w:tc>
        <w:tc>
          <w:tcPr>
            <w:tcW w:w="1622" w:type="dxa"/>
            <w:tcBorders>
              <w:bottom w:val="single" w:sz="2" w:space="0" w:color="000000"/>
            </w:tcBorders>
            <w:shd w:color="auto" w:fill="FFFFFF"/>
          </w:tcPr>
          <w:p>
            <w:pPr>
              <w:pStyle w:val="Normal"/>
              <w:tabs>
                <w:tab w:val="clear" w:pos="709"/>
              </w:tabs>
              <w:bidi w:val="0"/>
              <w:spacing w:lineRule="auto" w:line="240" w:before="200" w:after="0"/>
              <w:ind w:hanging="0" w:left="200" w:right="2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Yosemite National Park</w:t>
            </w:r>
          </w:p>
        </w:tc>
        <w:tc>
          <w:tcPr>
            <w:tcW w:w="1350" w:type="dxa"/>
            <w:tcBorders>
              <w:bottom w:val="single" w:sz="2" w:space="0" w:color="000000"/>
            </w:tcBorders>
            <w:shd w:color="auto" w:fill="FFFFFF"/>
          </w:tcPr>
          <w:p>
            <w:pPr>
              <w:pStyle w:val="Normal"/>
              <w:tabs>
                <w:tab w:val="clear" w:pos="709"/>
              </w:tabs>
              <w:bidi w:val="0"/>
              <w:spacing w:lineRule="auto" w:line="240" w:before="200" w:after="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37.843904</w:t>
            </w:r>
          </w:p>
        </w:tc>
        <w:tc>
          <w:tcPr>
            <w:tcW w:w="1438" w:type="dxa"/>
            <w:tcBorders>
              <w:bottom w:val="single" w:sz="2" w:space="0" w:color="000000"/>
            </w:tcBorders>
            <w:shd w:color="auto" w:fill="FFFFFF"/>
          </w:tcPr>
          <w:p>
            <w:pPr>
              <w:pStyle w:val="Normal"/>
              <w:tabs>
                <w:tab w:val="clear" w:pos="709"/>
              </w:tabs>
              <w:bidi w:val="0"/>
              <w:spacing w:lineRule="auto" w:line="240" w:before="200" w:after="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-119.572754</w:t>
            </w:r>
          </w:p>
        </w:tc>
        <w:tc>
          <w:tcPr>
            <w:tcW w:w="1082" w:type="dxa"/>
            <w:tcBorders>
              <w:bottom w:val="single" w:sz="2" w:space="0" w:color="000000"/>
            </w:tcBorders>
            <w:shd w:color="auto" w:fill="FFFFFF"/>
          </w:tcPr>
          <w:p>
            <w:pPr>
              <w:pStyle w:val="Normal"/>
              <w:tabs>
                <w:tab w:val="clear" w:pos="709"/>
              </w:tabs>
              <w:bidi w:val="0"/>
              <w:spacing w:lineRule="auto" w:line="240" w:before="200" w:after="0"/>
              <w:ind w:hanging="0" w:left="200" w:right="200"/>
              <w:jc w:val="righ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10</w:t>
            </w:r>
          </w:p>
        </w:tc>
        <w:tc>
          <w:tcPr>
            <w:tcW w:w="988" w:type="dxa"/>
            <w:tcBorders>
              <w:bottom w:val="single" w:sz="2" w:space="0" w:color="000000"/>
            </w:tcBorders>
            <w:shd w:color="auto" w:fill="FFFFFF"/>
          </w:tcPr>
          <w:p>
            <w:pPr>
              <w:pStyle w:val="Normal"/>
              <w:tabs>
                <w:tab w:val="clear" w:pos="709"/>
              </w:tabs>
              <w:bidi w:val="0"/>
              <w:spacing w:lineRule="auto" w:line="240" w:before="200" w:after="0"/>
              <w:ind w:hanging="0" w:left="200" w:right="200"/>
              <w:jc w:val="right"/>
              <w:rPr>
                <w:sz w:val="20"/>
                <w:szCs w:val="20"/>
              </w:rPr>
            </w:pPr>
            <w:r>
              <w:rPr>
                <w:sz w:val="20"/>
                <w:szCs w:val="20"/>
              </w:rPr>
            </w:r>
          </w:p>
        </w:tc>
        <w:tc>
          <w:tcPr>
            <w:tcW w:w="750" w:type="dxa"/>
            <w:tcBorders>
              <w:bottom w:val="single" w:sz="2" w:space="0" w:color="000000"/>
            </w:tcBorders>
            <w:shd w:color="auto" w:fill="FFFFFF"/>
          </w:tcPr>
          <w:p>
            <w:pPr>
              <w:pStyle w:val="Normal"/>
              <w:tabs>
                <w:tab w:val="clear" w:pos="709"/>
              </w:tabs>
              <w:bidi w:val="0"/>
              <w:spacing w:lineRule="auto" w:line="240" w:before="200" w:after="0"/>
              <w:ind w:hanging="0" w:left="200" w:right="0"/>
              <w:jc w:val="right"/>
              <w:rPr>
                <w:sz w:val="20"/>
                <w:szCs w:val="20"/>
              </w:rPr>
            </w:pPr>
            <w:r>
              <w:rPr>
                <w:sz w:val="20"/>
                <w:szCs w:val="20"/>
              </w:rPr>
            </w:r>
          </w:p>
        </w:tc>
      </w:tr>
      <w:tr>
        <w:trPr>
          <w:trHeight w:val="360" w:hRule="atLeast"/>
          <w:cantSplit w:val="true"/>
        </w:trPr>
        <w:tc>
          <w:tcPr>
            <w:tcW w:w="9329" w:type="dxa"/>
            <w:gridSpan w:val="8"/>
            <w:tcBorders>
              <w:top w:val="single" w:sz="2" w:space="0" w:color="000000"/>
            </w:tcBorders>
            <w:shd w:color="auto" w:fill="FFFFFF"/>
            <w:vAlign w:val="center"/>
          </w:tcPr>
          <w:p>
            <w:pPr>
              <w:pStyle w:val="Normal"/>
              <w:tabs>
                <w:tab w:val="clear" w:pos="709"/>
              </w:tabs>
              <w:bidi w:val="0"/>
              <w:spacing w:lineRule="auto" w:line="240" w:before="100" w:after="100"/>
              <w:ind w:hanging="0" w:left="100" w:right="100"/>
              <w:jc w:val="left"/>
              <w:rPr>
                <w:sz w:val="16"/>
                <w:szCs w:val="16"/>
              </w:rPr>
            </w:pPr>
            <w:r>
              <w:rPr>
                <w:sz w:val="16"/>
                <w:szCs w:val="16"/>
              </w:rPr>
            </w:r>
          </w:p>
        </w:tc>
      </w:tr>
      <w:tr>
        <w:trPr>
          <w:trHeight w:val="145" w:hRule="atLeast"/>
          <w:cantSplit w:val="true"/>
        </w:trPr>
        <w:tc>
          <w:tcPr>
            <w:tcW w:w="9329" w:type="dxa"/>
            <w:gridSpan w:val="8"/>
            <w:tcBorders/>
            <w:shd w:color="auto" w:fill="FFFFFF"/>
            <w:vAlign w:val="center"/>
          </w:tcPr>
          <w:p>
            <w:pPr>
              <w:pStyle w:val="Normal"/>
              <w:tabs>
                <w:tab w:val="clear" w:pos="709"/>
              </w:tabs>
              <w:bidi w:val="0"/>
              <w:spacing w:lineRule="auto" w:line="240" w:before="100" w:after="100"/>
              <w:ind w:hanging="0" w:left="100" w:right="100"/>
              <w:jc w:val="left"/>
              <w:rPr>
                <w:rFonts w:ascii="Times New Roman" w:hAnsi="Times New Roman" w:eastAsia="Times New Roman" w:cs="Times New Roman"/>
                <w:color w:val="000000"/>
              </w:rPr>
            </w:pPr>
            <w:r>
              <w:rPr>
                <w:rFonts w:eastAsia="Times New Roman" w:cs="Times New Roman" w:ascii="Times New Roman" w:hAnsi="Times New Roman"/>
                <w:color w:val="000000"/>
              </w:rPr>
            </w:r>
            <w:bookmarkStart w:id="9" w:name="table-s1_Copy_1"/>
            <w:bookmarkStart w:id="10" w:name="table-s1"/>
            <w:bookmarkStart w:id="11" w:name="table-s1_Copy_1"/>
            <w:bookmarkStart w:id="12" w:name="table-s1"/>
            <w:bookmarkEnd w:id="11"/>
            <w:bookmarkEnd w:id="12"/>
          </w:p>
        </w:tc>
      </w:tr>
    </w:tbl>
    <w:p>
      <w:pPr>
        <w:pStyle w:val="Heading2"/>
        <w:numPr>
          <w:ilvl w:val="1"/>
          <w:numId w:val="2"/>
        </w:numPr>
        <w:bidi w:val="0"/>
        <w:ind w:hanging="0" w:left="0"/>
        <w:jc w:val="left"/>
        <w:rPr>
          <w:rFonts w:ascii="TeX Gyre Termes" w:hAnsi="TeX Gyre Termes"/>
        </w:rPr>
      </w:pPr>
      <w:r>
        <w:rPr>
          <w:rFonts w:ascii="TeX Gyre Termes" w:hAnsi="TeX Gyre Termes"/>
        </w:rPr>
        <w:t>13.11 Table S2</w:t>
      </w:r>
    </w:p>
    <w:p>
      <w:pPr>
        <w:pStyle w:val="Caption"/>
        <w:keepNext w:val="true"/>
        <w:bidi w:val="0"/>
        <w:spacing w:before="0" w:after="60"/>
        <w:jc w:val="center"/>
        <w:rPr>
          <w:b/>
          <w:bCs/>
        </w:rPr>
      </w:pPr>
      <w:r>
        <w:rPr>
          <w:rFonts w:ascii="TeX Gyre Termes" w:hAnsi="TeX Gyre Termes"/>
          <w:b/>
          <w:bCs/>
          <w:color w:val="333333"/>
          <w:sz w:val="24"/>
        </w:rPr>
        <w:t>Prevalence of phyla in samples per species.</w:t>
      </w:r>
    </w:p>
    <w:tbl>
      <w:tblPr>
        <w:tblW w:w="8280" w:type="dxa"/>
        <w:jc w:val="center"/>
        <w:tblInd w:w="0" w:type="dxa"/>
        <w:tblLayout w:type="fixed"/>
        <w:tblCellMar>
          <w:top w:w="0" w:type="dxa"/>
          <w:left w:w="0" w:type="dxa"/>
          <w:bottom w:w="0" w:type="dxa"/>
          <w:right w:w="0" w:type="dxa"/>
        </w:tblCellMar>
      </w:tblPr>
      <w:tblGrid>
        <w:gridCol w:w="4688"/>
        <w:gridCol w:w="3592"/>
      </w:tblGrid>
      <w:tr>
        <w:trPr>
          <w:cantSplit w:val="true"/>
        </w:trPr>
        <w:tc>
          <w:tcPr>
            <w:tcW w:w="4688" w:type="dxa"/>
            <w:tcBorders>
              <w:top w:val="single" w:sz="6" w:space="0" w:color="000000"/>
              <w:bottom w:val="single" w:sz="6" w:space="0" w:color="000000"/>
            </w:tcBorders>
          </w:tcPr>
          <w:p>
            <w:pPr>
              <w:pStyle w:val="Normal"/>
              <w:keepNext w:val="true"/>
              <w:tabs>
                <w:tab w:val="clear" w:pos="709"/>
              </w:tabs>
              <w:bidi w:val="0"/>
              <w:spacing w:before="0" w:after="60"/>
              <w:jc w:val="left"/>
              <w:rPr>
                <w:rFonts w:ascii="TeX Gyre Termes" w:hAnsi="TeX Gyre Termes"/>
              </w:rPr>
            </w:pPr>
            <w:r>
              <w:rPr>
                <w:rFonts w:ascii="TeX Gyre Termes" w:hAnsi="TeX Gyre Termes"/>
              </w:rPr>
            </w:r>
          </w:p>
        </w:tc>
        <w:tc>
          <w:tcPr>
            <w:tcW w:w="3592" w:type="dxa"/>
            <w:tcBorders>
              <w:top w:val="single" w:sz="6" w:space="0" w:color="000000"/>
              <w:bottom w:val="single" w:sz="6" w:space="0" w:color="000000"/>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b/>
                <w:bCs/>
                <w:sz w:val="20"/>
              </w:rPr>
              <w:t>Occurrence</w:t>
            </w:r>
          </w:p>
        </w:tc>
      </w:tr>
      <w:tr>
        <w:trPr>
          <w:cantSplit w:val="true"/>
        </w:trPr>
        <w:tc>
          <w:tcPr>
            <w:tcW w:w="8280" w:type="dxa"/>
            <w:gridSpan w:val="2"/>
            <w:tcBorders>
              <w:bottom w:val="single" w:sz="4" w:space="0" w:color="000000"/>
            </w:tcBorders>
          </w:tcPr>
          <w:p>
            <w:pPr>
              <w:pStyle w:val="Normal"/>
              <w:keepNext w:val="true"/>
              <w:tabs>
                <w:tab w:val="clear" w:pos="709"/>
              </w:tabs>
              <w:bidi w:val="0"/>
              <w:spacing w:before="0" w:after="60"/>
              <w:jc w:val="left"/>
              <w:rPr>
                <w:rFonts w:ascii="TeX Gyre Termes" w:hAnsi="TeX Gyre Termes"/>
              </w:rPr>
            </w:pPr>
            <w:r>
              <w:rPr>
                <w:rFonts w:ascii="TeX Gyre Termes" w:hAnsi="TeX Gyre Termes"/>
                <w:i/>
                <w:sz w:val="20"/>
              </w:rPr>
              <w:t>M. laciniatus</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Ascomycota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57</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Basidiomycota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62</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Mortierellomycota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Olpidiomycota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w:t>
            </w:r>
          </w:p>
        </w:tc>
      </w:tr>
      <w:tr>
        <w:trPr>
          <w:cantSplit w:val="true"/>
        </w:trPr>
        <w:tc>
          <w:tcPr>
            <w:tcW w:w="8280" w:type="dxa"/>
            <w:gridSpan w:val="2"/>
            <w:tcBorders>
              <w:top w:val="single" w:sz="4" w:space="0" w:color="000000"/>
              <w:bottom w:val="single" w:sz="4" w:space="0" w:color="000000"/>
            </w:tcBorders>
          </w:tcPr>
          <w:p>
            <w:pPr>
              <w:pStyle w:val="Normal"/>
              <w:keepNext w:val="true"/>
              <w:tabs>
                <w:tab w:val="clear" w:pos="709"/>
              </w:tabs>
              <w:bidi w:val="0"/>
              <w:spacing w:before="0" w:after="60"/>
              <w:jc w:val="left"/>
              <w:rPr>
                <w:rFonts w:ascii="TeX Gyre Termes" w:hAnsi="TeX Gyre Termes"/>
              </w:rPr>
            </w:pPr>
            <w:r>
              <w:rPr>
                <w:rFonts w:ascii="TeX Gyre Termes" w:hAnsi="TeX Gyre Termes"/>
                <w:i/>
                <w:sz w:val="20"/>
              </w:rPr>
              <w:t>M. nasutus</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Ascomycota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29</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Basidiomycota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27</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Chytridiomycota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Mortierellomycota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Rozellomycota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w:t>
            </w:r>
          </w:p>
        </w:tc>
      </w:tr>
      <w:tr>
        <w:trPr>
          <w:cantSplit w:val="true"/>
        </w:trPr>
        <w:tc>
          <w:tcPr>
            <w:tcW w:w="8280" w:type="dxa"/>
            <w:gridSpan w:val="2"/>
            <w:tcBorders>
              <w:top w:val="single" w:sz="4" w:space="0" w:color="000000"/>
              <w:bottom w:val="single" w:sz="4" w:space="0" w:color="000000"/>
            </w:tcBorders>
          </w:tcPr>
          <w:p>
            <w:pPr>
              <w:pStyle w:val="Normal"/>
              <w:keepNext w:val="true"/>
              <w:tabs>
                <w:tab w:val="clear" w:pos="709"/>
              </w:tabs>
              <w:bidi w:val="0"/>
              <w:spacing w:before="0" w:after="60"/>
              <w:jc w:val="left"/>
              <w:rPr>
                <w:rFonts w:ascii="TeX Gyre Termes" w:hAnsi="TeX Gyre Termes"/>
              </w:rPr>
            </w:pPr>
            <w:r>
              <w:rPr>
                <w:rFonts w:ascii="TeX Gyre Termes" w:hAnsi="TeX Gyre Termes"/>
                <w:i/>
                <w:sz w:val="20"/>
              </w:rPr>
              <w:t>M. guttatus</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Ascomycota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58</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Basidiomycota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63</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Mortierellomycota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2</w:t>
            </w:r>
          </w:p>
        </w:tc>
      </w:tr>
      <w:tr>
        <w:trPr>
          <w:cantSplit w:val="true"/>
        </w:trPr>
        <w:tc>
          <w:tcPr>
            <w:tcW w:w="4688"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Olpidiomycota</w:t>
            </w:r>
          </w:p>
        </w:tc>
        <w:tc>
          <w:tcPr>
            <w:tcW w:w="3592" w:type="dxa"/>
            <w:tcBorders/>
          </w:tcPr>
          <w:p>
            <w:pPr>
              <w:pStyle w:val="Normal"/>
              <w:keepNext w:val="true"/>
              <w:tabs>
                <w:tab w:val="clear" w:pos="709"/>
              </w:tabs>
              <w:bidi w:val="0"/>
              <w:spacing w:before="0" w:after="60"/>
              <w:jc w:val="right"/>
              <w:rPr>
                <w:rFonts w:ascii="TeX Gyre Termes" w:hAnsi="TeX Gyre Termes"/>
              </w:rPr>
            </w:pPr>
            <w:r>
              <w:rPr>
                <w:rFonts w:ascii="TeX Gyre Termes" w:hAnsi="TeX Gyre Termes"/>
                <w:sz w:val="20"/>
              </w:rPr>
              <w:t>1</w:t>
            </w:r>
          </w:p>
        </w:tc>
      </w:tr>
      <w:tr>
        <w:trPr>
          <w:cantSplit w:val="true"/>
        </w:trPr>
        <w:tc>
          <w:tcPr>
            <w:tcW w:w="8280" w:type="dxa"/>
            <w:gridSpan w:val="2"/>
            <w:tcBorders>
              <w:top w:val="single" w:sz="4" w:space="0" w:color="000000"/>
            </w:tcBorders>
          </w:tcPr>
          <w:p>
            <w:pPr>
              <w:pStyle w:val="Normal"/>
              <w:keepNext w:val="true"/>
              <w:tabs>
                <w:tab w:val="clear" w:pos="709"/>
              </w:tabs>
              <w:bidi w:val="0"/>
              <w:spacing w:before="0" w:after="60"/>
              <w:jc w:val="left"/>
              <w:rPr>
                <w:rFonts w:ascii="TeX Gyre Termes" w:hAnsi="TeX Gyre Termes"/>
              </w:rPr>
            </w:pPr>
            <w:r>
              <w:rPr>
                <w:rFonts w:ascii="TeX Gyre Termes" w:hAnsi="TeX Gyre Termes"/>
                <w:sz w:val="20"/>
              </w:rPr>
              <w:t>Occurrence represents the number of samples where each phylum was detected per species.</w:t>
            </w:r>
          </w:p>
        </w:tc>
      </w:tr>
    </w:tbl>
    <w:p>
      <w:pPr>
        <w:pStyle w:val="Heading2"/>
        <w:numPr>
          <w:ilvl w:val="1"/>
          <w:numId w:val="2"/>
        </w:numPr>
        <w:bidi w:val="0"/>
        <w:ind w:hanging="0" w:left="0"/>
        <w:jc w:val="left"/>
        <w:rPr>
          <w:rFonts w:ascii="TeX Gyre Termes" w:hAnsi="TeX Gyre Termes"/>
        </w:rPr>
      </w:pPr>
      <w:r>
        <w:rPr>
          <w:rFonts w:ascii="TeX Gyre Termes" w:hAnsi="TeX Gyre Termes"/>
        </w:rPr>
        <w:t>13.12 Table S3</w:t>
      </w:r>
    </w:p>
    <w:tbl>
      <w:tblPr>
        <w:tblW w:w="8445" w:type="dxa"/>
        <w:jc w:val="center"/>
        <w:tblInd w:w="0" w:type="dxa"/>
        <w:tblLayout w:type="fixed"/>
        <w:tblCellMar>
          <w:top w:w="0" w:type="dxa"/>
          <w:left w:w="0" w:type="dxa"/>
          <w:bottom w:w="0" w:type="dxa"/>
          <w:right w:w="0" w:type="dxa"/>
        </w:tblCellMar>
      </w:tblPr>
      <w:tblGrid>
        <w:gridCol w:w="2661"/>
        <w:gridCol w:w="1445"/>
        <w:gridCol w:w="1445"/>
        <w:gridCol w:w="1448"/>
        <w:gridCol w:w="1446"/>
      </w:tblGrid>
      <w:tr>
        <w:trPr>
          <w:trHeight w:val="360" w:hRule="atLeast"/>
        </w:trPr>
        <w:tc>
          <w:tcPr>
            <w:tcW w:w="2661" w:type="dxa"/>
            <w:tcBorders>
              <w:top w:val="single" w:sz="12" w:space="0" w:color="000000"/>
              <w:bottom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bCs/>
                <w:i w:val="false"/>
                <w:iCs w:val="false"/>
                <w:color w:val="000000"/>
                <w:sz w:val="22"/>
                <w:szCs w:val="22"/>
                <w:u w:val="none"/>
              </w:rPr>
              <w:t>Term</w:t>
            </w:r>
          </w:p>
        </w:tc>
        <w:tc>
          <w:tcPr>
            <w:tcW w:w="1445" w:type="dxa"/>
            <w:tcBorders>
              <w:top w:val="single" w:sz="12" w:space="0" w:color="000000"/>
              <w:bottom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bCs/>
                <w:i w:val="false"/>
                <w:iCs w:val="false"/>
                <w:color w:val="000000"/>
                <w:sz w:val="22"/>
                <w:szCs w:val="22"/>
                <w:u w:val="none"/>
              </w:rPr>
              <w:t>Df</w:t>
            </w:r>
          </w:p>
        </w:tc>
        <w:tc>
          <w:tcPr>
            <w:tcW w:w="1445" w:type="dxa"/>
            <w:tcBorders>
              <w:top w:val="single" w:sz="12" w:space="0" w:color="000000"/>
              <w:bottom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bCs/>
                <w:i w:val="false"/>
                <w:iCs w:val="false"/>
                <w:color w:val="000000"/>
                <w:sz w:val="22"/>
                <w:szCs w:val="22"/>
                <w:u w:val="none"/>
              </w:rPr>
              <w:t>Sum. of Sqs.</w:t>
            </w:r>
          </w:p>
        </w:tc>
        <w:tc>
          <w:tcPr>
            <w:tcW w:w="1448" w:type="dxa"/>
            <w:tcBorders>
              <w:top w:val="single" w:sz="12" w:space="0" w:color="000000"/>
              <w:bottom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bCs/>
                <w:i w:val="false"/>
                <w:iCs w:val="false"/>
                <w:color w:val="000000"/>
                <w:sz w:val="22"/>
                <w:szCs w:val="22"/>
                <w:u w:val="none"/>
              </w:rPr>
              <w:t>F-value</w:t>
            </w:r>
          </w:p>
        </w:tc>
        <w:tc>
          <w:tcPr>
            <w:tcW w:w="1446" w:type="dxa"/>
            <w:tcBorders>
              <w:top w:val="single" w:sz="12" w:space="0" w:color="000000"/>
              <w:bottom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bCs/>
                <w:i w:val="false"/>
                <w:iCs w:val="false"/>
                <w:color w:val="000000"/>
                <w:sz w:val="22"/>
                <w:szCs w:val="22"/>
                <w:u w:val="none"/>
              </w:rPr>
              <w:t>p-value</w:t>
            </w:r>
          </w:p>
        </w:tc>
      </w:tr>
      <w:tr>
        <w:trPr>
          <w:trHeight w:val="360" w:hRule="atLeast"/>
        </w:trPr>
        <w:tc>
          <w:tcPr>
            <w:tcW w:w="2661" w:type="dxa"/>
            <w:tcBorders>
              <w:top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0"/>
                <w:szCs w:val="20"/>
                <w:u w:val="none"/>
              </w:rPr>
              <w:t>logLBI</w:t>
            </w:r>
          </w:p>
        </w:tc>
        <w:tc>
          <w:tcPr>
            <w:tcW w:w="1445" w:type="dxa"/>
            <w:tcBorders>
              <w:top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1.000</w:t>
            </w:r>
          </w:p>
        </w:tc>
        <w:tc>
          <w:tcPr>
            <w:tcW w:w="1445" w:type="dxa"/>
            <w:tcBorders>
              <w:top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57.693</w:t>
            </w:r>
          </w:p>
        </w:tc>
        <w:tc>
          <w:tcPr>
            <w:tcW w:w="1448" w:type="dxa"/>
            <w:tcBorders>
              <w:top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306.561</w:t>
            </w:r>
          </w:p>
        </w:tc>
        <w:tc>
          <w:tcPr>
            <w:tcW w:w="1446" w:type="dxa"/>
            <w:tcBorders>
              <w:top w:val="single" w:sz="12" w:space="0" w:color="000000"/>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w:t>
            </w:r>
          </w:p>
        </w:tc>
      </w:tr>
      <w:tr>
        <w:trPr>
          <w:trHeight w:val="360" w:hRule="atLeast"/>
        </w:trPr>
        <w:tc>
          <w:tcPr>
            <w:tcW w:w="2661"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0"/>
                <w:szCs w:val="20"/>
                <w:u w:val="none"/>
              </w:rPr>
              <w:t>Elevation_m</w:t>
            </w:r>
          </w:p>
        </w:tc>
        <w:tc>
          <w:tcPr>
            <w:tcW w:w="1445"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1.000</w:t>
            </w:r>
          </w:p>
        </w:tc>
        <w:tc>
          <w:tcPr>
            <w:tcW w:w="1445"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53.745</w:t>
            </w:r>
          </w:p>
        </w:tc>
        <w:tc>
          <w:tcPr>
            <w:tcW w:w="1448"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285.579</w:t>
            </w:r>
          </w:p>
        </w:tc>
        <w:tc>
          <w:tcPr>
            <w:tcW w:w="1446"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w:t>
            </w:r>
          </w:p>
        </w:tc>
      </w:tr>
      <w:tr>
        <w:trPr>
          <w:trHeight w:val="360" w:hRule="atLeast"/>
        </w:trPr>
        <w:tc>
          <w:tcPr>
            <w:tcW w:w="2661"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0"/>
                <w:szCs w:val="20"/>
                <w:u w:val="none"/>
              </w:rPr>
              <w:t>Species</w:t>
            </w:r>
          </w:p>
        </w:tc>
        <w:tc>
          <w:tcPr>
            <w:tcW w:w="1445"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2.000</w:t>
            </w:r>
          </w:p>
        </w:tc>
        <w:tc>
          <w:tcPr>
            <w:tcW w:w="1445"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29.173</w:t>
            </w:r>
          </w:p>
        </w:tc>
        <w:tc>
          <w:tcPr>
            <w:tcW w:w="1448"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77.508</w:t>
            </w:r>
          </w:p>
        </w:tc>
        <w:tc>
          <w:tcPr>
            <w:tcW w:w="1446"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w:t>
            </w:r>
          </w:p>
        </w:tc>
      </w:tr>
      <w:tr>
        <w:trPr>
          <w:trHeight w:val="360" w:hRule="atLeast"/>
        </w:trPr>
        <w:tc>
          <w:tcPr>
            <w:tcW w:w="2661"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0"/>
                <w:szCs w:val="20"/>
                <w:u w:val="none"/>
              </w:rPr>
              <w:t>Elevation_m:Species</w:t>
            </w:r>
          </w:p>
        </w:tc>
        <w:tc>
          <w:tcPr>
            <w:tcW w:w="1445"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2.000</w:t>
            </w:r>
          </w:p>
        </w:tc>
        <w:tc>
          <w:tcPr>
            <w:tcW w:w="1445"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45.614</w:t>
            </w:r>
          </w:p>
        </w:tc>
        <w:tc>
          <w:tcPr>
            <w:tcW w:w="1448"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121.188</w:t>
            </w:r>
          </w:p>
        </w:tc>
        <w:tc>
          <w:tcPr>
            <w:tcW w:w="1446" w:type="dxa"/>
            <w:tcBorders/>
            <w:shd w:color="auto" w:fill="FFFFFF"/>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w:t>
            </w:r>
          </w:p>
        </w:tc>
      </w:tr>
      <w:tr>
        <w:trPr>
          <w:trHeight w:val="360" w:hRule="atLeast"/>
        </w:trPr>
        <w:tc>
          <w:tcPr>
            <w:tcW w:w="2661" w:type="dxa"/>
            <w:tcBorders>
              <w:top w:val="single" w:sz="12" w:space="0" w:color="000000"/>
              <w:bottom w:val="single" w:sz="12" w:space="0" w:color="000000"/>
            </w:tcBorders>
            <w:shd w:color="auto" w:fill="FFFFFF"/>
            <w:tcMar>
              <w:top w:w="55" w:type="dxa"/>
              <w:left w:w="55" w:type="dxa"/>
              <w:bottom w:w="55" w:type="dxa"/>
              <w:right w:w="55" w:type="dxa"/>
            </w:tcMar>
            <w:vAlign w:val="center"/>
          </w:tcPr>
          <w:p>
            <w:pPr>
              <w:pStyle w:val="Normal"/>
              <w:tabs>
                <w:tab w:val="clear" w:pos="709"/>
              </w:tabs>
              <w:bidi w:val="0"/>
              <w:spacing w:lineRule="auto" w:line="240" w:before="100" w:after="100"/>
              <w:ind w:hanging="0" w:left="100" w:right="100"/>
              <w:jc w:val="left"/>
              <w:rPr>
                <w:rFonts w:ascii="TeX Gyre Termes" w:hAnsi="TeX Gyre Termes"/>
              </w:rPr>
            </w:pPr>
            <w:r>
              <w:rPr>
                <w:rFonts w:eastAsia="Tex Gyre Termes" w:cs="Tex Gyre Termes" w:ascii="TeX Gyre Termes" w:hAnsi="TeX Gyre Termes"/>
                <w:b w:val="false"/>
                <w:bCs w:val="false"/>
                <w:i/>
                <w:iCs/>
                <w:color w:val="000000"/>
                <w:sz w:val="22"/>
                <w:szCs w:val="22"/>
                <w:u w:val="none"/>
              </w:rPr>
              <w:t>Residual</w:t>
            </w:r>
          </w:p>
        </w:tc>
        <w:tc>
          <w:tcPr>
            <w:tcW w:w="1445" w:type="dxa"/>
            <w:tcBorders>
              <w:top w:val="single" w:sz="12" w:space="0" w:color="000000"/>
              <w:bottom w:val="single" w:sz="12" w:space="0" w:color="000000"/>
            </w:tcBorders>
            <w:shd w:color="auto" w:fill="FFFFFF"/>
            <w:tcMar>
              <w:top w:w="55" w:type="dxa"/>
              <w:left w:w="55" w:type="dxa"/>
              <w:bottom w:w="55" w:type="dxa"/>
              <w:right w:w="55" w:type="dxa"/>
            </w:tcMar>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3,443.000</w:t>
            </w:r>
          </w:p>
        </w:tc>
        <w:tc>
          <w:tcPr>
            <w:tcW w:w="1445" w:type="dxa"/>
            <w:tcBorders>
              <w:top w:val="single" w:sz="12" w:space="0" w:color="000000"/>
              <w:bottom w:val="single" w:sz="12" w:space="0" w:color="000000"/>
            </w:tcBorders>
            <w:shd w:color="auto" w:fill="FFFFFF"/>
            <w:tcMar>
              <w:top w:w="55" w:type="dxa"/>
              <w:left w:w="55" w:type="dxa"/>
              <w:bottom w:w="55" w:type="dxa"/>
              <w:right w:w="55" w:type="dxa"/>
            </w:tcMar>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eastAsia="Tex Gyre Termes" w:cs="Tex Gyre Termes" w:ascii="TeX Gyre Termes" w:hAnsi="TeX Gyre Termes"/>
                <w:b w:val="false"/>
                <w:bCs w:val="false"/>
                <w:i w:val="false"/>
                <w:iCs w:val="false"/>
                <w:color w:val="000000"/>
                <w:sz w:val="22"/>
                <w:szCs w:val="22"/>
                <w:u w:val="none"/>
              </w:rPr>
              <w:t>647.959</w:t>
            </w:r>
          </w:p>
        </w:tc>
        <w:tc>
          <w:tcPr>
            <w:tcW w:w="1448" w:type="dxa"/>
            <w:tcBorders>
              <w:top w:val="single" w:sz="12" w:space="0" w:color="000000"/>
              <w:bottom w:val="single" w:sz="12" w:space="0" w:color="000000"/>
            </w:tcBorders>
            <w:shd w:color="auto" w:fill="FFFFFF"/>
            <w:tcMar>
              <w:top w:w="55" w:type="dxa"/>
              <w:left w:w="55" w:type="dxa"/>
              <w:bottom w:w="55" w:type="dxa"/>
              <w:right w:w="55" w:type="dxa"/>
            </w:tcMar>
            <w:vAlign w:val="center"/>
          </w:tcPr>
          <w:p>
            <w:pPr>
              <w:pStyle w:val="Normal"/>
              <w:tabs>
                <w:tab w:val="clear" w:pos="709"/>
              </w:tabs>
              <w:bidi w:val="0"/>
              <w:spacing w:lineRule="auto" w:line="240" w:before="100" w:after="100"/>
              <w:ind w:hanging="0" w:left="100" w:right="100"/>
              <w:jc w:val="right"/>
              <w:rPr>
                <w:rFonts w:ascii="TeX Gyre Termes" w:hAnsi="TeX Gyre Termes"/>
              </w:rPr>
            </w:pPr>
            <w:r>
              <w:rPr>
                <w:rFonts w:ascii="TeX Gyre Termes" w:hAnsi="TeX Gyre Termes"/>
              </w:rPr>
            </w:r>
          </w:p>
        </w:tc>
        <w:tc>
          <w:tcPr>
            <w:tcW w:w="1446" w:type="dxa"/>
            <w:tcBorders>
              <w:top w:val="single" w:sz="12" w:space="0" w:color="000000"/>
              <w:bottom w:val="single" w:sz="12" w:space="0" w:color="000000"/>
            </w:tcBorders>
            <w:shd w:color="auto" w:fill="FFFFFF"/>
            <w:tcMar>
              <w:top w:w="55" w:type="dxa"/>
              <w:left w:w="55" w:type="dxa"/>
              <w:bottom w:w="55" w:type="dxa"/>
              <w:right w:w="55" w:type="dxa"/>
            </w:tcMar>
            <w:vAlign w:val="center"/>
          </w:tcPr>
          <w:p>
            <w:pPr>
              <w:pStyle w:val="Normal"/>
              <w:tabs>
                <w:tab w:val="clear" w:pos="709"/>
              </w:tabs>
              <w:bidi w:val="0"/>
              <w:spacing w:lineRule="auto" w:line="240" w:before="100" w:after="100"/>
              <w:ind w:hanging="0" w:left="100" w:right="100"/>
              <w:jc w:val="left"/>
              <w:rPr>
                <w:rFonts w:ascii="TeX Gyre Termes" w:hAnsi="TeX Gyre Termes"/>
              </w:rPr>
            </w:pPr>
            <w:r>
              <w:rPr>
                <w:rFonts w:ascii="TeX Gyre Termes" w:hAnsi="TeX Gyre Termes"/>
              </w:rPr>
            </w:r>
          </w:p>
        </w:tc>
      </w:tr>
      <w:tr>
        <w:trPr>
          <w:trHeight w:val="360" w:hRule="atLeast"/>
        </w:trPr>
        <w:tc>
          <w:tcPr>
            <w:tcW w:w="8445" w:type="dxa"/>
            <w:gridSpan w:val="5"/>
            <w:tcBorders>
              <w:top w:val="single" w:sz="12" w:space="0" w:color="000000"/>
            </w:tcBorders>
            <w:shd w:color="auto" w:fill="FFFFFF"/>
            <w:vAlign w:val="center"/>
          </w:tcPr>
          <w:p>
            <w:pPr>
              <w:pStyle w:val="Normal"/>
              <w:tabs>
                <w:tab w:val="clear" w:pos="709"/>
              </w:tabs>
              <w:bidi w:val="0"/>
              <w:spacing w:lineRule="auto" w:line="240" w:before="100" w:after="100"/>
              <w:ind w:hanging="0" w:left="100" w:right="100"/>
              <w:jc w:val="left"/>
              <w:rPr>
                <w:rFonts w:ascii="TeX Gyre Termes" w:hAnsi="TeX Gyre Termes"/>
              </w:rPr>
            </w:pPr>
            <w:r>
              <w:rPr>
                <w:rFonts w:eastAsia="DejaVu Sans" w:cs="DejaVu Sans" w:ascii="TeX Gyre Termes" w:hAnsi="TeX Gyre Termes"/>
                <w:b w:val="false"/>
                <w:bCs w:val="false"/>
                <w:i w:val="false"/>
                <w:iCs w:val="false"/>
                <w:color w:val="000000"/>
                <w:sz w:val="20"/>
                <w:szCs w:val="20"/>
                <w:u w:val="none"/>
              </w:rPr>
              <w:t>Significance levels are represented by ns (not significant) and asterisks [p &lt; .05 (*), p &lt; .01 (**), p &lt; .001 (***), and p &lt; .0001 (****)].</w:t>
            </w:r>
          </w:p>
        </w:tc>
      </w:tr>
    </w:tbl>
    <w:p>
      <w:pPr>
        <w:pStyle w:val="Heading2"/>
        <w:numPr>
          <w:ilvl w:val="1"/>
          <w:numId w:val="2"/>
        </w:numPr>
        <w:bidi w:val="0"/>
        <w:ind w:hanging="0" w:left="0"/>
        <w:jc w:val="left"/>
        <w:rPr>
          <w:rFonts w:ascii="TeX Gyre Termes" w:hAnsi="TeX Gyre Termes"/>
        </w:rPr>
      </w:pPr>
      <w:r>
        <w:rPr>
          <w:rFonts w:ascii="TeX Gyre Termes" w:hAnsi="TeX Gyre Termes"/>
        </w:rPr>
        <w:t>13.13 Supplementary methods</w:t>
      </w:r>
    </w:p>
    <w:p>
      <w:pPr>
        <w:pStyle w:val="Heading3"/>
        <w:numPr>
          <w:ilvl w:val="2"/>
          <w:numId w:val="2"/>
        </w:numPr>
        <w:bidi w:val="0"/>
        <w:ind w:hanging="0" w:left="0"/>
        <w:jc w:val="left"/>
        <w:rPr>
          <w:rFonts w:ascii="TeX Gyre Termes" w:hAnsi="TeX Gyre Termes"/>
        </w:rPr>
      </w:pPr>
      <w:r>
        <w:rPr>
          <w:rFonts w:ascii="TeX Gyre Termes" w:hAnsi="TeX Gyre Termes"/>
        </w:rPr>
        <w:t>13.13.1 Illumina TruSeq adapters</w:t>
      </w:r>
    </w:p>
    <w:p>
      <w:pPr>
        <w:pStyle w:val="FirstParagraph"/>
        <w:bidi w:val="0"/>
        <w:spacing w:lineRule="auto" w:line="480"/>
        <w:jc w:val="left"/>
        <w:rPr>
          <w:rFonts w:ascii="TeX Gyre Termes" w:hAnsi="TeX Gyre Termes"/>
        </w:rPr>
      </w:pPr>
      <w:r>
        <w:rPr/>
        <w:t>The modified primers for the first PCR (adapter ligation and ITS1 amplification) were as follows: 5’-CAC TCT TTC CCT ACA CGA CGC TCT TCC GAT CTC TTG GTC ATT TAG AGG AAG TAA-3’ (forward) and 5’-GTG ACT GGA GTT CAG ACG TGT GCT CTT CCG ATC TGC TGC GTT CTT CAT CGA TGC-3’ (reverse). See (Gardes and Bruns, 1993) and (White, T. J. et al., 1990) for more details.</w:t>
      </w:r>
    </w:p>
    <w:p>
      <w:pPr>
        <w:pStyle w:val="Heading2"/>
        <w:numPr>
          <w:ilvl w:val="1"/>
          <w:numId w:val="2"/>
        </w:numPr>
        <w:bidi w:val="0"/>
        <w:ind w:hanging="0" w:left="0"/>
        <w:jc w:val="left"/>
        <w:rPr>
          <w:rFonts w:ascii="TeX Gyre Termes" w:hAnsi="TeX Gyre Termes"/>
        </w:rPr>
      </w:pPr>
      <w:bookmarkStart w:id="13" w:name="illumina-truseq-adapters"/>
      <w:bookmarkEnd w:id="13"/>
      <w:r>
        <w:rPr>
          <w:rFonts w:ascii="TeX Gyre Termes" w:hAnsi="TeX Gyre Termes"/>
        </w:rPr>
        <w:t>Supplementary Literature Cited</w:t>
      </w:r>
    </w:p>
    <w:p>
      <w:pPr>
        <w:pStyle w:val="Bibliography"/>
        <w:bidi w:val="0"/>
        <w:spacing w:before="0" w:after="0"/>
        <w:jc w:val="left"/>
        <w:rPr/>
      </w:pPr>
      <w:bookmarkStart w:id="14" w:name="ref-gardes1993_Copy_1"/>
      <w:bookmarkEnd w:id="14"/>
      <w:r>
        <w:rPr/>
        <w:t xml:space="preserve">Gardes, M., and T. D. Bruns. 1993. </w:t>
      </w:r>
      <w:hyperlink r:id="rId12">
        <w:r>
          <w:rPr>
            <w:rStyle w:val="Hyperlink"/>
            <w:color w:val="4F81BD"/>
          </w:rPr>
          <w:t>ITS primers with enhanced specificity for basidiomycetes ‐ application to the identification of mycorrhizae and rusts</w:t>
        </w:r>
      </w:hyperlink>
      <w:r>
        <w:rPr/>
        <w:t xml:space="preserve">. </w:t>
      </w:r>
      <w:r>
        <w:rPr>
          <w:i/>
          <w:iCs/>
        </w:rPr>
        <w:t>Molecular Ecology</w:t>
      </w:r>
      <w:r>
        <w:rPr/>
        <w:t xml:space="preserve"> 2: 113–118.</w:t>
      </w:r>
    </w:p>
    <w:p>
      <w:pPr>
        <w:pStyle w:val="Bibliography"/>
        <w:bidi w:val="0"/>
        <w:spacing w:before="0" w:after="200"/>
        <w:jc w:val="left"/>
        <w:rPr>
          <w:rFonts w:ascii="TeX Gyre Termes" w:hAnsi="TeX Gyre Termes"/>
        </w:rPr>
      </w:pPr>
      <w:bookmarkStart w:id="15" w:name="ref-white1990_inbook_Copy_1"/>
      <w:bookmarkStart w:id="16" w:name="ref-gardes1993_Copy_1_Copy_1"/>
      <w:bookmarkStart w:id="17" w:name="illumina-truseq-adapters_Copy_1"/>
      <w:bookmarkStart w:id="18" w:name="table-s1_Copy_1_Copy_1"/>
      <w:bookmarkStart w:id="19" w:name="table-s1_Copy_1"/>
      <w:bookmarkStart w:id="20" w:name="figure-s9_Copy_1"/>
      <w:bookmarkStart w:id="21" w:name="figure-s8_Copy_1"/>
      <w:bookmarkStart w:id="22" w:name="figure-s7_Copy_1"/>
      <w:bookmarkStart w:id="23" w:name="figure-s6_Copy_1"/>
      <w:bookmarkStart w:id="24" w:name="figure-s5_Copy_1"/>
      <w:bookmarkStart w:id="25" w:name="figure-s4_Copy_1"/>
      <w:bookmarkStart w:id="26" w:name="figure-s3_Copy_1"/>
      <w:bookmarkStart w:id="27" w:name="figure-s2_Copy_1"/>
      <w:bookmarkStart w:id="28" w:name="figure-s1_Copy_1"/>
      <w:bookmarkEnd w:id="15"/>
      <w:bookmarkEnd w:id="16"/>
      <w:bookmarkEnd w:id="17"/>
      <w:bookmarkEnd w:id="18"/>
      <w:bookmarkEnd w:id="19"/>
      <w:bookmarkEnd w:id="20"/>
      <w:bookmarkEnd w:id="21"/>
      <w:bookmarkEnd w:id="22"/>
      <w:bookmarkEnd w:id="23"/>
      <w:bookmarkEnd w:id="24"/>
      <w:bookmarkEnd w:id="25"/>
      <w:bookmarkEnd w:id="26"/>
      <w:bookmarkEnd w:id="27"/>
      <w:bookmarkEnd w:id="28"/>
      <w:r>
        <w:rPr/>
        <w:t>White, T. J., Bruns, T.D., S. B. Lee, and J. W. Taylor. 1990. Amplification and direct sequencing of fungal ribosomal RNA genes for phylogenetics. 315–322.</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nsolas">
    <w:charset w:val="01"/>
    <w:family w:val="roman"/>
    <w:pitch w:val="variable"/>
  </w:font>
  <w:font w:name="Liberation Sans">
    <w:altName w:val="Arial"/>
    <w:charset w:val="01"/>
    <w:family w:val="swiss"/>
    <w:pitch w:val="variable"/>
  </w:font>
  <w:font w:name="TeX Gyre Termes">
    <w:charset w:val="01"/>
    <w:family w:val="roman"/>
    <w:pitch w:val="variable"/>
  </w:font>
  <w:font w:name="Cambria">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urce Han Serif SC" w:cs="FreeSans"/>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NormalTok">
    <w:name w:val="NormalTok"/>
    <w:qFormat/>
    <w:rPr>
      <w:color w:val="003B4F"/>
      <w:shd w:fill="F1F3F5" w:val="clear"/>
    </w:rPr>
  </w:style>
  <w:style w:type="character" w:styleId="ErrorTok">
    <w:name w:val="ErrorTok"/>
    <w:qFormat/>
    <w:rPr>
      <w:color w:val="AD0000"/>
      <w:shd w:fill="F1F3F5" w:val="clear"/>
    </w:rPr>
  </w:style>
  <w:style w:type="character" w:styleId="AlertTok">
    <w:name w:val="AlertTok"/>
    <w:qFormat/>
    <w:rPr>
      <w:color w:val="AD0000"/>
      <w:shd w:fill="F1F3F5" w:val="clear"/>
    </w:rPr>
  </w:style>
  <w:style w:type="character" w:styleId="WarningTok">
    <w:name w:val="WarningTok"/>
    <w:qFormat/>
    <w:rPr>
      <w:i/>
      <w:color w:val="5E5E5E"/>
      <w:shd w:fill="F1F3F5" w:val="clear"/>
    </w:rPr>
  </w:style>
  <w:style w:type="character" w:styleId="InformationTok">
    <w:name w:val="InformationTok"/>
    <w:qFormat/>
    <w:rPr>
      <w:color w:val="5E5E5E"/>
      <w:shd w:fill="F1F3F5" w:val="clear"/>
    </w:rPr>
  </w:style>
  <w:style w:type="character" w:styleId="RegionMarkerTok">
    <w:name w:val="RegionMarkerTok"/>
    <w:qFormat/>
    <w:rPr>
      <w:color w:val="003B4F"/>
      <w:shd w:fill="F1F3F5" w:val="clear"/>
    </w:rPr>
  </w:style>
  <w:style w:type="character" w:styleId="AttributeTok">
    <w:name w:val="AttributeTok"/>
    <w:qFormat/>
    <w:rPr>
      <w:color w:val="657422"/>
      <w:shd w:fill="F1F3F5" w:val="clear"/>
    </w:rPr>
  </w:style>
  <w:style w:type="character" w:styleId="PreprocessorTok">
    <w:name w:val="PreprocessorTok"/>
    <w:qFormat/>
    <w:rPr>
      <w:color w:val="AD0000"/>
      <w:shd w:fill="F1F3F5" w:val="clear"/>
    </w:rPr>
  </w:style>
  <w:style w:type="character" w:styleId="ExtensionTok">
    <w:name w:val="ExtensionTok"/>
    <w:qFormat/>
    <w:rPr>
      <w:color w:val="003B4F"/>
      <w:shd w:fill="F1F3F5" w:val="clear"/>
    </w:rPr>
  </w:style>
  <w:style w:type="character" w:styleId="BuiltInTok">
    <w:name w:val="BuiltInTok"/>
    <w:qFormat/>
    <w:rPr>
      <w:color w:val="003B4F"/>
      <w:shd w:fill="F1F3F5" w:val="clear"/>
    </w:rPr>
  </w:style>
  <w:style w:type="character" w:styleId="OperatorTok">
    <w:name w:val="OperatorTok"/>
    <w:qFormat/>
    <w:rPr>
      <w:color w:val="5E5E5E"/>
      <w:shd w:fill="F1F3F5" w:val="clear"/>
    </w:rPr>
  </w:style>
  <w:style w:type="character" w:styleId="ControlFlowTok">
    <w:name w:val="ControlFlowTok"/>
    <w:qFormat/>
    <w:rPr>
      <w:b/>
      <w:color w:val="003B4F"/>
      <w:shd w:fill="F1F3F5" w:val="clear"/>
    </w:rPr>
  </w:style>
  <w:style w:type="character" w:styleId="VariableTok">
    <w:name w:val="VariableTok"/>
    <w:qFormat/>
    <w:rPr>
      <w:color w:val="111111"/>
      <w:shd w:fill="F1F3F5" w:val="clear"/>
    </w:rPr>
  </w:style>
  <w:style w:type="character" w:styleId="FunctionTok">
    <w:name w:val="FunctionTok"/>
    <w:qFormat/>
    <w:rPr>
      <w:color w:val="4758AB"/>
      <w:shd w:fill="F1F3F5" w:val="clear"/>
    </w:rPr>
  </w:style>
  <w:style w:type="character" w:styleId="OtherTok">
    <w:name w:val="OtherTok"/>
    <w:qFormat/>
    <w:rPr>
      <w:color w:val="003B4F"/>
      <w:shd w:fill="F1F3F5" w:val="clear"/>
    </w:rPr>
  </w:style>
  <w:style w:type="character" w:styleId="CommentVarTok">
    <w:name w:val="CommentVarTok"/>
    <w:qFormat/>
    <w:rPr>
      <w:i/>
      <w:color w:val="5E5E5E"/>
      <w:shd w:fill="F1F3F5" w:val="clear"/>
    </w:rPr>
  </w:style>
  <w:style w:type="character" w:styleId="AnnotationTok">
    <w:name w:val="AnnotationTok"/>
    <w:qFormat/>
    <w:rPr>
      <w:color w:val="5E5E5E"/>
      <w:shd w:fill="F1F3F5" w:val="clear"/>
    </w:rPr>
  </w:style>
  <w:style w:type="character" w:styleId="DocumentationTok">
    <w:name w:val="DocumentationTok"/>
    <w:qFormat/>
    <w:rPr>
      <w:i/>
      <w:color w:val="5E5E5E"/>
      <w:shd w:fill="F1F3F5" w:val="clear"/>
    </w:rPr>
  </w:style>
  <w:style w:type="character" w:styleId="CommentTok">
    <w:name w:val="CommentTok"/>
    <w:qFormat/>
    <w:rPr>
      <w:color w:val="5E5E5E"/>
      <w:shd w:fill="F1F3F5" w:val="clear"/>
    </w:rPr>
  </w:style>
  <w:style w:type="character" w:styleId="ImportTok">
    <w:name w:val="ImportTok"/>
    <w:qFormat/>
    <w:rPr>
      <w:color w:val="00769E"/>
      <w:shd w:fill="F1F3F5" w:val="clear"/>
    </w:rPr>
  </w:style>
  <w:style w:type="character" w:styleId="SpecialStringTok">
    <w:name w:val="SpecialStringTok"/>
    <w:qFormat/>
    <w:rPr>
      <w:color w:val="20794D"/>
      <w:shd w:fill="F1F3F5" w:val="clear"/>
    </w:rPr>
  </w:style>
  <w:style w:type="character" w:styleId="VerbatimStringTok">
    <w:name w:val="VerbatimStringTok"/>
    <w:qFormat/>
    <w:rPr>
      <w:color w:val="20794D"/>
      <w:shd w:fill="F1F3F5" w:val="clear"/>
    </w:rPr>
  </w:style>
  <w:style w:type="character" w:styleId="StringTok">
    <w:name w:val="StringTok"/>
    <w:qFormat/>
    <w:rPr>
      <w:color w:val="20794D"/>
      <w:shd w:fill="F1F3F5" w:val="clear"/>
    </w:rPr>
  </w:style>
  <w:style w:type="character" w:styleId="SpecialCharTok">
    <w:name w:val="SpecialCharTok"/>
    <w:qFormat/>
    <w:rPr>
      <w:color w:val="5E5E5E"/>
      <w:shd w:fill="F1F3F5" w:val="clear"/>
    </w:rPr>
  </w:style>
  <w:style w:type="character" w:styleId="CharTok">
    <w:name w:val="CharTok"/>
    <w:qFormat/>
    <w:rPr>
      <w:color w:val="20794D"/>
      <w:shd w:fill="F1F3F5" w:val="clear"/>
    </w:rPr>
  </w:style>
  <w:style w:type="character" w:styleId="ConstantTok">
    <w:name w:val="ConstantTok"/>
    <w:qFormat/>
    <w:rPr>
      <w:color w:val="8F5902"/>
      <w:shd w:fill="F1F3F5" w:val="clear"/>
    </w:rPr>
  </w:style>
  <w:style w:type="character" w:styleId="FloatTok">
    <w:name w:val="FloatTok"/>
    <w:qFormat/>
    <w:rPr>
      <w:color w:val="AD0000"/>
      <w:shd w:fill="F1F3F5" w:val="clear"/>
    </w:rPr>
  </w:style>
  <w:style w:type="character" w:styleId="BaseNTok">
    <w:name w:val="BaseNTok"/>
    <w:qFormat/>
    <w:rPr>
      <w:color w:val="AD0000"/>
      <w:shd w:fill="F1F3F5" w:val="clear"/>
    </w:rPr>
  </w:style>
  <w:style w:type="character" w:styleId="DecValTok">
    <w:name w:val="DecValTok"/>
    <w:qFormat/>
    <w:rPr>
      <w:color w:val="AD0000"/>
      <w:shd w:fill="F1F3F5" w:val="clear"/>
    </w:rPr>
  </w:style>
  <w:style w:type="character" w:styleId="DataTypeTok">
    <w:name w:val="DataTypeTok"/>
    <w:qFormat/>
    <w:rPr>
      <w:color w:val="AD0000"/>
      <w:shd w:fill="F1F3F5" w:val="clear"/>
    </w:rPr>
  </w:style>
  <w:style w:type="character" w:styleId="KeywordTok">
    <w:name w:val="KeywordTok"/>
    <w:qFormat/>
    <w:rPr>
      <w:b/>
      <w:color w:val="003B4F"/>
      <w:shd w:fill="F1F3F5" w:val="clear"/>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SectionNumber">
    <w:name w:val="Section Number"/>
    <w:qFormat/>
    <w:rPr/>
  </w:style>
  <w:style w:type="character" w:styleId="VerbatimChar">
    <w:name w:val="Verbatim Char"/>
    <w:qFormat/>
    <w:rPr>
      <w:rFonts w:ascii="Consolas" w:hAnsi="Consolas"/>
      <w:sz w:val="22"/>
    </w:rPr>
  </w:style>
  <w:style w:type="character" w:styleId="BodyTextChar">
    <w:name w:val="Body Text Char"/>
    <w:qFormat/>
    <w:rPr/>
  </w:style>
  <w:style w:type="character" w:styleId="DefaultParagraphFont">
    <w:name w:val="Default Paragraph Font"/>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aptionedFigure">
    <w:name w:val="Captioned Figure"/>
    <w:qFormat/>
    <w:pPr>
      <w:keepNext w:val="true"/>
      <w:widowControl/>
      <w:suppressAutoHyphens w:val="true"/>
      <w:bidi w:val="0"/>
      <w:spacing w:before="0" w:after="0"/>
      <w:jc w:val="left"/>
    </w:pPr>
    <w:rPr>
      <w:rFonts w:ascii="Liberation Serif" w:hAnsi="Liberation Serif" w:eastAsia="Source Han Serif SC" w:cs="FreeSans"/>
      <w:color w:val="auto"/>
      <w:kern w:val="2"/>
      <w:sz w:val="24"/>
      <w:szCs w:val="24"/>
      <w:lang w:val="en-US" w:eastAsia="zh-CN" w:bidi="hi-IN"/>
    </w:rPr>
  </w:style>
  <w:style w:type="paragraph" w:styleId="ImageCaption">
    <w:name w:val="Image Caption"/>
    <w:qFormat/>
    <w:pPr>
      <w:widowControl/>
      <w:suppressAutoHyphens w:val="true"/>
      <w:bidi w:val="0"/>
      <w:spacing w:before="0" w:after="0"/>
      <w:jc w:val="left"/>
    </w:pPr>
    <w:rPr>
      <w:rFonts w:ascii="Liberation Serif" w:hAnsi="Liberation Serif" w:eastAsia="Source Han Serif SC" w:cs="FreeSans"/>
      <w:color w:val="auto"/>
      <w:kern w:val="2"/>
      <w:sz w:val="24"/>
      <w:szCs w:val="24"/>
      <w:lang w:val="en-US" w:eastAsia="zh-CN" w:bidi="hi-IN"/>
    </w:rPr>
  </w:style>
  <w:style w:type="paragraph" w:styleId="Bibliography">
    <w:name w:val="Bibliography"/>
    <w:basedOn w:val="Normal"/>
    <w:qFormat/>
    <w:pPr>
      <w:spacing w:before="0" w:after="0"/>
    </w:pPr>
    <w:rPr>
      <w:rFonts w:ascii="TeX Gyre Termes" w:hAnsi="TeX Gyre Termes"/>
    </w:rPr>
  </w:style>
  <w:style w:type="paragraph" w:styleId="FirstParagraph">
    <w:name w:val="First Paragraph"/>
    <w:qFormat/>
    <w:pPr>
      <w:widowControl/>
      <w:suppressAutoHyphens w:val="true"/>
      <w:bidi w:val="0"/>
      <w:spacing w:lineRule="auto" w:line="480" w:before="0" w:after="0"/>
      <w:jc w:val="left"/>
    </w:pPr>
    <w:rPr>
      <w:rFonts w:ascii="TeX Gyre Termes" w:hAnsi="TeX Gyre Termes" w:eastAsia="Source Han Serif SC" w:cs="FreeSans"/>
      <w:color w:val="auto"/>
      <w:kern w:val="2"/>
      <w:sz w:val="24"/>
      <w:szCs w:val="24"/>
      <w:lang w:val="en-US" w:eastAsia="zh-CN" w:bidi="hi-IN"/>
    </w:rPr>
  </w:style>
  <w:style w:type="paragraph" w:styleId="Title">
    <w:name w:val="Title"/>
    <w:basedOn w:val="Normal"/>
    <w:next w:val="BodyText"/>
    <w:qFormat/>
    <w:pPr>
      <w:keepNext w:val="true"/>
      <w:keepLines/>
      <w:spacing w:before="480" w:after="240"/>
      <w:jc w:val="left"/>
    </w:pPr>
    <w:rPr>
      <w:rFonts w:ascii="TeX Gyre Termes" w:hAnsi="TeX Gyre Termes" w:eastAsia="" w:cs="" w:cstheme="majorBidi" w:eastAsiaTheme="majorEastAsia"/>
      <w:b/>
      <w:bCs/>
      <w:color w:val="000000"/>
      <w:sz w:val="36"/>
      <w:szCs w:val="36"/>
    </w:rPr>
  </w:style>
  <w:style w:type="paragraph" w:styleId="Author">
    <w:name w:val="Author"/>
    <w:next w:val="BodyText"/>
    <w:qFormat/>
    <w:pPr>
      <w:keepNext w:val="true"/>
      <w:keepLines/>
      <w:widowControl/>
      <w:suppressAutoHyphens w:val="true"/>
      <w:bidi w:val="0"/>
      <w:spacing w:before="0" w:after="200"/>
      <w:jc w:val="left"/>
    </w:pPr>
    <w:rPr>
      <w:rFonts w:ascii="TeX Gyre Termes" w:hAnsi="TeX Gyre Termes" w:eastAsia="Cambria" w:cs="" w:cstheme="minorBidi" w:eastAsia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left"/>
    </w:pPr>
    <w:rPr>
      <w:rFonts w:ascii="TeX Gyre Termes" w:hAnsi="TeX Gyre Termes" w:eastAsia="Cambria" w:cs="" w:cstheme="minorBidi" w:eastAsiaTheme="minorHAnsi"/>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olivar@iastate.edu"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hyperlink" Target="https://doi.org/10.1111/j.1365-294X.1993.tb00005.x"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LibreOffice/25.8.3.2$Linux_X86_64 LibreOffice_project/580$Build-2</Application>
  <AppVersion>15.0000</AppVersion>
  <Pages>14</Pages>
  <Words>1321</Words>
  <Characters>6786</Characters>
  <CharactersWithSpaces>7856</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2026-01-18T16:20:26Z</dcterms:created>
  <dc:creator>Bolívar Aponte Rolón</dc:creator>
  <dc:description/>
  <dc:language>en-US</dc:language>
  <cp:lastModifiedBy>Bolívar Aponte Rolón</cp:lastModifiedBy>
  <cp:lastPrinted>2026-01-18T16:26:08Z</cp:lastPrinted>
  <dcterms:modified xsi:type="dcterms:W3CDTF">2026-01-18T16:33:25Z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references.yaml</vt:lpwstr>
  </property>
  <property fmtid="{D5CDD505-2E9C-101B-9397-08002B2CF9AE}" pid="5" name="by-affiliation">
    <vt:lpwstr/>
  </property>
  <property fmtid="{D5CDD505-2E9C-101B-9397-08002B2CF9AE}" pid="6" name="by-author">
    <vt:lpwstr/>
  </property>
  <property fmtid="{D5CDD505-2E9C-101B-9397-08002B2CF9AE}" pid="7" name="citation-package">
    <vt:lpwstr>biblatex</vt:lpwstr>
  </property>
  <property fmtid="{D5CDD505-2E9C-101B-9397-08002B2CF9AE}" pid="8" name="crossref">
    <vt:lpwstr/>
  </property>
  <property fmtid="{D5CDD505-2E9C-101B-9397-08002B2CF9AE}" pid="9" name="csl">
    <vt:lpwstr>american-journal-of-botany.csl</vt:lpwstr>
  </property>
  <property fmtid="{D5CDD505-2E9C-101B-9397-08002B2CF9AE}" pid="10" name="date">
    <vt:lpwstr>January 18, 2026</vt:lpwstr>
  </property>
  <property fmtid="{D5CDD505-2E9C-101B-9397-08002B2CF9AE}" pid="11" name="date-format">
    <vt:lpwstr>MMMM D, YYYY</vt:lpwstr>
  </property>
  <property fmtid="{D5CDD505-2E9C-101B-9397-08002B2CF9AE}" pid="12" name="editor">
    <vt:lpwstr>source</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title">
    <vt:lpwstr>Table of contents</vt:lpwstr>
  </property>
</Properties>
</file>