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TableCaption"/>
        <w:keepNext w:val="true"/>
        <w:pBdr/>
        <w:spacing w:lineRule="exact" w:line="240" w:before="60" w:after="60"/>
        <w:ind w:hanging="0" w:left="60" w:right="60"/>
        <w:jc w:val="center"/>
        <w:rPr/>
      </w:pPr>
      <w:r>
        <w:rPr/>
        <w:t>Generalized linear mixed models (GLMMs) for predicting mean Bray-Curtis dissimilarity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055"/>
        <w:gridCol w:w="1056"/>
        <w:gridCol w:w="1056"/>
        <w:gridCol w:w="1056"/>
        <w:gridCol w:w="1057"/>
        <w:gridCol w:w="1056"/>
        <w:gridCol w:w="1056"/>
        <w:gridCol w:w="1056"/>
        <w:gridCol w:w="1055"/>
      </w:tblGrid>
      <w:tr>
        <w:trPr>
          <w:trHeight w:val="360" w:hRule="atLeast"/>
        </w:trPr>
        <w:tc>
          <w:tcPr>
            <w:tcW w:w="1055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200"/>
              <w:ind w:hanging="0" w:left="0" w:right="200"/>
              <w:jc w:val="center"/>
              <w:rPr/>
            </w:pPr>
            <w:r>
              <w:rPr/>
            </w:r>
          </w:p>
        </w:tc>
        <w:tc>
          <w:tcPr>
            <w:tcW w:w="2112" w:type="dxa"/>
            <w:gridSpan w:val="2"/>
            <w:tcBorders>
              <w:top w:val="single" w:sz="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Model 1</w:t>
            </w:r>
          </w:p>
        </w:tc>
        <w:tc>
          <w:tcPr>
            <w:tcW w:w="2113" w:type="dxa"/>
            <w:gridSpan w:val="2"/>
            <w:tcBorders>
              <w:top w:val="single" w:sz="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Model 2</w:t>
            </w:r>
          </w:p>
        </w:tc>
        <w:tc>
          <w:tcPr>
            <w:tcW w:w="2112" w:type="dxa"/>
            <w:gridSpan w:val="2"/>
            <w:tcBorders>
              <w:top w:val="single" w:sz="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Model 3</w:t>
            </w:r>
          </w:p>
        </w:tc>
        <w:tc>
          <w:tcPr>
            <w:tcW w:w="2111" w:type="dxa"/>
            <w:gridSpan w:val="2"/>
            <w:tcBorders>
              <w:top w:val="single" w:sz="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Model 4</w:t>
            </w:r>
          </w:p>
        </w:tc>
      </w:tr>
      <w:tr>
        <w:trPr>
          <w:trHeight w:val="360" w:hRule="atLeast"/>
        </w:trPr>
        <w:tc>
          <w:tcPr>
            <w:tcW w:w="1055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57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056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055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055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05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0.589 ***</w:t>
            </w:r>
          </w:p>
        </w:tc>
        <w:tc>
          <w:tcPr>
            <w:tcW w:w="105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(0.487 - 0.691 ) [11.345]</w:t>
            </w:r>
          </w:p>
        </w:tc>
        <w:tc>
          <w:tcPr>
            <w:tcW w:w="105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0.833 ***</w:t>
            </w:r>
          </w:p>
        </w:tc>
        <w:tc>
          <w:tcPr>
            <w:tcW w:w="1057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(0.752 - 0.915 ) [20.113]</w:t>
            </w:r>
          </w:p>
        </w:tc>
        <w:tc>
          <w:tcPr>
            <w:tcW w:w="105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0.784 ***</w:t>
            </w:r>
          </w:p>
        </w:tc>
        <w:tc>
          <w:tcPr>
            <w:tcW w:w="105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(0.744 - 0.825 ) [38.057]</w:t>
            </w:r>
          </w:p>
        </w:tc>
        <w:tc>
          <w:tcPr>
            <w:tcW w:w="105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0.860 ***</w:t>
            </w:r>
          </w:p>
        </w:tc>
        <w:tc>
          <w:tcPr>
            <w:tcW w:w="1055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(0.825 - 0.895 ) [48.650]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M. nasutus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-0.014 **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(-0.023 - -0.005 ) [-2.933]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0.016 ***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(0.008 - 0.025 ) [3.725]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0.017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(0.008 - 0.025 ) [3.915]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M. guttatus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0.017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(0.009 - 0.025 ) [4.191]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0.038 ***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(0.030 - 0.047 ) [8.738]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0.039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(0.031 - 0.048 ) [8.933]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Elevation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-0.000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(-0.000 - 0.000 ) [-1.641]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-0.000    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(-0.000 - 0.000 ) [-1.360]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ACI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0.047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(0.034 - 0.060 ) [7.032]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-0.076 ***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(-0.081 - -0.071 ) [-29.934]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-0.075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(-0.080 - -0.071 ) [-29.898]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-0.078 ***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(-0.082 - -0.073 ) [-32.484]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LT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0.029 *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(0.002 - 0.055 ) [2.139]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-0.033 ***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(-0.044 - -0.022 ) [-5.684]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-0.033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(-0.044 - -0.022 ) [-5.712]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-0.051 ***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(-0.061 - -0.040 ) [-9.508]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LPS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-0.034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(-0.053 - -0.014 ) [-3.416]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-0.017 ** 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(-0.030 - -0.004 ) [-2.647]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-0.017 **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(-0.029 - -0.004 ) [-2.638]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-0.044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(-0.059 - -0.029 ) [-5.755]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0.024 ***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(0.014 - 0.034 ) [4.829]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0.024 ***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(0.015 - 0.034 ) [4.877]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0.013 ***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(0.006 - 0.020 ) [3.743]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LBI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-0.012 *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(-0.021 - -0.003 ) [-2.529]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-0.010 *  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(-0.018 - -0.002 ) [-2.342]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-0.010 *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(-0.019 - -0.002 ) [-2.415]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-0.001    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(-0.009 - 0.008 ) [-0.217]</w:t>
            </w:r>
          </w:p>
        </w:tc>
      </w:tr>
      <w:tr>
        <w:trPr>
          <w:trHeight w:val="360" w:hRule="atLeast"/>
        </w:trPr>
        <w:tc>
          <w:tcPr>
            <w:tcW w:w="1055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055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4200        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4200        </w:t>
            </w:r>
          </w:p>
        </w:tc>
        <w:tc>
          <w:tcPr>
            <w:tcW w:w="105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4200        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4200        </w:t>
            </w:r>
          </w:p>
        </w:tc>
        <w:tc>
          <w:tcPr>
            <w:tcW w:w="1055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6729.854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8154.589    </w:t>
            </w:r>
          </w:p>
        </w:tc>
        <w:tc>
          <w:tcPr>
            <w:tcW w:w="105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8163.503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8330.814    </w:t>
            </w:r>
          </w:p>
        </w:tc>
        <w:tc>
          <w:tcPr>
            <w:tcW w:w="1055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055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056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-13437.709    </w:t>
            </w:r>
          </w:p>
        </w:tc>
        <w:tc>
          <w:tcPr>
            <w:tcW w:w="1056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-16249.177    </w:t>
            </w:r>
          </w:p>
        </w:tc>
        <w:tc>
          <w:tcPr>
            <w:tcW w:w="1057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-16269.007    </w:t>
            </w:r>
          </w:p>
        </w:tc>
        <w:tc>
          <w:tcPr>
            <w:tcW w:w="1056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  <w:tc>
          <w:tcPr>
            <w:tcW w:w="1056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20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-16603.627    </w:t>
            </w:r>
          </w:p>
        </w:tc>
        <w:tc>
          <w:tcPr>
            <w:tcW w:w="1055" w:type="dxa"/>
            <w:tcBorders>
              <w:bottom w:val="single" w:sz="10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200"/>
              <w:ind w:hanging="0" w:left="200" w:right="0"/>
              <w:jc w:val="righ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9503" w:type="dxa"/>
            <w:gridSpan w:val="9"/>
            <w:tcBorders>
              <w:top w:val="single" w:sz="10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200" w:after="0"/>
              <w:ind w:hanging="0" w:left="0" w:right="200"/>
              <w:jc w:val="lef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>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.05 (*),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&lt; .01 (**), 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p 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&lt; .001 (***), and</w:t>
            </w:r>
            <w:r>
              <w:rPr>
                <w:rFonts w:eastAsia="Tex Gyre Termes" w:cs="Tex Gyre Termes" w:ascii="Tex Gyre Termes" w:hAnsi="Tex Gyre Termes"/>
                <w:b w:val="false"/>
                <w:i/>
                <w:iCs/>
                <w:color w:val="000000"/>
                <w:sz w:val="20"/>
                <w:szCs w:val="20"/>
                <w:u w:val="none"/>
              </w:rPr>
              <w:t xml:space="preserve"> p</w:t>
            </w: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 xml:space="preserve"> &lt; .0001 (****)]. T statistics in brackets.</w:t>
            </w:r>
          </w:p>
        </w:tc>
      </w:tr>
    </w:tbl>
    <w:sectPr>
      <w:type w:val="nextPage"/>
      <w:pgSz w:w="11952" w:h="16838"/>
      <w:pgMar w:left="1440" w:right="1440" w:gutter="72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nos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Arimo">
    <w:altName w:val="arial"/>
    <w:charset w:val="01"/>
    <w:family w:val="swiss"/>
    <w:pitch w:val="variable"/>
  </w:font>
  <w:font w:name="Tex Gyre Terme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6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Heading1"/>
    <w:uiPriority w:val="9"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Heading2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Heading3"/>
    <w:uiPriority w:val="9"/>
    <w:semiHidden/>
    <w:qFormat/>
    <w:rsid w:val="00362e65"/>
    <w:rPr>
      <w:rFonts w:ascii="Calibri" w:hAnsi="Calibri" w:eastAsia="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mo" w:hAnsi="Arimo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LibreOffice/24.2.4.2$Linux_X86_64 LibreOffice_project/420$Build-2</Application>
  <AppVersion>15.0000</AppVersion>
  <Pages>2</Pages>
  <Words>300</Words>
  <Characters>1399</Characters>
  <CharactersWithSpaces>1861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en-US</dc:language>
  <cp:lastModifiedBy>Bolívar Aponte Rolón</cp:lastModifiedBy>
  <dcterms:modified xsi:type="dcterms:W3CDTF">2024-07-12T20:59:20Z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