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The text has been updated as follows on DoLast:page/line “... (2~km above the earth's surface to 1~km below the tropopause).” and DoLast:page/line “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pPr>
      <w:r>
        <w:rPr>
          <w:rFonts w:eastAsia="Droid Sans Fallback" w:cs="FreeSans"/>
          <w:color w:val="0047FF"/>
          <w:sz w:val="24"/>
          <w:szCs w:val="24"/>
          <w:lang w:val="en-AU" w:eastAsia="zh-CN" w:bidi="hi-IN"/>
        </w:rPr>
        <w:t>There is an issue with the ozonesondes humidity measurements which made me initially steer away from utilising them – TODO: Andrew knows about this?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w:t>
      </w:r>
      <w:r>
        <w:rPr>
          <w:color w:val="0047FF"/>
        </w:rPr>
        <w:t>DOLAST</w:t>
      </w:r>
      <w:r>
        <w:rPr>
          <w:color w:val="0047FF"/>
        </w:rPr>
        <w:t>: page/line “...</w:t>
      </w:r>
      <w:r>
        <w:rPr>
          <w:color w:val="0047FF"/>
        </w:rPr>
        <w:t>This seasonality is not seen in the recent ERA-Interim tropopause fold analysis performed by Škerlak et al. (2015), where a winter maximum of ozone fold frequency (∼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pPr>
      <w:r>
        <w:rPr>
          <w:color w:val="0047FF"/>
        </w:rPr>
        <w:t xml:space="preserve">Instead an estimate of STT ozone flux near the three sites has been performed and compared to Skerlak et al. 2014 </w:t>
      </w:r>
      <w:r>
        <w:rPr>
          <w:color w:val="0047FF"/>
        </w:rPr>
        <w:t>on DOLAST</w:t>
      </w:r>
      <w:r>
        <w:rPr>
          <w:color w:val="0047FF"/>
        </w:rPr>
        <w:t>:</w:t>
      </w:r>
      <w:r>
        <w:rPr>
          <w:color w:val="0047FF"/>
        </w:rPr>
        <w:t>page/line</w:t>
      </w:r>
      <w:r>
        <w:rPr>
          <w:color w:val="0047FF"/>
        </w:rPr>
        <w:t xml:space="preserve"> “</w:t>
      </w:r>
      <w:r>
        <w:rPr>
          <w:color w:val="0047FF"/>
        </w:rPr>
        <w:t>Škerlak et al. (2014) shows an estimate of roughly 40 to 150 kg km −2 month −1 in these regions, over all seasons, of which 0 to 10 kg km −2 month −1 enters the boundary layer (see Fig. 16, 17 in their publication) while we estimate 2 to 41 kg km −2</w:t>
      </w:r>
      <w:r>
        <w:rPr>
          <w:color w:val="0047FF"/>
        </w:rPr>
        <w:t xml:space="preserve"> </w:t>
      </w:r>
      <w:r>
        <w:rPr>
          <w:color w:val="0047FF"/>
        </w:rPr>
        <w:t>month −1 STT impact, of which the largest part is in Summer (DJF). Our calculated seasonal contributions, along with total</w:t>
      </w:r>
      <w:r/>
    </w:p>
    <w:p>
      <w:pPr>
        <w:pStyle w:val="Normal"/>
      </w:pPr>
      <w:r>
        <w:rPr>
          <w:color w:val="0047FF"/>
        </w:rPr>
        <w:t>uncertainty are shown in Table 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w:t>
      </w:r>
      <w:r>
        <w:rPr>
          <w:color w:val="0047FF"/>
        </w:rPr>
        <w:t xml:space="preserve">has been </w:t>
      </w:r>
      <w:r>
        <w:rPr>
          <w:color w:val="0047FF"/>
        </w:rPr>
        <w:t xml:space="preserve">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This is mentioned in the text at DoLast:page/line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DOLAST: page/line: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We've filled out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 DOLAST: page/line “...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we've added this information TODO text/pageno/line: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pPr>
      <w:r>
        <w:rPr>
          <w:color w:val="0047FF"/>
        </w:rPr>
        <w:t xml:space="preserve">Thanks for spotting this, these units and caption are misleading/confusing – </w:t>
      </w:r>
      <w:r>
        <w:rPr>
          <w:color w:val="0047FF"/>
        </w:rPr>
        <w:t xml:space="preserve">We've redrawn the plots using only </w:t>
      </w:r>
      <w:r>
        <w:rPr>
          <w:color w:val="0047FF"/>
        </w:rPr>
        <w:t>ppbv</w:t>
      </w: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pPr>
      <w:r>
        <w:rPr>
          <w:color w:val="0047FF"/>
        </w:rPr>
        <w:t>I</w:t>
      </w:r>
      <w:r>
        <w:rPr>
          <w:color w:val="0047FF"/>
        </w:rPr>
        <w:t xml:space="preserve">n this case near is defined as subjectively within </w:t>
      </w:r>
      <w:r>
        <w:rPr>
          <w:color w:val="0047FF"/>
        </w:rPr>
        <w:t>150km</w:t>
      </w:r>
      <w:r>
        <w:rPr>
          <w:color w:val="0047FF"/>
        </w:rPr>
        <w:t xml:space="preserve">, </w:t>
      </w:r>
      <w:r>
        <w:rPr>
          <w:color w:val="0047FF"/>
        </w:rPr>
        <w:t>This is now</w:t>
      </w:r>
      <w:r>
        <w:rPr>
          <w:color w:val="0047FF"/>
        </w:rPr>
        <w:t xml:space="preserve"> more clear in the text </w:t>
      </w:r>
      <w:r>
        <w:rPr>
          <w:color w:val="0047FF"/>
        </w:rPr>
        <w:t xml:space="preserve">DOLAST: page/line </w:t>
      </w:r>
      <w:r>
        <w:rPr>
          <w:color w:val="0047FF"/>
        </w:rPr>
        <w:t>“</w:t>
      </w:r>
      <w:r>
        <w:rPr>
          <w:color w:val="0047FF"/>
        </w:rPr>
        <w:t>For this reason all detected STT events found near (within ~150 km of) smoke plumes are flagged, following visual inspection.”.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we looked at each image, we were interested to see if there was any clearly discernible pattern or dominant weather system connected to the events. - We've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pPr>
      <w:r>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sz w:val="24"/>
          <w:sz w:val="24"/>
          <w:szCs w:val="24"/>
          <w:rFonts w:ascii="Liberation Serif" w:hAnsi="Liberation Serif" w:eastAsia="Droid Sans Fallback" w:cs="FreeSans"/>
          <w:color w:val="0047FF"/>
          <w:lang w:val="en-AU" w:eastAsia="zh-CN" w:bidi="hi-IN"/>
        </w:rPr>
      </w:pPr>
      <w:r>
        <w:rPr>
          <w:color w:val="0047FF"/>
        </w:rPr>
        <w:t>Over Macquarie Island the lower troposphere seems to be slightly underestimated, which is the same as seen over Davis, while ozone above 4 km does show similar overestimation as you point out.</w:t>
      </w:r>
      <w:r/>
    </w:p>
    <w:p>
      <w:pPr>
        <w:pStyle w:val="Normal"/>
      </w:pPr>
      <w:r>
        <w:rPr>
          <w:color w:val="0047FF"/>
        </w:rPr>
        <w:t xml:space="preserve">The following has been added on DOLAST:pageno/lineno “ … Over Melbourne, ozone in the lower troposphere is well represented, but the model overestimates ozone from around 4~km to the tropopause. </w:t>
      </w:r>
      <w:r>
        <w:rPr>
          <w:color w:val="2323DC"/>
        </w:rPr>
        <w:t>Similarly over Macquarie we see model overestimation of ozone above 4~km, suggesting that Macquarie may be influenced by processes seen at both of our other sites.</w:t>
      </w:r>
      <w:r>
        <w:rPr>
          <w:color w:val="0047FF"/>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pPr>
      <w:r>
        <w:rPr/>
        <w:t>how is this fraction calculated.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pPr>
      <w:r>
        <w:rPr/>
        <w:t>compass”. What is the longitudinal range?</w:t>
      </w:r>
      <w:r/>
    </w:p>
    <w:p>
      <w:pPr>
        <w:pStyle w:val="Normal"/>
        <w:rPr>
          <w:sz w:val="24"/>
          <w:sz w:val="24"/>
          <w:szCs w:val="24"/>
          <w:rFonts w:ascii="Liberation Serif" w:hAnsi="Liberation Serif" w:eastAsia="Droid Sans Fallback" w:cs="FreeSans"/>
          <w:color w:val="2323DC"/>
          <w:lang w:val="en-AU" w:eastAsia="zh-CN" w:bidi="hi-IN"/>
        </w:rPr>
      </w:pPr>
      <w:r>
        <w:rPr>
          <w:color w:val="2323DC"/>
        </w:rPr>
        <w:t>In our extrapolation we used the entire band from 35S to 75S (ie. 180W to 180E).</w:t>
      </w:r>
      <w:r/>
    </w:p>
    <w:p>
      <w:pPr>
        <w:pStyle w:val="Normal"/>
        <w:rPr>
          <w:sz w:val="24"/>
          <w:sz w:val="24"/>
          <w:szCs w:val="24"/>
          <w:rFonts w:ascii="Liberation Serif" w:hAnsi="Liberation Serif" w:eastAsia="Droid Sans Fallback" w:cs="FreeSans"/>
          <w:color w:val="2323DC"/>
          <w:lang w:val="en-AU" w:eastAsia="zh-CN" w:bidi="hi-IN"/>
        </w:rPr>
      </w:pPr>
      <w:r>
        <w:rPr>
          <w:color w:val="2323DC"/>
        </w:rPr>
        <w:t>However this region has been replaced with two smaller regions covering the ozonesonde release sites, See figure DOLAST: image number for ComparisonRegion.png</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20: Fig. 14 and Fig.15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Fonts w:eastAsia="Droid Sans Fallback" w:cs="FreeSans"/>
          <w:color w:val="0047FF"/>
          <w:sz w:val="24"/>
          <w:szCs w:val="24"/>
          <w:lang w:val="en-AU" w:eastAsia="zh-CN" w:bidi="hi-IN"/>
        </w:rPr>
        <w:t>We have updated how the calculation of flux is made, and are no longer using this change of I, the updated calculations are on TOLAST: text/pageno/line “... To determine the ozone column attributable to STT,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rFonts w:eastAsia="Droid Sans Fallback" w:cs="FreeSans"/>
          <w:color w:val="000099"/>
          <w:sz w:val="24"/>
          <w:szCs w:val="24"/>
          <w:lang w:val="en-AU" w:eastAsia="zh-CN" w:bidi="hi-IN"/>
        </w:rPr>
        <w:t xml:space="preserve">As described for reviewer 1, comment 3, the SO extrapolation has been removed to a supplementary as it suffers from too many uncertainties/simplifications. </w:t>
      </w:r>
      <w:r/>
    </w:p>
    <w:p>
      <w:pPr>
        <w:pStyle w:val="Normal"/>
      </w:pPr>
      <w:r>
        <w:rPr>
          <w:rFonts w:eastAsia="Droid Sans Fallback" w:cs="FreeSans"/>
          <w:color w:val="000099"/>
          <w:sz w:val="24"/>
          <w:szCs w:val="24"/>
          <w:lang w:val="en-AU" w:eastAsia="zh-CN" w:bidi="hi-IN"/>
        </w:rPr>
        <w:t>Your suggestion of using smaller region has been taken. We now use two small regions shown in DOLAST: Fig. X. The comparison with Skerlak is also made on DOLAST: Page/lineno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2323DC"/>
          <w:lang w:val="en-AU" w:eastAsia="zh-CN" w:bidi="hi-IN"/>
        </w:rPr>
      </w:pPr>
      <w:r>
        <w:rPr>
          <w:rFonts w:eastAsia="Droid Sans Fallback" w:cs="FreeSans"/>
          <w:color w:val="2323DC"/>
          <w:sz w:val="24"/>
          <w:szCs w:val="24"/>
          <w:lang w:val="en-AU" w:eastAsia="zh-CN" w:bidi="hi-IN"/>
        </w:rPr>
        <w:t>This is an interesting question, TODO: Jenny or Ian could point me towards some literature?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pPr>
      <w:r>
        <w:rPr>
          <w:color w:val="0047FF"/>
        </w:rPr>
        <w:t>This is true, thanks for pointing it out. We've added this possibility to the text: DOLAST:pageno/line“... increased the local background mixing ratio, and any influence from STT events nearby which may also increase the local background ozone.”.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pPr>
      <w:r>
        <w:rPr>
          <w:rFonts w:eastAsia="Droid Sans Fallback" w:cs="FreeSans"/>
          <w:color w:val="000099"/>
          <w:sz w:val="24"/>
          <w:szCs w:val="24"/>
          <w:lang w:val="en-AU" w:eastAsia="zh-CN" w:bidi="hi-IN"/>
        </w:rPr>
        <w:t>The monthly likelihoods of detection has been renamed to L, and a new term representing assumed event longevity has been added.</w:t>
      </w:r>
      <w:r/>
    </w:p>
    <w:p>
      <w:pPr>
        <w:pStyle w:val="Normal"/>
      </w:pPr>
      <w:r>
        <w:rPr>
          <w:rFonts w:eastAsia="Droid Sans Fallback" w:cs="FreeSans"/>
          <w:color w:val="000099"/>
          <w:sz w:val="24"/>
          <w:szCs w:val="24"/>
          <w:lang w:val="en-AU" w:eastAsia="zh-CN" w:bidi="hi-IN"/>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This ignores uncertainty due to the non-homogeneity of the regions extrapolated over, and would require more data, parameters, and analysis to apply to larger regions.</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TotalTime>
  <Application>LibreOffice/4.3.7.2$Linux_X86_64 LibreOffice_project/430m0$Build-2</Application>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2017-04-10T10:12:04Z</dcterms:modified>
  <cp:revision>48</cp:revision>
</cp:coreProperties>
</file>