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The text has been updated as follows on DoLast:page/line “... (2~km above the earth's surface to 1~km below the tropopause).” and DoLast:page/line “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 xml:space="preserve">I have added comparisons between the seasonalities at my three sites and results from Wauben et al., 1998, Sprenger et al., 2003, </w:t>
      </w:r>
      <w:r>
        <w:rPr>
          <w:color w:val="0047FF"/>
        </w:rPr>
        <w:t>and Skerlak et al., 2015</w:t>
      </w:r>
      <w:r>
        <w:rPr>
          <w:color w:val="0047FF"/>
        </w:rPr>
        <w:t>.</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w:t>
      </w:r>
      <w:r>
        <w:rPr>
          <w:color w:val="0047FF"/>
        </w:rPr>
        <w:t>TODO: Quote and page/line “...”</w:t>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w:t>
      </w:r>
      <w:r>
        <w:rPr>
          <w:color w:val="0047FF"/>
        </w:rPr>
        <w:t>Fig. 1 caption</w:t>
      </w:r>
      <w:r>
        <w:rPr>
          <w:color w:val="0047FF"/>
        </w:rPr>
        <w:t xml:space="preserve">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 xml:space="preserve">GEOS-Chem has roughlyRoughly 500m resolution near 10km altitude, I’ve now noted this in the text in the Model description secion </w:t>
      </w:r>
      <w:r>
        <w:rPr>
          <w:color w:val="0047FF"/>
        </w:rPr>
        <w:t>DOLAST: page/line</w:t>
      </w:r>
      <w:r>
        <w:rPr>
          <w:color w:val="0047FF"/>
        </w:rPr>
        <w:t>: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w:t>
      </w:r>
      <w:r>
        <w:rPr>
          <w:color w:val="0047FF"/>
        </w:rPr>
        <w:t xml:space="preserve">'ve </w:t>
      </w:r>
      <w:r>
        <w:rPr>
          <w:color w:val="0047FF"/>
        </w:rPr>
        <w:t>filled out</w:t>
      </w:r>
      <w:r>
        <w:rPr>
          <w:color w:val="0047FF"/>
        </w:rPr>
        <w:t xml:space="preserve">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w:t>
      </w:r>
      <w:r>
        <w:rPr>
          <w:color w:val="0047FF"/>
        </w:rPr>
        <w:t>DOLAST: page/line “...  ”</w:t>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 xml:space="preserve">As per your suggestion </w:t>
      </w:r>
      <w:r>
        <w:rPr>
          <w:color w:val="0047FF"/>
        </w:rPr>
        <w:t>we</w:t>
      </w:r>
      <w:r>
        <w:rPr>
          <w:color w:val="0047FF"/>
        </w:rPr>
        <w:t xml:space="preserve">'ve added this information </w:t>
      </w:r>
      <w:r>
        <w:rPr>
          <w:color w:val="0047FF"/>
        </w:rPr>
        <w:t>TODO text/pageno/line</w:t>
      </w:r>
      <w:r>
        <w:rPr>
          <w:color w:val="0047FF"/>
        </w:rPr>
        <w:t>: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spotting this, these units and caption are misleading/confusing – I've made them both ppbv.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rPr>
          <w:sz w:val="24"/>
          <w:sz w:val="24"/>
          <w:szCs w:val="24"/>
          <w:rFonts w:ascii="Liberation Serif" w:hAnsi="Liberation Serif" w:eastAsia="Droid Sans Fallback" w:cs="FreeSans"/>
          <w:color w:val="0047FF"/>
          <w:lang w:val="en-AU" w:eastAsia="zh-CN" w:bidi="hi-IN"/>
        </w:rPr>
      </w:pPr>
      <w:r>
        <w:rPr>
          <w:color w:val="0047FF"/>
        </w:rPr>
        <w:t>Unfortunately in this case near is defined as subjectively within 200km, I've make this more clear in the text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t>
      </w:r>
      <w:r>
        <w:rPr>
          <w:rFonts w:eastAsia="Droid Sans Fallback" w:cs="FreeSans"/>
          <w:color w:val="0047FF"/>
          <w:sz w:val="24"/>
          <w:szCs w:val="24"/>
          <w:lang w:val="en-AU" w:eastAsia="zh-CN" w:bidi="hi-IN"/>
        </w:rPr>
        <w:t>we</w:t>
      </w:r>
      <w:r>
        <w:rPr>
          <w:rFonts w:eastAsia="Droid Sans Fallback" w:cs="FreeSans"/>
          <w:color w:val="0047FF"/>
          <w:sz w:val="24"/>
          <w:szCs w:val="24"/>
          <w:lang w:val="en-AU" w:eastAsia="zh-CN" w:bidi="hi-IN"/>
        </w:rPr>
        <w:t xml:space="preserve"> looked at each image, we were interested to see if there was any clearly discernible pattern or dominant weather system connected to the events. - </w:t>
      </w:r>
      <w:r>
        <w:rPr>
          <w:rFonts w:eastAsia="Droid Sans Fallback" w:cs="FreeSans"/>
          <w:color w:val="0047FF"/>
          <w:sz w:val="24"/>
          <w:szCs w:val="24"/>
          <w:lang w:val="en-AU" w:eastAsia="zh-CN" w:bidi="hi-IN"/>
        </w:rPr>
        <w:t>We</w:t>
      </w:r>
      <w:r>
        <w:rPr>
          <w:rFonts w:eastAsia="Droid Sans Fallback" w:cs="FreeSans"/>
          <w:color w:val="0047FF"/>
          <w:sz w:val="24"/>
          <w:szCs w:val="24"/>
          <w:lang w:val="en-AU" w:eastAsia="zh-CN" w:bidi="hi-IN"/>
        </w:rPr>
        <w:t xml:space="preserve">'ve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000A"/>
          <w:lang w:val="en-AU" w:eastAsia="zh-CN" w:bidi="hi-IN"/>
        </w:rPr>
      </w:pPr>
      <w:r>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r>
      <w:r/>
    </w:p>
    <w:p>
      <w:pPr>
        <w:pStyle w:val="Normal"/>
        <w:rPr>
          <w:sz w:val="24"/>
          <w:sz w:val="24"/>
          <w:szCs w:val="24"/>
          <w:rFonts w:ascii="Liberation Serif" w:hAnsi="Liberation Serif" w:eastAsia="Droid Sans Fallback" w:cs="FreeSans"/>
          <w:color w:val="00000A"/>
          <w:lang w:val="en-AU" w:eastAsia="zh-CN" w:bidi="hi-IN"/>
        </w:rPr>
      </w:pPr>
      <w:r>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00000A"/>
          <w:lang w:val="en-AU" w:eastAsia="zh-CN" w:bidi="hi-IN"/>
        </w:rPr>
      </w:pPr>
      <w:r>
        <w:rPr/>
      </w:r>
      <w:r/>
    </w:p>
    <w:p>
      <w:pPr>
        <w:pStyle w:val="Normal"/>
      </w:pPr>
      <w:r>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 xml:space="preserve">We have updated how the calculation of flux is made, and are no longer using this change of I, </w:t>
      </w:r>
      <w:r>
        <w:rPr>
          <w:rFonts w:eastAsia="Droid Sans Fallback" w:cs="FreeSans"/>
          <w:color w:val="0047FF"/>
          <w:sz w:val="24"/>
          <w:szCs w:val="24"/>
          <w:lang w:val="en-AU" w:eastAsia="zh-CN" w:bidi="hi-IN"/>
        </w:rPr>
        <w:t>TODO: text/pageno/line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As described for reviewer 1, comment 3, the SO extrapolation has been removed to a supplementary as it suffers from too many uncertainties/simplifications. Your suggestion of using smaller region has been taken using two small regions shown in Fig. X TODO: replace X when finished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 xml:space="preserve">This is true, thanks for pointing it out. </w:t>
      </w:r>
      <w:r>
        <w:rPr>
          <w:color w:val="0047FF"/>
        </w:rPr>
        <w:t>We</w:t>
      </w:r>
      <w:r>
        <w:rPr>
          <w:color w:val="0047FF"/>
        </w:rPr>
        <w:t xml:space="preserve">'ve added this possibility to the text: </w:t>
      </w:r>
      <w:r>
        <w:rPr>
          <w:color w:val="0047FF"/>
        </w:rPr>
        <w:t>DOLAST:pageno/line</w:t>
      </w:r>
      <w:r>
        <w:rPr>
          <w:color w:val="0047FF"/>
        </w:rPr>
        <w:t xml:space="preserve">“... </w:t>
      </w:r>
      <w:r>
        <w:rPr>
          <w:color w:val="0047FF"/>
        </w:rPr>
        <w:t>increased the local background mixing ratio, and any influence from STT events nearby which may also increase the local background ozone.</w:t>
      </w: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TODO: The uncertainty in the smaller extrapolations applied have also been slightly more quantified by using the standard deviations of each term in the multiplication as their respective uncertainties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TotalTime>
  <Application>LibreOffice/4.3.7.2$Linux_X86_64 LibreOffice_project/430m0$Build-2</Application>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2017-04-06T16:43:14Z</dcterms:modified>
  <cp:revision>40</cp:revision>
</cp:coreProperties>
</file>