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t>Author's Response</w:t>
      </w:r>
      <w:r/>
    </w:p>
    <w:p>
      <w:pPr>
        <w:pStyle w:val="TextBody"/>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pPr>
      <w:r>
        <w:rPr/>
        <w:t>First the referee responses are listed then the major comments and my responses for each referee are shown.</w:t>
      </w:r>
      <w:r/>
    </w:p>
    <w:p>
      <w:pPr>
        <w:pStyle w:val="Heading1"/>
        <w:numPr>
          <w:ilvl w:val="0"/>
          <w:numId w:val="1"/>
        </w:numPr>
        <w:rPr>
          <w:sz w:val="36"/>
          <w:b/>
          <w:sz w:val="36"/>
          <w:b/>
          <w:szCs w:val="36"/>
          <w:bCs/>
          <w:rFonts w:ascii="Liberation Sans" w:hAnsi="Liberation Sans" w:eastAsia="Droid Sans Fallback" w:cs="FreeSans"/>
        </w:rPr>
      </w:pPr>
      <w:r>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#2</w:t>
      </w:r>
      <w:r/>
    </w:p>
    <w:p>
      <w:pPr>
        <w:pStyle w:val="Normal"/>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#3</w:t>
      </w:r>
      <w:r/>
    </w:p>
    <w:p>
      <w:pPr>
        <w:pStyle w:val="TextBody"/>
      </w:pPr>
      <w:r>
        <w:rPr/>
        <w:t>Received and published: 23 February 2017</w:t>
      </w:r>
      <w:r/>
    </w:p>
    <w:p>
      <w:pPr>
        <w:pStyle w:val="TextBody"/>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pPr>
      <w:r>
        <w:rPr/>
      </w:r>
      <w:r/>
    </w:p>
    <w:p>
      <w:pPr>
        <w:pStyle w:val="TextBody"/>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color w:val="0047FF"/>
        </w:rPr>
      </w:r>
      <w:r/>
    </w:p>
    <w:p>
      <w:pPr>
        <w:pStyle w:val="Normal"/>
        <w:rPr>
          <w:sz w:val="24"/>
          <w:sz w:val="24"/>
          <w:szCs w:val="24"/>
          <w:rFonts w:ascii="Liberation Serif" w:hAnsi="Liberation Serif" w:eastAsia="Droid Sans Fallback" w:cs="FreeSans"/>
          <w:color w:val="0047FF"/>
          <w:lang w:val="en-AU" w:eastAsia="zh-CN" w:bidi="hi-IN"/>
        </w:rPr>
      </w:pPr>
      <w:r>
        <w:rPr>
          <w:color w:val="0047FF"/>
        </w:rPr>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 Is</w:t>
      </w:r>
      <w:r/>
    </w:p>
    <w:p>
      <w:pPr>
        <w:pStyle w:val="Normal"/>
      </w:pPr>
      <w:r>
        <w:rPr/>
        <w:t>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stream is strongest over the broader region? Have you tried to detect</w:t>
      </w:r>
      <w:r/>
    </w:p>
    <w:p>
      <w:pPr>
        <w:pStyle w:val="Normal"/>
      </w:pPr>
      <w:r>
        <w:rPr/>
        <w:t>STT events from the model results? I guess this is strongly depended to the vertical</w:t>
      </w:r>
      <w:r/>
    </w:p>
    <w:p>
      <w:pPr>
        <w:pStyle w:val="Normal"/>
      </w:pPr>
      <w:r>
        <w:rPr/>
        <w:t>resolution of the model, but it would be very interesting to see how the observed and</w:t>
      </w:r>
      <w:r/>
    </w:p>
    <w:p>
      <w:pPr>
        <w:pStyle w:val="Normal"/>
      </w:pPr>
      <w:r>
        <w:rPr/>
        <w:t>modeled STT seasonalities are compared.</w:t>
      </w:r>
      <w:r/>
    </w:p>
    <w:p>
      <w:pPr>
        <w:pStyle w:val="Normal"/>
      </w:pPr>
      <w:r>
        <w:rPr/>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w:t>
      </w:r>
      <w:r>
        <w:rPr>
          <w:color w:val="0047FF"/>
        </w:rPr>
        <w:t xml:space="preserve">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pPr>
      <w:r>
        <w:rPr/>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Normal"/>
      </w:pPr>
      <w:r>
        <w:rPr/>
      </w:r>
      <w:r/>
    </w:p>
    <w:p>
      <w:pPr>
        <w:pStyle w:val="Normal"/>
      </w:pPr>
      <w:r>
        <w:rPr/>
      </w:r>
      <w:r/>
    </w:p>
    <w:p>
      <w:pPr>
        <w:pStyle w:val="Heading3"/>
        <w:numPr>
          <w:ilvl w:val="2"/>
          <w:numId w:val="1"/>
        </w:numPr>
        <w:rPr>
          <w:sz w:val="28"/>
          <w:b/>
          <w:sz w:val="28"/>
          <w:b/>
          <w:szCs w:val="28"/>
          <w:bCs/>
          <w:rFonts w:ascii="Liberation Sans" w:hAnsi="Liberation Sans" w:eastAsia="Droid Sans Fallback" w:cs="FreeSans"/>
          <w:color w:val="808080"/>
        </w:rPr>
      </w:pPr>
      <w:r>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Normal"/>
      </w:pPr>
      <w:r>
        <w:rPr>
          <w:color w:val="0047FF"/>
        </w:rPr>
        <w:t xml:space="preserve">A very good idea, a brief description of the sites has been added: “... </w:t>
      </w:r>
      <w:r>
        <w:rPr>
          <w:color w:val="0047FF"/>
        </w:rPr>
        <w:t>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color w:val="0047FF"/>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rPr>
          <w:sz w:val="24"/>
          <w:sz w:val="24"/>
          <w:szCs w:val="24"/>
          <w:rFonts w:ascii="Liberation Serif" w:hAnsi="Liberation Serif" w:eastAsia="Droid Sans Fallback" w:cs="FreeSans"/>
          <w:color w:val="0047FF"/>
          <w:lang w:val="en-AU" w:eastAsia="zh-CN" w:bidi="hi-IN"/>
        </w:rPr>
      </w:pPr>
      <w:r>
        <w:rPr>
          <w:color w:val="0047FF"/>
        </w:rPr>
        <w:t>It is the median, text updated</w:t>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 b) Increase the range of the vertical axis to show the 10th percentile</w:t>
      </w:r>
      <w:r/>
    </w:p>
    <w:p>
      <w:pPr>
        <w:pStyle w:val="Normal"/>
      </w:pPr>
      <w:r>
        <w:rPr/>
        <w:t>value for February. c) Is it the case that tropopause drops below 4 km (10th percentile)</w:t>
      </w:r>
      <w:r/>
    </w:p>
    <w:p>
      <w:pPr>
        <w:pStyle w:val="Normal"/>
      </w:pPr>
      <w:r>
        <w:rPr/>
        <w:t>over Davis? What is the minimum tropopause height value over Davis during February?</w:t>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Normal"/>
      </w:pPr>
      <w:r>
        <w:rPr/>
        <w:t>Page 9, lines 1-2: “For this reason all detected STT events found near smoke plumes</w:t>
      </w:r>
      <w:r/>
    </w:p>
    <w:p>
      <w:pPr>
        <w:pStyle w:val="Normal"/>
      </w:pPr>
      <w:r>
        <w:rPr/>
        <w:t>are flagged”. How is “near” defined?</w:t>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Normal"/>
      </w:pPr>
      <w:r>
        <w:rPr/>
        <w:t>and 6 can be merged into one.</w:t>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Normal"/>
      </w:pPr>
      <w:r>
        <w:rPr/>
        <w:t>for Fig. 7, where high STT frequencies are found for the respective period.</w:t>
      </w:r>
      <w:r/>
    </w:p>
    <w:p>
      <w:pPr>
        <w:pStyle w:val="Normal"/>
      </w:pPr>
      <w:r>
        <w:rPr/>
        <w:t>Page 16: How is the modeled tropospheric column ozone calculated? How is the</w:t>
      </w:r>
      <w:r/>
    </w:p>
    <w:p>
      <w:pPr>
        <w:pStyle w:val="Normal"/>
      </w:pPr>
      <w:r>
        <w:rPr/>
        <w:t>tropopause defined in the GEOS-Chem results?</w:t>
      </w:r>
      <w:r/>
    </w:p>
    <w:p>
      <w:pPr>
        <w:pStyle w:val="Normal"/>
      </w:pPr>
      <w:r>
        <w:rPr/>
        <w:t>Page 17, lines 3-4: “Over Melbourne, ozone in the lower troposphere is well repre-</w:t>
      </w:r>
      <w:r/>
    </w:p>
    <w:p>
      <w:pPr>
        <w:pStyle w:val="Normal"/>
      </w:pPr>
      <w:r>
        <w:rPr/>
        <w:t>C4sented, but the model overestimates ozone from around 4 km to the tropopause”. This</w:t>
      </w:r>
      <w:r/>
    </w:p>
    <w:p>
      <w:pPr>
        <w:pStyle w:val="Normal"/>
      </w:pPr>
      <w:r>
        <w:rPr/>
        <w:t>is also seen for Macquarie and should be added to the discussion.</w:t>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pPr>
      <w:r>
        <w:rPr/>
        <w:t>Page 19: “to the entire Southern Ocean region, defined here as 35_ S-75_ S to en-</w:t>
      </w:r>
      <w:r/>
    </w:p>
    <w:p>
      <w:pPr>
        <w:pStyle w:val="Normal"/>
      </w:pPr>
      <w:r>
        <w:rPr/>
        <w:t>compass”. What is the longitudinal range?</w:t>
      </w:r>
      <w:r/>
    </w:p>
    <w:p>
      <w:pPr>
        <w:pStyle w:val="Normal"/>
      </w:pPr>
      <w:r>
        <w:rPr/>
        <w:t>Page 20: Fig. 14 and Fig.15 can be merged into one.</w:t>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conclusionsabout the STT flux more to the regions around the three measurement sites. It will still be possible</w:t>
      </w:r>
      <w:r/>
    </w:p>
    <w:p>
      <w:pPr>
        <w:pStyle w:val="Normal"/>
      </w:pPr>
      <w:r>
        <w:rPr/>
        <w:t>to compare the values, e.g., with the values in Skerlak et al. (2014).</w:t>
      </w:r>
      <w:r/>
    </w:p>
    <w:p>
      <w:pPr>
        <w:pStyle w:val="Normal"/>
      </w:pPr>
      <w:r>
        <w:rPr/>
      </w:r>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pPr>
      <w:r>
        <w:rPr/>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color w:val="0047FF"/>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w:t>
      </w:r>
      <w:r/>
    </w:p>
    <w:p>
      <w:pPr>
        <w:pStyle w:val="Normal"/>
      </w:pPr>
      <w:r>
        <w:rPr/>
        <w:t>with no obvious false positives. Event detection is highly sensitive to this choice; for</w:t>
      </w:r>
      <w:r/>
    </w:p>
    <w:p>
      <w:pPr>
        <w:pStyle w:val="Normal"/>
      </w:pPr>
      <w:r>
        <w:rPr/>
        <w:t>example, using the 98.5th percentile instead increased detected events by 10 (22%) at Davis,</w:t>
      </w:r>
      <w:r/>
    </w:p>
    <w:p>
      <w:pPr>
        <w:pStyle w:val="Normal"/>
      </w:pPr>
      <w:r>
        <w:rPr/>
        <w:t>19 (40%) at Macquarie Island, and 24 (33%) at Melbourne.” → Does this mean that with a</w:t>
      </w:r>
      <w:r/>
    </w:p>
    <w:p>
      <w:pPr>
        <w:pStyle w:val="Normal"/>
      </w:pPr>
      <w:r>
        <w:rPr/>
        <w:t>98.5 th percentile, some of the events are clear false positives? Wo do you decide that this is</w:t>
      </w:r>
      <w:r/>
    </w:p>
    <w:p>
      <w:pPr>
        <w:pStyle w:val="Normal"/>
      </w:pPr>
      <w:r>
        <w:rPr/>
        <w:t>the case? I am not sure whether this is obvious. In short, an additional uncertainty of the</w:t>
      </w:r>
      <w:r/>
    </w:p>
    <w:p>
      <w:pPr>
        <w:pStyle w:val="Normal"/>
      </w:pPr>
      <w:r>
        <w:rPr/>
        <w:t>method.</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pPr>
      <w:r>
        <w:rPr/>
      </w:r>
      <w:r/>
    </w:p>
    <w:p>
      <w:pPr>
        <w:pStyle w:val="Heading1"/>
        <w:numPr>
          <w:ilvl w:val="0"/>
          <w:numId w:val="1"/>
        </w:numPr>
        <w:rPr>
          <w:sz w:val="36"/>
          <w:b/>
          <w:sz w:val="36"/>
          <w:b/>
          <w:szCs w:val="36"/>
          <w:bCs/>
          <w:rFonts w:ascii="Liberation Sans" w:hAnsi="Liberation Sans" w:eastAsia="Droid Sans Fallback" w:cs="FreeSans"/>
        </w:rPr>
      </w:pPr>
      <w:r>
        <w:rPr/>
        <w:t>Anonymous Referee 3</w:t>
      </w:r>
      <w:r/>
    </w:p>
    <w:p>
      <w:pPr>
        <w:pStyle w:val="TextBody"/>
      </w:pPr>
      <w:r>
        <w:rPr/>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4">
    <w:name w:val="Heading 4"/>
    <w:basedOn w:val="Heading"/>
    <w:pPr>
      <w:spacing w:before="120" w:after="120"/>
      <w:outlineLvl w:val="3"/>
    </w:pPr>
    <w:rPr>
      <w:b/>
      <w:bCs/>
      <w:i/>
      <w:iCs/>
      <w:color w:val="808080"/>
      <w:sz w:val="27"/>
      <w:szCs w:val="27"/>
    </w:rPr>
  </w:style>
  <w:style w:type="paragraph" w:styleId="Heading5">
    <w:name w:val="Heading 5"/>
    <w:basedOn w:val="Heading"/>
    <w:pPr>
      <w:spacing w:before="120" w:after="60"/>
      <w:outlineLvl w:val="4"/>
    </w:pPr>
    <w:rPr>
      <w:b/>
      <w:bCs/>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TotalTime>
  <Application>LibreOffice/4.3.7.2$Linux_X86_64 LibreOffice_project/430m0$Build-2</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2017-03-23T15:54:47Z</dcterms:modified>
  <cp:revision>6</cp:revision>
</cp:coreProperties>
</file>