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rPr>
          <w:sz w:val="24"/>
          <w:sz w:val="24"/>
          <w:szCs w:val="24"/>
          <w:rFonts w:ascii="Liberation Serif" w:hAnsi="Liberation Serif" w:eastAsia="Droid Sans Fallback" w:cs="FreeSans"/>
          <w:color w:val="0047FF"/>
          <w:lang w:val="en-AU" w:eastAsia="zh-CN" w:bidi="hi-IN"/>
        </w:rPr>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rPr>
          <w:sz w:val="24"/>
          <w:sz w:val="24"/>
          <w:szCs w:val="24"/>
          <w:rFonts w:ascii="Liberation Serif" w:hAnsi="Liberation Serif" w:eastAsia="Droid Sans Fallback" w:cs="FreeSans"/>
          <w:color w:val="00000A"/>
          <w:lang w:val="en-AU" w:eastAsia="zh-CN" w:bidi="hi-IN"/>
        </w:rPr>
      </w:pPr>
      <w:r>
        <w:rPr/>
        <w:t xml:space="preserve">over Davis? </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 xml:space="preserve">I looked into this and found a problem with the lapse rate tropopause picking up boundary layer temperature inversions – </w:t>
      </w:r>
      <w:r>
        <w:rPr>
          <w:rFonts w:eastAsia="Droid Sans Fallback" w:cs="FreeSans"/>
          <w:color w:val="0047FF"/>
          <w:sz w:val="24"/>
          <w:szCs w:val="24"/>
          <w:lang w:val="en-AU" w:eastAsia="zh-CN" w:bidi="hi-IN"/>
        </w:rPr>
        <w:t>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 xml:space="preserve">We've now limited the lapse rate tropopause detection to 4km or greater (rather than 2km or greater). </w:t>
      </w:r>
      <w:r/>
    </w:p>
    <w:p>
      <w:pPr>
        <w:pStyle w:val="Normal"/>
      </w:pPr>
      <w:r>
        <w:rPr>
          <w:rFonts w:eastAsia="Droid Sans Fallback" w:cs="FreeSans"/>
          <w:color w:val="0047FF"/>
          <w:sz w:val="24"/>
          <w:szCs w:val="24"/>
          <w:lang w:val="en-AU" w:eastAsia="zh-CN" w:bidi="hi-IN"/>
        </w:rPr>
        <w:t>D</w:t>
      </w:r>
      <w:r>
        <w:rPr>
          <w:rFonts w:eastAsia="Droid Sans Fallback" w:cs="FreeSans"/>
          <w:color w:val="0047FF"/>
          <w:sz w:val="24"/>
          <w:szCs w:val="24"/>
          <w:lang w:val="en-AU" w:eastAsia="zh-CN" w:bidi="hi-IN"/>
        </w:rPr>
        <w:t>ue to not misdiagnosing several tropopause heights, two new events are also detected: one at Davis and one at Melbourne.</w:t>
      </w:r>
      <w:r/>
    </w:p>
    <w:p>
      <w:pPr>
        <w:pStyle w:val="Normal"/>
      </w:pPr>
      <w:r>
        <w:rPr>
          <w:rFonts w:eastAsia="Droid Sans Fallback" w:cs="FreeSans"/>
          <w:color w:val="0047FF"/>
          <w:sz w:val="24"/>
          <w:szCs w:val="24"/>
          <w:lang w:val="en-AU" w:eastAsia="zh-CN" w:bidi="hi-IN"/>
        </w:rPr>
        <w:t>This is mentioned in the text at TODO: where and quote “ …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I've beefed up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I've added this information when it first becomes pertinent.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I looked at each image, we were interested to see if there was any clearly discernible pattern or dominant weather system connected to the events. - I've added </w:t>
      </w:r>
      <w:bookmarkStart w:id="1" w:name="__DdeLink__351_59560109"/>
      <w:r>
        <w:rPr>
          <w:rFonts w:eastAsia="Droid Sans Fallback" w:cs="FreeSans"/>
          <w:color w:val="0047FF"/>
          <w:sz w:val="24"/>
          <w:szCs w:val="24"/>
          <w:lang w:val="en-AU" w:eastAsia="zh-CN" w:bidi="hi-IN"/>
        </w:rPr>
        <w:t>“... likely meteorological cause, 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rPr>
          <w:sz w:val="24"/>
          <w:sz w:val="24"/>
          <w:szCs w:val="24"/>
          <w:rFonts w:ascii="Liberation Serif" w:hAnsi="Liberation Serif" w:eastAsia="Droid Sans Fallback" w:cs="FreeSans"/>
          <w:color w:val="00000A"/>
          <w:lang w:val="en-AU" w:eastAsia="zh-CN" w:bidi="hi-IN"/>
        </w:rPr>
      </w:pPr>
      <w:r>
        <w:rPr/>
        <w:t>for Fig. 7, where high STT frequencies are found for the respective period.</w:t>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rPr>
          <w:sz w:val="24"/>
          <w:sz w:val="24"/>
          <w:szCs w:val="24"/>
          <w:rFonts w:ascii="Liberation Serif" w:hAnsi="Liberation Serif" w:eastAsia="Droid Sans Fallback" w:cs="FreeSans"/>
          <w:color w:val="00000A"/>
          <w:lang w:val="en-AU" w:eastAsia="zh-CN" w:bidi="hi-IN"/>
        </w:rPr>
      </w:pPr>
      <w:r>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rPr>
          <w:sz w:val="24"/>
          <w:sz w:val="24"/>
          <w:szCs w:val="24"/>
          <w:rFonts w:ascii="Liberation Serif" w:hAnsi="Liberation Serif" w:eastAsia="Droid Sans Fallback" w:cs="FreeSans"/>
          <w:color w:val="00000A"/>
          <w:lang w:val="en-AU" w:eastAsia="zh-CN" w:bidi="hi-IN"/>
        </w:rPr>
      </w:pPr>
      <w:r>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rPr>
          <w:sz w:val="24"/>
          <w:sz w:val="24"/>
          <w:szCs w:val="24"/>
          <w:rFonts w:ascii="Liberation Serif" w:hAnsi="Liberation Serif" w:eastAsia="Droid Sans Fallback" w:cs="FreeSans"/>
          <w:color w:val="00000A"/>
          <w:lang w:val="en-AU" w:eastAsia="zh-CN" w:bidi="hi-IN"/>
        </w:rPr>
      </w:pPr>
      <w:r>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rPr>
          <w:sz w:val="24"/>
          <w:sz w:val="24"/>
          <w:szCs w:val="24"/>
          <w:rFonts w:ascii="Liberation Serif" w:hAnsi="Liberation Serif" w:eastAsia="Droid Sans Fallback" w:cs="FreeSans"/>
          <w:color w:val="00000A"/>
          <w:lang w:val="en-AU" w:eastAsia="zh-CN" w:bidi="hi-IN"/>
        </w:rPr>
      </w:pPr>
      <w:r>
        <w:rPr/>
        <w:t>stratospheric contribution to the tropospheric column ozone seems a bit arbitrary.</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As described for reviewer 1, comment 3, the SO extrapolation has been removed to a supplementary as it suffers from too many uncertainties/simplifications. Your suggestion of using smaller region has been taken using two small regions shown in Fig. X TODO: replace X when finished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rPr>
          <w:color w:val="0047FF"/>
        </w:rPr>
      </w:pPr>
      <w:r>
        <w:rPr>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t>TODO: The uncertainty in the smaller extrapolations applied have also been slightly more quantified by using the standard deviations of each term in the multiplication as their respective uncertainties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273</TotalTime>
  <Application>LibreOffice/4.3.7.2$Linux_X86_64 LibreOffice_project/430m0$Build-2</Application>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2017-03-31T16:31:32Z</dcterms:modified>
  <cp:revision>30</cp:revision>
</cp:coreProperties>
</file>