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r/>
    </w:p>
    <w:p>
      <w:pPr>
        <w:pStyle w:val="Normal"/>
      </w:pPr>
      <w:r>
        <w:rPr>
          <w:color w:val="0047FF"/>
        </w:rPr>
        <w:t>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 We've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pointing this out, the calculation was not well described. The following text has been added on DOLAST: page/line “ … ozone enhancements, based on a vertical integration of the ozone above baseline levels for each ozonesonde where an event was detected.</w:t>
      </w:r>
      <w:r/>
    </w:p>
    <w:p>
      <w:pPr>
        <w:pStyle w:val="Normal"/>
        <w:rPr>
          <w:sz w:val="24"/>
          <w:sz w:val="24"/>
          <w:szCs w:val="24"/>
          <w:rFonts w:ascii="Liberation Serif" w:hAnsi="Liberation Serif" w:eastAsia="Droid Sans Fallback" w:cs="FreeSans"/>
          <w:color w:val="0047FF"/>
          <w:lang w:val="en-AU" w:eastAsia="zh-CN" w:bidi="hi-IN"/>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sz w:val="24"/>
          <w:sz w:val="24"/>
          <w:szCs w:val="24"/>
          <w:rFonts w:ascii="Liberation Serif" w:hAnsi="Liberation Serif" w:eastAsia="Droid Sans Fallback" w:cs="FreeSans"/>
          <w:color w:val="0047FF"/>
          <w:lang w:val="en-AU" w:eastAsia="zh-CN" w:bidi="hi-IN"/>
        </w:rPr>
      </w:pP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First the tropospheric ozone column is calculated, then the enhanced ozone column amount is used to determine the relative increase.”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47FF"/>
          <w:lang w:val="en-AU" w:eastAsia="zh-CN" w:bidi="hi-IN"/>
        </w:rPr>
      </w:pPr>
      <w:r>
        <w:rPr>
          <w:color w:val="0047FF"/>
        </w:rPr>
        <w:t>Good suggesion, these images have been combined into one with a top and bottom panel</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examine small regions around each site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LibreOffice/4.3.7.2$Linux_X86_64 LibreOffice_project/430m0$Build-2</Application>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2017-05-08T15:35:32Z</dcterms:modified>
  <cp:revision>51</cp:revision>
</cp:coreProperties>
</file>