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Times New Roman" w:cs="Times New Roman" w:eastAsia="Times New Roman" w:hAnsi="Times New Roman"/>
          <w:sz w:val="22"/>
          <w:szCs w:val="22"/>
        </w:rPr>
        <w:t xml:space="preserve"> </w:t>
      </w:r>
    </w:p>
    <w:p>
      <w:pPr>
        <w:spacing w:after="200" w:line="280"/>
        <w:jc w:val="center"/>
      </w:pPr>
      <w:r>
        <w:rPr>
          <w:rFonts w:ascii="Times New Roman" w:cs="Times New Roman" w:eastAsia="Times New Roman" w:hAnsi="Times New Roman"/>
          <w:b/>
          <w:bCs/>
          <w:i w:val="false"/>
          <w:iCs w:val="false"/>
          <w:sz w:val="36"/>
          <w:szCs w:val="36"/>
        </w:rPr>
        <w:t xml:space="preserve">System Design Document</w:t>
      </w:r>
    </w:p>
    <w:p>
      <w:pPr>
        <w:spacing w:after="600" w:line="280"/>
        <w:jc w:val="center"/>
      </w:pPr>
      <w:r>
        <w:rPr>
          <w:rFonts w:ascii="Times New Roman" w:cs="Times New Roman" w:eastAsia="Times New Roman" w:hAnsi="Times New Roman"/>
          <w:b/>
          <w:bCs/>
          <w:i w:val="false"/>
          <w:iCs w:val="false"/>
          <w:sz w:val="36"/>
          <w:szCs w:val="36"/>
        </w:rPr>
        <w:t xml:space="preserve">sana.AI</w:t>
      </w:r>
    </w:p>
    <w:p>
      <w:pPr>
        <w:spacing w:after="800" w:line="280"/>
        <w:jc w:val="center"/>
      </w:pPr>
      <w:r>
        <w:rPr>
          <w:rFonts w:ascii="Times New Roman" w:cs="Times New Roman" w:eastAsia="Times New Roman" w:hAnsi="Times New Roman"/>
          <w:b w:val="false"/>
          <w:bCs w:val="false"/>
          <w:i/>
          <w:iCs/>
          <w:sz w:val="24"/>
          <w:szCs w:val="24"/>
        </w:rPr>
        <w:t xml:space="preserve">An Oral-to-Digital Competency Bridge for the Filipino Informal Sector</w:t>
      </w:r>
    </w:p>
    <w:p>
      <w:pPr>
        <w:spacing w:after="200" w:line="300"/>
        <w:jc w:val="center"/>
      </w:pPr>
      <w:r>
        <w:rPr>
          <w:rFonts w:ascii="Times New Roman" w:cs="Times New Roman" w:eastAsia="Times New Roman" w:hAnsi="Times New Roman"/>
          <w:b/>
          <w:bCs/>
          <w:sz w:val="22"/>
          <w:szCs w:val="22"/>
        </w:rPr>
        <w:t xml:space="preserve">PROJECT: </w:t>
      </w:r>
      <w:r>
        <w:rPr>
          <w:rFonts w:ascii="Times New Roman" w:cs="Times New Roman" w:eastAsia="Times New Roman" w:hAnsi="Times New Roman"/>
          <w:sz w:val="22"/>
          <w:szCs w:val="22"/>
        </w:rPr>
        <w:t xml:space="preserve">sana.AI (Codename: Boses)</w:t>
      </w:r>
    </w:p>
    <w:p>
      <w:pPr>
        <w:spacing w:after="400" w:line="300"/>
        <w:jc w:val="center"/>
      </w:pPr>
      <w:r>
        <w:rPr>
          <w:rFonts w:ascii="Times New Roman" w:cs="Times New Roman" w:eastAsia="Times New Roman" w:hAnsi="Times New Roman"/>
          <w:b/>
          <w:bCs/>
          <w:sz w:val="22"/>
          <w:szCs w:val="22"/>
        </w:rPr>
        <w:t xml:space="preserve">EVENT: </w:t>
      </w:r>
      <w:r>
        <w:rPr>
          <w:rFonts w:ascii="Times New Roman" w:cs="Times New Roman" w:eastAsia="Times New Roman" w:hAnsi="Times New Roman"/>
          <w:sz w:val="22"/>
          <w:szCs w:val="22"/>
        </w:rPr>
        <w:t xml:space="preserve">CodeWarts Hackathon 2026</w:t>
      </w:r>
    </w:p>
    <w:p>
      <w:pPr>
        <w:spacing w:after="100" w:line="280"/>
        <w:jc w:val="center"/>
      </w:pPr>
      <w:r>
        <w:rPr>
          <w:rFonts w:ascii="Times New Roman" w:cs="Times New Roman" w:eastAsia="Times New Roman" w:hAnsi="Times New Roman"/>
          <w:b/>
          <w:bCs/>
          <w:i w:val="false"/>
          <w:iCs w:val="false"/>
          <w:sz w:val="22"/>
          <w:szCs w:val="22"/>
        </w:rPr>
        <w:t xml:space="preserve">PROJECT MEMBERS:</w:t>
      </w:r>
    </w:p>
    <w:p>
      <w:pPr>
        <w:spacing w:after="60" w:line="280"/>
        <w:jc w:val="center"/>
      </w:pPr>
      <w:r>
        <w:rPr>
          <w:rFonts w:ascii="Times New Roman" w:cs="Times New Roman" w:eastAsia="Times New Roman" w:hAnsi="Times New Roman"/>
          <w:b w:val="false"/>
          <w:bCs w:val="false"/>
          <w:i w:val="false"/>
          <w:iCs w:val="false"/>
          <w:sz w:val="22"/>
          <w:szCs w:val="22"/>
        </w:rPr>
        <w:t xml:space="preserve">Pilapil, Gbert</w:t>
      </w:r>
    </w:p>
    <w:p>
      <w:pPr>
        <w:spacing w:after="400" w:line="280"/>
        <w:jc w:val="center"/>
      </w:pPr>
      <w:r>
        <w:rPr>
          <w:rFonts w:ascii="Times New Roman" w:cs="Times New Roman" w:eastAsia="Times New Roman" w:hAnsi="Times New Roman"/>
          <w:b w:val="false"/>
          <w:bCs w:val="false"/>
          <w:i/>
          <w:iCs/>
          <w:sz w:val="22"/>
          <w:szCs w:val="22"/>
        </w:rPr>
        <w:t xml:space="preserve">(Git Gud Team)</w:t>
      </w:r>
    </w:p>
    <w:p>
      <w:pPr>
        <w:spacing w:after="80" w:line="280"/>
        <w:jc w:val="center"/>
      </w:pPr>
      <w:r>
        <w:rPr>
          <w:rFonts w:ascii="Times New Roman" w:cs="Times New Roman" w:eastAsia="Times New Roman" w:hAnsi="Times New Roman"/>
          <w:b/>
          <w:bCs/>
          <w:i w:val="false"/>
          <w:iCs w:val="false"/>
          <w:sz w:val="22"/>
          <w:szCs w:val="22"/>
        </w:rPr>
        <w:t xml:space="preserve">SECTION: 3CSC</w:t>
      </w:r>
    </w:p>
    <w:p>
      <w:r>
        <w:br w:type="page"/>
      </w:r>
    </w:p>
    <w:p>
      <w:pPr>
        <w:spacing w:after="240" w:line="280"/>
        <w:jc w:val="center"/>
      </w:pPr>
      <w:r>
        <w:rPr>
          <w:rFonts w:ascii="Times New Roman" w:cs="Times New Roman" w:eastAsia="Times New Roman" w:hAnsi="Times New Roman"/>
          <w:b/>
          <w:bCs/>
          <w:i w:val="false"/>
          <w:iCs w:val="false"/>
          <w:sz w:val="24"/>
          <w:szCs w:val="24"/>
        </w:rPr>
        <w:t xml:space="preserve">Table of Contents</w:t>
      </w:r>
    </w:p>
    <w:p>
      <w:pPr>
        <w:spacing w:after="80" w:line="300"/>
        <w:jc w:val="left"/>
      </w:pPr>
      <w:r>
        <w:rPr>
          <w:rFonts w:ascii="Times New Roman" w:cs="Times New Roman" w:eastAsia="Times New Roman" w:hAnsi="Times New Roman"/>
          <w:sz w:val="22"/>
          <w:szCs w:val="22"/>
        </w:rPr>
        <w:t xml:space="preserve">1. System Overview</w:t>
      </w:r>
      <w:r>
        <w:rPr>
          <w:rFonts w:ascii="Times New Roman" w:cs="Times New Roman" w:eastAsia="Times New Roman" w:hAnsi="Times New Roman"/>
          <w:sz w:val="22"/>
          <w:szCs w:val="22"/>
        </w:rPr>
        <w:t xml:space="preserve">	3</w:t>
      </w:r>
    </w:p>
    <w:p>
      <w:pPr>
        <w:spacing w:after="80" w:line="300"/>
        <w:jc w:val="left"/>
      </w:pPr>
      <w:r>
        <w:rPr>
          <w:rFonts w:ascii="Times New Roman" w:cs="Times New Roman" w:eastAsia="Times New Roman" w:hAnsi="Times New Roman"/>
          <w:sz w:val="22"/>
          <w:szCs w:val="22"/>
        </w:rPr>
        <w:t xml:space="preserve">2. System Architecture</w:t>
      </w:r>
      <w:r>
        <w:rPr>
          <w:rFonts w:ascii="Times New Roman" w:cs="Times New Roman" w:eastAsia="Times New Roman" w:hAnsi="Times New Roman"/>
          <w:sz w:val="22"/>
          <w:szCs w:val="22"/>
        </w:rPr>
        <w:t xml:space="preserve">	3</w:t>
      </w:r>
    </w:p>
    <w:p>
      <w:pPr>
        <w:spacing w:after="80" w:line="300"/>
        <w:jc w:val="left"/>
      </w:pPr>
      <w:r>
        <w:rPr>
          <w:rFonts w:ascii="Times New Roman" w:cs="Times New Roman" w:eastAsia="Times New Roman" w:hAnsi="Times New Roman"/>
          <w:sz w:val="22"/>
          <w:szCs w:val="22"/>
        </w:rPr>
        <w:t xml:space="preserve">    2.1 Decomposition Description</w:t>
      </w:r>
      <w:r>
        <w:rPr>
          <w:rFonts w:ascii="Times New Roman" w:cs="Times New Roman" w:eastAsia="Times New Roman" w:hAnsi="Times New Roman"/>
          <w:sz w:val="22"/>
          <w:szCs w:val="22"/>
        </w:rPr>
        <w:t xml:space="preserve">	4</w:t>
      </w:r>
    </w:p>
    <w:p>
      <w:pPr>
        <w:spacing w:after="80" w:line="300"/>
        <w:jc w:val="left"/>
      </w:pPr>
      <w:r>
        <w:rPr>
          <w:rFonts w:ascii="Times New Roman" w:cs="Times New Roman" w:eastAsia="Times New Roman" w:hAnsi="Times New Roman"/>
          <w:sz w:val="22"/>
          <w:szCs w:val="22"/>
        </w:rPr>
        <w:t xml:space="preserve">3. Data Design</w:t>
      </w:r>
      <w:r>
        <w:rPr>
          <w:rFonts w:ascii="Times New Roman" w:cs="Times New Roman" w:eastAsia="Times New Roman" w:hAnsi="Times New Roman"/>
          <w:sz w:val="22"/>
          <w:szCs w:val="22"/>
        </w:rPr>
        <w:t xml:space="preserve">	5</w:t>
      </w:r>
    </w:p>
    <w:p>
      <w:pPr>
        <w:spacing w:after="80" w:line="300"/>
        <w:jc w:val="left"/>
      </w:pPr>
      <w:r>
        <w:rPr>
          <w:rFonts w:ascii="Times New Roman" w:cs="Times New Roman" w:eastAsia="Times New Roman" w:hAnsi="Times New Roman"/>
          <w:sz w:val="22"/>
          <w:szCs w:val="22"/>
        </w:rPr>
        <w:t xml:space="preserve">    3.1 Data Description</w:t>
      </w:r>
      <w:r>
        <w:rPr>
          <w:rFonts w:ascii="Times New Roman" w:cs="Times New Roman" w:eastAsia="Times New Roman" w:hAnsi="Times New Roman"/>
          <w:sz w:val="22"/>
          <w:szCs w:val="22"/>
        </w:rPr>
        <w:t xml:space="preserve">	5</w:t>
      </w:r>
    </w:p>
    <w:p>
      <w:pPr>
        <w:spacing w:after="80" w:line="300"/>
        <w:jc w:val="left"/>
      </w:pPr>
      <w:r>
        <w:rPr>
          <w:rFonts w:ascii="Times New Roman" w:cs="Times New Roman" w:eastAsia="Times New Roman" w:hAnsi="Times New Roman"/>
          <w:sz w:val="22"/>
          <w:szCs w:val="22"/>
        </w:rPr>
        <w:t xml:space="preserve">    3.2 Data Dictionary</w:t>
      </w:r>
      <w:r>
        <w:rPr>
          <w:rFonts w:ascii="Times New Roman" w:cs="Times New Roman" w:eastAsia="Times New Roman" w:hAnsi="Times New Roman"/>
          <w:sz w:val="22"/>
          <w:szCs w:val="22"/>
        </w:rPr>
        <w:t xml:space="preserve">	5</w:t>
      </w:r>
    </w:p>
    <w:p>
      <w:pPr>
        <w:spacing w:after="80" w:line="300"/>
        <w:jc w:val="left"/>
      </w:pPr>
      <w:r>
        <w:rPr>
          <w:rFonts w:ascii="Times New Roman" w:cs="Times New Roman" w:eastAsia="Times New Roman" w:hAnsi="Times New Roman"/>
          <w:sz w:val="22"/>
          <w:szCs w:val="22"/>
        </w:rPr>
        <w:t xml:space="preserve">4. Component Design</w:t>
      </w:r>
      <w:r>
        <w:rPr>
          <w:rFonts w:ascii="Times New Roman" w:cs="Times New Roman" w:eastAsia="Times New Roman" w:hAnsi="Times New Roman"/>
          <w:sz w:val="22"/>
          <w:szCs w:val="22"/>
        </w:rPr>
        <w:t xml:space="preserve">	7</w:t>
      </w:r>
    </w:p>
    <w:p>
      <w:pPr>
        <w:spacing w:after="80" w:line="300"/>
        <w:jc w:val="left"/>
      </w:pPr>
      <w:r>
        <w:rPr>
          <w:rFonts w:ascii="Times New Roman" w:cs="Times New Roman" w:eastAsia="Times New Roman" w:hAnsi="Times New Roman"/>
          <w:sz w:val="22"/>
          <w:szCs w:val="22"/>
        </w:rPr>
        <w:t xml:space="preserve">5. Human Interface Design</w:t>
      </w:r>
      <w:r>
        <w:rPr>
          <w:rFonts w:ascii="Times New Roman" w:cs="Times New Roman" w:eastAsia="Times New Roman" w:hAnsi="Times New Roman"/>
          <w:sz w:val="22"/>
          <w:szCs w:val="22"/>
        </w:rPr>
        <w:t xml:space="preserve">	7</w:t>
      </w:r>
    </w:p>
    <w:p>
      <w:r>
        <w:br w:type="page"/>
      </w:r>
    </w:p>
    <w:p>
      <w:pPr>
        <w:pStyle w:val="Heading1"/>
        <w:spacing w:after="120" w:before="200"/>
      </w:pPr>
      <w:r>
        <w:rPr>
          <w:rFonts w:ascii="Times New Roman" w:cs="Times New Roman" w:eastAsia="Times New Roman" w:hAnsi="Times New Roman"/>
          <w:b/>
          <w:bCs/>
          <w:sz w:val="26"/>
          <w:szCs w:val="26"/>
        </w:rPr>
        <w:t xml:space="preserve">1. System Overview</w:t>
      </w:r>
    </w:p>
    <w:p>
      <w:pPr>
        <w:spacing w:after="120" w:line="300"/>
        <w:jc w:val="both"/>
      </w:pPr>
      <w:r>
        <w:rPr>
          <w:rFonts w:ascii="Times New Roman" w:cs="Times New Roman" w:eastAsia="Times New Roman" w:hAnsi="Times New Roman"/>
          <w:b w:val="false"/>
          <w:bCs w:val="false"/>
          <w:i w:val="false"/>
          <w:iCs w:val="false"/>
          <w:sz w:val="22"/>
          <w:szCs w:val="22"/>
        </w:rPr>
        <w:t xml:space="preserve">sana.AI is an oral-to-digital competency bridge built to address the diploma gap in the Philippines, where roughly 40 percent of the labor force works in the informal sector. These workers often possess high-value skills, such as logistics coordination, micro-accounting, motor repair, or crisis management, but lack the resumes or formal credentials needed to prove them. sana.AI lets users tell their stories by speaking in Filipino, Taglish, or English, and turns those spoken stories into a structured competency profile that surfaces TESDA pathways, job archetypes, and nearby employment opportunities.</w:t>
      </w:r>
    </w:p>
    <w:p>
      <w:pPr>
        <w:spacing w:after="120" w:line="300"/>
        <w:jc w:val="both"/>
      </w:pPr>
      <w:r>
        <w:rPr>
          <w:rFonts w:ascii="Times New Roman" w:cs="Times New Roman" w:eastAsia="Times New Roman" w:hAnsi="Times New Roman"/>
          <w:b w:val="false"/>
          <w:bCs w:val="false"/>
          <w:i w:val="false"/>
          <w:iCs w:val="false"/>
          <w:sz w:val="22"/>
          <w:szCs w:val="22"/>
        </w:rPr>
        <w:t xml:space="preserve">The objectives of this project are:</w:t>
      </w:r>
    </w:p>
    <w:p>
      <w:pPr>
        <w:pStyle w:val="ListParagraph"/>
        <w:numPr>
          <w:ilvl w:val="0"/>
          <w:numId w:val="2"/>
        </w:numPr>
        <w:spacing w:after="60" w:line="280"/>
        <w:jc w:val="both"/>
      </w:pPr>
      <w:r>
        <w:rPr>
          <w:rFonts w:ascii="Times New Roman" w:cs="Times New Roman" w:eastAsia="Times New Roman" w:hAnsi="Times New Roman"/>
          <w:sz w:val="22"/>
          <w:szCs w:val="22"/>
        </w:rPr>
        <w:t xml:space="preserve">Provide a voice-first onboarding flow that captures user stories without requiring literacy in English.</w:t>
      </w:r>
    </w:p>
    <w:p>
      <w:pPr>
        <w:pStyle w:val="ListParagraph"/>
        <w:numPr>
          <w:ilvl w:val="0"/>
          <w:numId w:val="2"/>
        </w:numPr>
        <w:spacing w:after="60" w:line="280"/>
        <w:jc w:val="both"/>
      </w:pPr>
      <w:r>
        <w:rPr>
          <w:rFonts w:ascii="Times New Roman" w:cs="Times New Roman" w:eastAsia="Times New Roman" w:hAnsi="Times New Roman"/>
          <w:sz w:val="22"/>
          <w:szCs w:val="22"/>
        </w:rPr>
        <w:t xml:space="preserve">Extract validated, non-inflated competencies from Taglish transcripts and supporting documents.</w:t>
      </w:r>
    </w:p>
    <w:p>
      <w:pPr>
        <w:pStyle w:val="ListParagraph"/>
        <w:numPr>
          <w:ilvl w:val="0"/>
          <w:numId w:val="2"/>
        </w:numPr>
        <w:spacing w:after="60" w:line="280"/>
        <w:jc w:val="both"/>
      </w:pPr>
      <w:r>
        <w:rPr>
          <w:rFonts w:ascii="Times New Roman" w:cs="Times New Roman" w:eastAsia="Times New Roman" w:hAnsi="Times New Roman"/>
          <w:sz w:val="22"/>
          <w:szCs w:val="22"/>
        </w:rPr>
        <w:t xml:space="preserve">Score the user against a TESDA track and recommend pathways, jobs, and businesses suited to the recognized skills.</w:t>
      </w:r>
    </w:p>
    <w:p>
      <w:pPr>
        <w:spacing w:after="120" w:line="300"/>
        <w:jc w:val="both"/>
      </w:pPr>
      <w:r>
        <w:rPr>
          <w:rFonts w:ascii="Times New Roman" w:cs="Times New Roman" w:eastAsia="Times New Roman" w:hAnsi="Times New Roman"/>
          <w:b w:val="false"/>
          <w:bCs w:val="false"/>
          <w:i w:val="false"/>
          <w:iCs w:val="false"/>
          <w:sz w:val="22"/>
          <w:szCs w:val="22"/>
        </w:rPr>
        <w:t xml:space="preserve">For the functionality of the system, it would include:</w:t>
      </w:r>
    </w:p>
    <w:p>
      <w:pPr>
        <w:pStyle w:val="ListParagraph"/>
        <w:numPr>
          <w:ilvl w:val="0"/>
          <w:numId w:val="2"/>
        </w:numPr>
        <w:spacing w:after="60" w:line="280"/>
        <w:jc w:val="both"/>
      </w:pPr>
      <w:r>
        <w:rPr>
          <w:rFonts w:ascii="Times New Roman" w:cs="Times New Roman" w:eastAsia="Times New Roman" w:hAnsi="Times New Roman"/>
          <w:sz w:val="22"/>
          <w:szCs w:val="22"/>
        </w:rPr>
        <w:t xml:space="preserve">Voice Capture &amp; Transcription using Whisper, designed for Taglish code-switching.</w:t>
      </w:r>
    </w:p>
    <w:p>
      <w:pPr>
        <w:pStyle w:val="ListParagraph"/>
        <w:numPr>
          <w:ilvl w:val="0"/>
          <w:numId w:val="2"/>
        </w:numPr>
        <w:spacing w:after="60" w:line="280"/>
        <w:jc w:val="both"/>
      </w:pPr>
      <w:r>
        <w:rPr>
          <w:rFonts w:ascii="Times New Roman" w:cs="Times New Roman" w:eastAsia="Times New Roman" w:hAnsi="Times New Roman"/>
          <w:sz w:val="22"/>
          <w:szCs w:val="22"/>
        </w:rPr>
        <w:t xml:space="preserve">Skill Recognition through XLM-RoBERTa span tagging combined with an LLM rephrasing layer.</w:t>
      </w:r>
    </w:p>
    <w:p>
      <w:pPr>
        <w:pStyle w:val="ListParagraph"/>
        <w:numPr>
          <w:ilvl w:val="0"/>
          <w:numId w:val="2"/>
        </w:numPr>
        <w:spacing w:after="60" w:line="280"/>
        <w:jc w:val="both"/>
      </w:pPr>
      <w:r>
        <w:rPr>
          <w:rFonts w:ascii="Times New Roman" w:cs="Times New Roman" w:eastAsia="Times New Roman" w:hAnsi="Times New Roman"/>
          <w:sz w:val="22"/>
          <w:szCs w:val="22"/>
        </w:rPr>
        <w:t xml:space="preserve">Document Vision for OCR of TESDA certificates and other proof documents.</w:t>
      </w:r>
    </w:p>
    <w:p>
      <w:pPr>
        <w:pStyle w:val="ListParagraph"/>
        <w:numPr>
          <w:ilvl w:val="0"/>
          <w:numId w:val="2"/>
        </w:numPr>
        <w:spacing w:after="60" w:line="280"/>
        <w:jc w:val="both"/>
      </w:pPr>
      <w:r>
        <w:rPr>
          <w:rFonts w:ascii="Times New Roman" w:cs="Times New Roman" w:eastAsia="Times New Roman" w:hAnsi="Times New Roman"/>
          <w:sz w:val="22"/>
          <w:szCs w:val="22"/>
        </w:rPr>
        <w:t xml:space="preserve">Readiness Scoring against a TESDA reference track and rule-based job matching.</w:t>
      </w:r>
    </w:p>
    <w:p>
      <w:pPr>
        <w:pStyle w:val="ListParagraph"/>
        <w:numPr>
          <w:ilvl w:val="0"/>
          <w:numId w:val="2"/>
        </w:numPr>
        <w:spacing w:after="60" w:line="280"/>
        <w:jc w:val="both"/>
      </w:pPr>
      <w:r>
        <w:rPr>
          <w:rFonts w:ascii="Times New Roman" w:cs="Times New Roman" w:eastAsia="Times New Roman" w:hAnsi="Times New Roman"/>
          <w:sz w:val="22"/>
          <w:szCs w:val="22"/>
        </w:rPr>
        <w:t xml:space="preserve">Profile Export in PDF form so users can share their generated resume.</w:t>
      </w:r>
    </w:p>
    <w:p>
      <w:pPr>
        <w:spacing w:after="120" w:line="300"/>
        <w:jc w:val="both"/>
      </w:pPr>
      <w:r>
        <w:rPr>
          <w:rFonts w:ascii="Times New Roman" w:cs="Times New Roman" w:eastAsia="Times New Roman" w:hAnsi="Times New Roman"/>
          <w:b w:val="false"/>
          <w:bCs w:val="false"/>
          <w:i w:val="false"/>
          <w:iCs w:val="false"/>
          <w:sz w:val="22"/>
          <w:szCs w:val="22"/>
        </w:rPr>
        <w:t xml:space="preserve">The system is deployed as a mobile-first Next.js web application, supported by a FastAPI ML service and Supabase Postgres with Storage. Privacy is enforced by default: raw audio is hard-deleted within 24 hours, no PII leaves the allowlist of providers declared in mcp/policy.md, and the consent flow is oral so it works for low-literacy users.</w:t>
      </w:r>
    </w:p>
    <w:p>
      <w:pPr>
        <w:pStyle w:val="Heading1"/>
        <w:spacing w:after="120" w:before="200"/>
      </w:pPr>
      <w:r>
        <w:rPr>
          <w:rFonts w:ascii="Times New Roman" w:cs="Times New Roman" w:eastAsia="Times New Roman" w:hAnsi="Times New Roman"/>
          <w:b/>
          <w:bCs/>
          <w:sz w:val="26"/>
          <w:szCs w:val="26"/>
        </w:rPr>
        <w:t xml:space="preserve">2. System Architecture</w:t>
      </w:r>
    </w:p>
    <w:p>
      <w:pPr>
        <w:spacing w:after="120" w:line="300"/>
        <w:jc w:val="both"/>
      </w:pPr>
      <w:r>
        <w:rPr>
          <w:rFonts w:ascii="Times New Roman" w:cs="Times New Roman" w:eastAsia="Times New Roman" w:hAnsi="Times New Roman"/>
          <w:b w:val="false"/>
          <w:bCs w:val="false"/>
          <w:i w:val="false"/>
          <w:iCs w:val="false"/>
          <w:sz w:val="22"/>
          <w:szCs w:val="22"/>
        </w:rPr>
        <w:t xml:space="preserve">The system is divided across three primary actors: Workers (the public end users), Reviewers (TESDA partners or training institutions, post-hackathon), and Administrators (the operating team). For the hackathon scope, the Worker role is fully implemented while the Reviewer and Administrator roles are stubbed.</w:t>
      </w:r>
    </w:p>
    <w:p>
      <w:pPr>
        <w:spacing w:after="120" w:line="300"/>
        <w:jc w:val="both"/>
      </w:pPr>
      <w:r>
        <w:rPr>
          <w:rFonts w:ascii="Times New Roman" w:cs="Times New Roman" w:eastAsia="Times New Roman" w:hAnsi="Times New Roman"/>
          <w:b w:val="false"/>
          <w:bCs w:val="false"/>
          <w:i w:val="false"/>
          <w:iCs w:val="false"/>
          <w:sz w:val="22"/>
          <w:szCs w:val="22"/>
        </w:rPr>
        <w:t xml:space="preserve">The Worker role can perform the following actions:</w:t>
      </w:r>
    </w:p>
    <w:p>
      <w:pPr>
        <w:pStyle w:val="ListParagraph"/>
        <w:numPr>
          <w:ilvl w:val="0"/>
          <w:numId w:val="2"/>
        </w:numPr>
        <w:spacing w:after="60" w:line="280"/>
        <w:jc w:val="both"/>
      </w:pPr>
      <w:r>
        <w:rPr>
          <w:rFonts w:ascii="Times New Roman" w:cs="Times New Roman" w:eastAsia="Times New Roman" w:hAnsi="Times New Roman"/>
          <w:sz w:val="22"/>
          <w:szCs w:val="22"/>
        </w:rPr>
        <w:t xml:space="preserve">Grant oral consent and start a recording session.</w:t>
      </w:r>
    </w:p>
    <w:p>
      <w:pPr>
        <w:pStyle w:val="ListParagraph"/>
        <w:numPr>
          <w:ilvl w:val="0"/>
          <w:numId w:val="2"/>
        </w:numPr>
        <w:spacing w:after="60" w:line="280"/>
        <w:jc w:val="both"/>
      </w:pPr>
      <w:r>
        <w:rPr>
          <w:rFonts w:ascii="Times New Roman" w:cs="Times New Roman" w:eastAsia="Times New Roman" w:hAnsi="Times New Roman"/>
          <w:sz w:val="22"/>
          <w:szCs w:val="22"/>
        </w:rPr>
        <w:t xml:space="preserve">Record a Taglish voice story up to three minutes long.</w:t>
      </w:r>
    </w:p>
    <w:p>
      <w:pPr>
        <w:pStyle w:val="ListParagraph"/>
        <w:numPr>
          <w:ilvl w:val="0"/>
          <w:numId w:val="2"/>
        </w:numPr>
        <w:spacing w:after="60" w:line="280"/>
        <w:jc w:val="both"/>
      </w:pPr>
      <w:r>
        <w:rPr>
          <w:rFonts w:ascii="Times New Roman" w:cs="Times New Roman" w:eastAsia="Times New Roman" w:hAnsi="Times New Roman"/>
          <w:sz w:val="22"/>
          <w:szCs w:val="22"/>
        </w:rPr>
        <w:t xml:space="preserve">Review, replay, edit, or re-record the auto-generated transcript.</w:t>
      </w:r>
    </w:p>
    <w:p>
      <w:pPr>
        <w:pStyle w:val="ListParagraph"/>
        <w:numPr>
          <w:ilvl w:val="0"/>
          <w:numId w:val="2"/>
        </w:numPr>
        <w:spacing w:after="60" w:line="280"/>
        <w:jc w:val="both"/>
      </w:pPr>
      <w:r>
        <w:rPr>
          <w:rFonts w:ascii="Times New Roman" w:cs="Times New Roman" w:eastAsia="Times New Roman" w:hAnsi="Times New Roman"/>
          <w:sz w:val="22"/>
          <w:szCs w:val="22"/>
        </w:rPr>
        <w:t xml:space="preserve">Capture supporting documents (TESDA certificates, IDs) for OCR-based skill inference.</w:t>
      </w:r>
    </w:p>
    <w:p>
      <w:pPr>
        <w:pStyle w:val="ListParagraph"/>
        <w:numPr>
          <w:ilvl w:val="0"/>
          <w:numId w:val="2"/>
        </w:numPr>
        <w:spacing w:after="60" w:line="280"/>
        <w:jc w:val="both"/>
      </w:pPr>
      <w:r>
        <w:rPr>
          <w:rFonts w:ascii="Times New Roman" w:cs="Times New Roman" w:eastAsia="Times New Roman" w:hAnsi="Times New Roman"/>
          <w:sz w:val="22"/>
          <w:szCs w:val="22"/>
        </w:rPr>
        <w:t xml:space="preserve">Confirm, edit, or reject extracted competencies before scoring.</w:t>
      </w:r>
    </w:p>
    <w:p>
      <w:pPr>
        <w:pStyle w:val="ListParagraph"/>
        <w:numPr>
          <w:ilvl w:val="0"/>
          <w:numId w:val="2"/>
        </w:numPr>
        <w:spacing w:after="60" w:line="280"/>
        <w:jc w:val="both"/>
      </w:pPr>
      <w:r>
        <w:rPr>
          <w:rFonts w:ascii="Times New Roman" w:cs="Times New Roman" w:eastAsia="Times New Roman" w:hAnsi="Times New Roman"/>
          <w:sz w:val="22"/>
          <w:szCs w:val="22"/>
        </w:rPr>
        <w:t xml:space="preserve">View readiness score, missing skills, and suggested job archetypes.</w:t>
      </w:r>
    </w:p>
    <w:p>
      <w:pPr>
        <w:pStyle w:val="ListParagraph"/>
        <w:numPr>
          <w:ilvl w:val="0"/>
          <w:numId w:val="2"/>
        </w:numPr>
        <w:spacing w:after="60" w:line="280"/>
        <w:jc w:val="both"/>
      </w:pPr>
      <w:r>
        <w:rPr>
          <w:rFonts w:ascii="Times New Roman" w:cs="Times New Roman" w:eastAsia="Times New Roman" w:hAnsi="Times New Roman"/>
          <w:sz w:val="22"/>
          <w:szCs w:val="22"/>
        </w:rPr>
        <w:t xml:space="preserve">Export and download a generated PDF resume.</w:t>
      </w:r>
    </w:p>
    <w:p>
      <w:pPr>
        <w:pStyle w:val="ListParagraph"/>
        <w:numPr>
          <w:ilvl w:val="0"/>
          <w:numId w:val="2"/>
        </w:numPr>
        <w:spacing w:after="60" w:line="280"/>
        <w:jc w:val="both"/>
      </w:pPr>
      <w:r>
        <w:rPr>
          <w:rFonts w:ascii="Times New Roman" w:cs="Times New Roman" w:eastAsia="Times New Roman" w:hAnsi="Times New Roman"/>
          <w:sz w:val="22"/>
          <w:szCs w:val="22"/>
        </w:rPr>
        <w:t xml:space="preserve">Request hard deletion of all session data.</w:t>
      </w:r>
    </w:p>
    <w:p>
      <w:pPr>
        <w:spacing w:after="120" w:line="300"/>
        <w:jc w:val="both"/>
      </w:pPr>
      <w:r>
        <w:rPr>
          <w:rFonts w:ascii="Times New Roman" w:cs="Times New Roman" w:eastAsia="Times New Roman" w:hAnsi="Times New Roman"/>
          <w:b w:val="false"/>
          <w:bCs w:val="false"/>
          <w:i w:val="false"/>
          <w:iCs w:val="false"/>
          <w:sz w:val="22"/>
          <w:szCs w:val="22"/>
        </w:rPr>
        <w:t xml:space="preserve">The Administrator role (post-hackathon) has access to the following functionalities:</w:t>
      </w:r>
    </w:p>
    <w:p>
      <w:pPr>
        <w:pStyle w:val="ListParagraph"/>
        <w:numPr>
          <w:ilvl w:val="0"/>
          <w:numId w:val="2"/>
        </w:numPr>
        <w:spacing w:after="60" w:line="280"/>
        <w:jc w:val="both"/>
      </w:pPr>
      <w:r>
        <w:rPr>
          <w:rFonts w:ascii="Times New Roman" w:cs="Times New Roman" w:eastAsia="Times New Roman" w:hAnsi="Times New Roman"/>
          <w:sz w:val="22"/>
          <w:szCs w:val="22"/>
        </w:rPr>
        <w:t xml:space="preserve">Monitor consent and deletion audit logs for RA 10173 compliance.</w:t>
      </w:r>
    </w:p>
    <w:p>
      <w:pPr>
        <w:pStyle w:val="ListParagraph"/>
        <w:numPr>
          <w:ilvl w:val="0"/>
          <w:numId w:val="2"/>
        </w:numPr>
        <w:spacing w:after="60" w:line="280"/>
        <w:jc w:val="both"/>
      </w:pPr>
      <w:r>
        <w:rPr>
          <w:rFonts w:ascii="Times New Roman" w:cs="Times New Roman" w:eastAsia="Times New Roman" w:hAnsi="Times New Roman"/>
          <w:sz w:val="22"/>
          <w:szCs w:val="22"/>
        </w:rPr>
        <w:t xml:space="preserve">Manage TESDA reference tracks and competency taxonomies.</w:t>
      </w:r>
    </w:p>
    <w:p>
      <w:pPr>
        <w:pStyle w:val="ListParagraph"/>
        <w:numPr>
          <w:ilvl w:val="0"/>
          <w:numId w:val="2"/>
        </w:numPr>
        <w:spacing w:after="60" w:line="280"/>
        <w:jc w:val="both"/>
      </w:pPr>
      <w:r>
        <w:rPr>
          <w:rFonts w:ascii="Times New Roman" w:cs="Times New Roman" w:eastAsia="Times New Roman" w:hAnsi="Times New Roman"/>
          <w:sz w:val="22"/>
          <w:szCs w:val="22"/>
        </w:rPr>
        <w:t xml:space="preserve">Review aggregated, anonymized analytics on usage and pathway outcomes.</w:t>
      </w:r>
    </w:p>
    <w:p>
      <w:pPr>
        <w:spacing w:after="120" w:line="300"/>
        <w:jc w:val="both"/>
      </w:pPr>
      <w:r>
        <w:rPr>
          <w:rFonts w:ascii="Times New Roman" w:cs="Times New Roman" w:eastAsia="Times New Roman" w:hAnsi="Times New Roman"/>
          <w:b w:val="false"/>
          <w:bCs w:val="false"/>
          <w:i w:val="false"/>
          <w:iCs w:val="false"/>
          <w:sz w:val="22"/>
          <w:szCs w:val="22"/>
        </w:rPr>
        <w:t xml:space="preserve">The system follows a strict client-to-service contract: the frontend never calls external AI providers directly. Every Whisper, LLM, or Vision API request is brokered through the FastAPI service so that rate limiting, prompt versioning, and content filtering remain centralized.</w:t>
      </w:r>
    </w:p>
    <w:p>
      <w:pPr>
        <w:pStyle w:val="Heading2"/>
        <w:spacing w:after="100" w:before="160"/>
      </w:pPr>
      <w:r>
        <w:rPr>
          <w:rFonts w:ascii="Times New Roman" w:cs="Times New Roman" w:eastAsia="Times New Roman" w:hAnsi="Times New Roman"/>
          <w:b/>
          <w:bCs/>
          <w:sz w:val="24"/>
          <w:szCs w:val="24"/>
        </w:rPr>
        <w:t xml:space="preserve">2.1 Decomposition Description</w:t>
      </w:r>
    </w:p>
    <w:p>
      <w:pPr>
        <w:spacing w:after="120" w:line="300"/>
        <w:jc w:val="both"/>
      </w:pPr>
      <w:r>
        <w:rPr>
          <w:rFonts w:ascii="Times New Roman" w:cs="Times New Roman" w:eastAsia="Times New Roman" w:hAnsi="Times New Roman"/>
          <w:b w:val="false"/>
          <w:bCs w:val="false"/>
          <w:i w:val="false"/>
          <w:iCs w:val="false"/>
          <w:sz w:val="22"/>
          <w:szCs w:val="22"/>
        </w:rPr>
        <w:t xml:space="preserve">The architecture is decomposed into five logical subsystems, each with a clear ownership boundary and a single-purpose contract.</w:t>
      </w:r>
    </w:p>
    <w:p>
      <w:pPr>
        <w:spacing w:after="100" w:line="300"/>
        <w:jc w:val="both"/>
      </w:pPr>
      <w:r>
        <w:rPr>
          <w:rFonts w:ascii="Times New Roman" w:cs="Times New Roman" w:eastAsia="Times New Roman" w:hAnsi="Times New Roman"/>
          <w:b/>
          <w:bCs/>
          <w:sz w:val="22"/>
          <w:szCs w:val="22"/>
        </w:rPr>
        <w:t xml:space="preserve">Web Client (apps/web). </w:t>
      </w:r>
      <w:r>
        <w:rPr>
          <w:rFonts w:ascii="Times New Roman" w:cs="Times New Roman" w:eastAsia="Times New Roman" w:hAnsi="Times New Roman"/>
          <w:sz w:val="22"/>
          <w:szCs w:val="22"/>
        </w:rPr>
        <w:t xml:space="preserve">A Next.js 14 application styled with Tailwind CSS and managed with Zustand. It hosts the consent gate, voice recorder, transcript editor, competency editor, score view, and PDF export. It uploads audio and document blobs directly to Supabase Storage via signed URLs and proxies all AI calls through Next.js API routes.</w:t>
      </w:r>
    </w:p>
    <w:p>
      <w:pPr>
        <w:spacing w:after="100" w:line="300"/>
        <w:jc w:val="both"/>
      </w:pPr>
      <w:r>
        <w:rPr>
          <w:rFonts w:ascii="Times New Roman" w:cs="Times New Roman" w:eastAsia="Times New Roman" w:hAnsi="Times New Roman"/>
          <w:b/>
          <w:bCs/>
          <w:sz w:val="22"/>
          <w:szCs w:val="22"/>
        </w:rPr>
        <w:t xml:space="preserve">ML Service (apps/service). </w:t>
      </w:r>
      <w:r>
        <w:rPr>
          <w:rFonts w:ascii="Times New Roman" w:cs="Times New Roman" w:eastAsia="Times New Roman" w:hAnsi="Times New Roman"/>
          <w:sz w:val="22"/>
          <w:szCs w:val="22"/>
        </w:rPr>
        <w:t xml:space="preserve">A FastAPI service that exposes /transcribe, /extract, /vision, and /score endpoints. It owns Whisper integration, the XLM-RoBERTa span tagger, the LLM rephrasing prompts, the OCR pipeline, and the rule-based readiness scorer. Prompts are versioned in apps/service/prompts/ rather than inlined in Python.</w:t>
      </w:r>
    </w:p>
    <w:p>
      <w:pPr>
        <w:spacing w:after="100" w:line="300"/>
        <w:jc w:val="both"/>
      </w:pPr>
      <w:r>
        <w:rPr>
          <w:rFonts w:ascii="Times New Roman" w:cs="Times New Roman" w:eastAsia="Times New Roman" w:hAnsi="Times New Roman"/>
          <w:b/>
          <w:bCs/>
          <w:sz w:val="22"/>
          <w:szCs w:val="22"/>
        </w:rPr>
        <w:t xml:space="preserve">Supabase Storage. </w:t>
      </w:r>
      <w:r>
        <w:rPr>
          <w:rFonts w:ascii="Times New Roman" w:cs="Times New Roman" w:eastAsia="Times New Roman" w:hAnsi="Times New Roman"/>
          <w:sz w:val="22"/>
          <w:szCs w:val="22"/>
        </w:rPr>
        <w:t xml:space="preserve">Two buckets: audio for raw recordings (24-hour hard delete), and documents for captured images (deleted after OCR completes). Access is gated by signed URLs issued by the Next.js server.</w:t>
      </w:r>
    </w:p>
    <w:p>
      <w:pPr>
        <w:spacing w:after="100" w:line="300"/>
        <w:jc w:val="both"/>
      </w:pPr>
      <w:r>
        <w:rPr>
          <w:rFonts w:ascii="Times New Roman" w:cs="Times New Roman" w:eastAsia="Times New Roman" w:hAnsi="Times New Roman"/>
          <w:b/>
          <w:bCs/>
          <w:sz w:val="22"/>
          <w:szCs w:val="22"/>
        </w:rPr>
        <w:t xml:space="preserve">Supabase Postgres. </w:t>
      </w:r>
      <w:r>
        <w:rPr>
          <w:rFonts w:ascii="Times New Roman" w:cs="Times New Roman" w:eastAsia="Times New Roman" w:hAnsi="Times New Roman"/>
          <w:sz w:val="22"/>
          <w:szCs w:val="22"/>
        </w:rPr>
        <w:t xml:space="preserve">Stores sessions, profiles, and the audit log. Access is via raw SQL through psycopg, since the team is deliberately practicing raw SQL fluency over ORM patterns.</w:t>
      </w:r>
    </w:p>
    <w:p>
      <w:pPr>
        <w:spacing w:after="160" w:line="300"/>
        <w:jc w:val="both"/>
      </w:pPr>
      <w:r>
        <w:rPr>
          <w:rFonts w:ascii="Times New Roman" w:cs="Times New Roman" w:eastAsia="Times New Roman" w:hAnsi="Times New Roman"/>
          <w:b/>
          <w:bCs/>
          <w:sz w:val="22"/>
          <w:szCs w:val="22"/>
        </w:rPr>
        <w:t xml:space="preserve">External Providers. </w:t>
      </w:r>
      <w:r>
        <w:rPr>
          <w:rFonts w:ascii="Times New Roman" w:cs="Times New Roman" w:eastAsia="Times New Roman" w:hAnsi="Times New Roman"/>
          <w:sz w:val="22"/>
          <w:szCs w:val="22"/>
        </w:rPr>
        <w:t xml:space="preserve">Whisper for transcription, OpenAI/Anthropic for the LLM layer, and a Vision OCR provider for document recognition. The closed allowlist lives in mcp/policy.md.</w:t>
      </w:r>
    </w:p>
    <w:p>
      <w:pPr>
        <w:spacing w:after="120" w:line="300"/>
        <w:jc w:val="both"/>
      </w:pPr>
      <w:r>
        <w:rPr>
          <w:rFonts w:ascii="Times New Roman" w:cs="Times New Roman" w:eastAsia="Times New Roman" w:hAnsi="Times New Roman"/>
          <w:b w:val="false"/>
          <w:bCs w:val="false"/>
          <w:i w:val="false"/>
          <w:iCs w:val="false"/>
          <w:sz w:val="22"/>
          <w:szCs w:val="22"/>
        </w:rPr>
        <w:t xml:space="preserve">The end-to-end sequence for a single user flow is: (1) consent and session creation, (2) audio upload, (3) /transcribe call, (4) /extract call for competencies, (5) optional /vision calls per document, (6) client-side merge and user confirmation, (7) /score call, (8) profile retrieval and PDF export. Every step except client-side merge produces an audit_log entry tagged with the session id.</w:t>
      </w:r>
    </w:p>
    <w:p>
      <w:pPr>
        <w:pStyle w:val="Heading1"/>
        <w:spacing w:after="120" w:before="200"/>
      </w:pPr>
      <w:r>
        <w:rPr>
          <w:rFonts w:ascii="Times New Roman" w:cs="Times New Roman" w:eastAsia="Times New Roman" w:hAnsi="Times New Roman"/>
          <w:b/>
          <w:bCs/>
          <w:sz w:val="26"/>
          <w:szCs w:val="26"/>
        </w:rPr>
        <w:t xml:space="preserve">3. Data Design</w:t>
      </w:r>
    </w:p>
    <w:p>
      <w:pPr>
        <w:pStyle w:val="Heading2"/>
        <w:spacing w:after="100" w:before="160"/>
      </w:pPr>
      <w:r>
        <w:rPr>
          <w:rFonts w:ascii="Times New Roman" w:cs="Times New Roman" w:eastAsia="Times New Roman" w:hAnsi="Times New Roman"/>
          <w:b/>
          <w:bCs/>
          <w:sz w:val="24"/>
          <w:szCs w:val="24"/>
        </w:rPr>
        <w:t xml:space="preserve">3.1 Data Description</w:t>
      </w:r>
    </w:p>
    <w:p>
      <w:pPr>
        <w:spacing w:after="120" w:line="300"/>
        <w:jc w:val="both"/>
      </w:pPr>
      <w:r>
        <w:rPr>
          <w:rFonts w:ascii="Times New Roman" w:cs="Times New Roman" w:eastAsia="Times New Roman" w:hAnsi="Times New Roman"/>
          <w:b w:val="false"/>
          <w:bCs w:val="false"/>
          <w:i w:val="false"/>
          <w:iCs w:val="false"/>
          <w:sz w:val="22"/>
          <w:szCs w:val="22"/>
        </w:rPr>
        <w:t xml:space="preserve">The data model is intentionally minimal for the hackathon. Three core tables (sessions, profiles, audit_log) plus two storage buckets (audio, documents) cover every use case. Competencies, readiness scores, and job suggestions are stored as JSONB inside the profiles row rather than normalized into separate tables, since the hackathon scope does not require cross-session analytical queries against these structures.</w:t>
      </w:r>
    </w:p>
    <w:p>
      <w:pPr>
        <w:spacing w:after="120" w:line="300"/>
        <w:jc w:val="both"/>
      </w:pPr>
      <w:r>
        <w:rPr>
          <w:rFonts w:ascii="Times New Roman" w:cs="Times New Roman" w:eastAsia="Times New Roman" w:hAnsi="Times New Roman"/>
          <w:b w:val="false"/>
          <w:bCs w:val="false"/>
          <w:i w:val="false"/>
          <w:iCs w:val="false"/>
          <w:sz w:val="22"/>
          <w:szCs w:val="22"/>
        </w:rPr>
        <w:t xml:space="preserve">Relationships are simple: each session has at most one profile (one-to-one, profile is created when /score returns), and each session may have many audit_log entries (one-to-many). Storage objects reference sessions by id embedded in the storage path.</w:t>
      </w:r>
    </w:p>
    <w:p>
      <w:pPr>
        <w:pStyle w:val="Heading2"/>
        <w:spacing w:after="100" w:before="160"/>
      </w:pPr>
      <w:r>
        <w:rPr>
          <w:rFonts w:ascii="Times New Roman" w:cs="Times New Roman" w:eastAsia="Times New Roman" w:hAnsi="Times New Roman"/>
          <w:b/>
          <w:bCs/>
          <w:sz w:val="24"/>
          <w:szCs w:val="24"/>
        </w:rPr>
        <w:t xml:space="preserve">3.2 Data Dictionary</w:t>
      </w:r>
    </w:p>
    <w:p>
      <w:pPr>
        <w:spacing w:after="120" w:line="300"/>
        <w:jc w:val="both"/>
      </w:pPr>
      <w:r>
        <w:rPr>
          <w:rFonts w:ascii="Times New Roman" w:cs="Times New Roman" w:eastAsia="Times New Roman" w:hAnsi="Times New Roman"/>
          <w:b w:val="false"/>
          <w:bCs w:val="false"/>
          <w:i w:val="false"/>
          <w:iCs w:val="false"/>
          <w:sz w:val="22"/>
          <w:szCs w:val="22"/>
        </w:rPr>
        <w:t xml:space="preserve">There are three entities used in the persistent data layer: Session, Profile, and AuditLog. The tables below show the data dictionary for each entity.</w:t>
      </w:r>
    </w:p>
    <w:p>
      <w:pPr>
        <w:pStyle w:val="Heading3"/>
        <w:spacing w:after="80" w:before="120"/>
      </w:pPr>
      <w:r>
        <w:rPr>
          <w:rFonts w:ascii="Times New Roman" w:cs="Times New Roman" w:eastAsia="Times New Roman" w:hAnsi="Times New Roman"/>
          <w:b/>
          <w:bCs/>
          <w:sz w:val="22"/>
          <w:szCs w:val="22"/>
        </w:rPr>
        <w:t xml:space="preserve">3.2.1 Session Entity</w:t>
      </w:r>
    </w:p>
    <w:p>
      <w:pPr>
        <w:spacing w:after="100" w:line="300"/>
        <w:jc w:val="both"/>
      </w:pPr>
      <w:r>
        <w:rPr>
          <w:rFonts w:ascii="Times New Roman" w:cs="Times New Roman" w:eastAsia="Times New Roman" w:hAnsi="Times New Roman"/>
          <w:b w:val="false"/>
          <w:bCs w:val="false"/>
          <w:i w:val="false"/>
          <w:iCs w:val="false"/>
          <w:sz w:val="22"/>
          <w:szCs w:val="22"/>
        </w:rPr>
        <w:t xml:space="preserve">The Session entity represents a single onboarding attempt by a worker, including the consent state at the time the session was created. It is the root of all data attached to 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000000" w:sz="4"/>
              <w:left w:val="single" w:color="000000" w:sz="4"/>
              <w:bottom w:val="single" w:color="000000" w:sz="4"/>
              <w:right w:val="single" w:color="000000" w:sz="4"/>
            </w:tcBorders>
            <w:shd w:fill="DCE6F1"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Field Name</w:t>
            </w:r>
          </w:p>
        </w:tc>
        <w:tc>
          <w:tcPr>
            <w:tcW w:type="dxa" w:w="1700"/>
            <w:tcBorders>
              <w:top w:val="single" w:color="000000" w:sz="4"/>
              <w:left w:val="single" w:color="000000" w:sz="4"/>
              <w:bottom w:val="single" w:color="000000" w:sz="4"/>
              <w:right w:val="single" w:color="000000" w:sz="4"/>
            </w:tcBorders>
            <w:shd w:fill="DCE6F1"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Data Type</w:t>
            </w:r>
          </w:p>
        </w:tc>
        <w:tc>
          <w:tcPr>
            <w:tcW w:type="dxa" w:w="1900"/>
            <w:tcBorders>
              <w:top w:val="single" w:color="000000" w:sz="4"/>
              <w:left w:val="single" w:color="000000" w:sz="4"/>
              <w:bottom w:val="single" w:color="000000" w:sz="4"/>
              <w:right w:val="single" w:color="000000" w:sz="4"/>
            </w:tcBorders>
            <w:shd w:fill="DCE6F1"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Constraint</w:t>
            </w:r>
          </w:p>
        </w:tc>
        <w:tc>
          <w:tcPr>
            <w:tcW w:type="dxa" w:w="3860"/>
            <w:tcBorders>
              <w:top w:val="single" w:color="000000" w:sz="4"/>
              <w:left w:val="single" w:color="000000" w:sz="4"/>
              <w:bottom w:val="single" w:color="000000" w:sz="4"/>
              <w:right w:val="single" w:color="000000" w:sz="4"/>
            </w:tcBorders>
            <w:shd w:fill="DCE6F1"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Description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id</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TEXT</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PRIMARY KEY</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Unique opaque identifier for the session (e.g., "ses_abc123").</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phone_number</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TEXT</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NOT NULL</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User-supplied phone number used for re-entry to the session.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consent_voice</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BOOLEAN</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NOT NULL, DEFAULT FALSE</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Whether the user granted oral consent to voice processing.</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consent_image</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BOOLEAN</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NOT NULL, DEFAULT FALSE</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Whether the user granted consent to document image processing.</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consent_at</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TIMESTAMPTZ</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NULL</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Timestamp of the most recent consent decision.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created_at</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TIMESTAMPTZ</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NOT NULL, DEFAULT now()</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Session creation timestamp.</w:t>
            </w:r>
          </w:p>
        </w:tc>
      </w:tr>
    </w:tbl>
    <w:p>
      <w:pPr>
        <w:spacing w:after="200" w:line="280"/>
        <w:jc w:val="center"/>
      </w:pPr>
      <w:r>
        <w:rPr>
          <w:rFonts w:ascii="Times New Roman" w:cs="Times New Roman" w:eastAsia="Times New Roman" w:hAnsi="Times New Roman"/>
          <w:b w:val="false"/>
          <w:bCs w:val="false"/>
          <w:i/>
          <w:iCs/>
          <w:sz w:val="22"/>
          <w:szCs w:val="22"/>
        </w:rPr>
        <w:t xml:space="preserve">Figure D3.1: Session Data Dictionary Table</w:t>
      </w:r>
    </w:p>
    <w:p>
      <w:pPr>
        <w:pStyle w:val="Heading3"/>
        <w:spacing w:after="80" w:before="120"/>
      </w:pPr>
      <w:r>
        <w:rPr>
          <w:rFonts w:ascii="Times New Roman" w:cs="Times New Roman" w:eastAsia="Times New Roman" w:hAnsi="Times New Roman"/>
          <w:b/>
          <w:bCs/>
          <w:sz w:val="22"/>
          <w:szCs w:val="22"/>
        </w:rPr>
        <w:t xml:space="preserve">3.2.2 Profile Entity</w:t>
      </w:r>
    </w:p>
    <w:p>
      <w:pPr>
        <w:spacing w:after="100" w:line="300"/>
        <w:jc w:val="both"/>
      </w:pPr>
      <w:r>
        <w:rPr>
          <w:rFonts w:ascii="Times New Roman" w:cs="Times New Roman" w:eastAsia="Times New Roman" w:hAnsi="Times New Roman"/>
          <w:b w:val="false"/>
          <w:bCs w:val="false"/>
          <w:i w:val="false"/>
          <w:iCs w:val="false"/>
          <w:sz w:val="22"/>
          <w:szCs w:val="22"/>
        </w:rPr>
        <w:t xml:space="preserve">The Profile entity holds the user-confirmed competencies, the readiness score, and the recommended job archetypes for a session. It is created or replaced when /score returns successfully.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000000" w:sz="4"/>
              <w:left w:val="single" w:color="000000" w:sz="4"/>
              <w:bottom w:val="single" w:color="000000" w:sz="4"/>
              <w:right w:val="single" w:color="000000" w:sz="4"/>
            </w:tcBorders>
            <w:shd w:fill="DCE6F1"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Field Name</w:t>
            </w:r>
          </w:p>
        </w:tc>
        <w:tc>
          <w:tcPr>
            <w:tcW w:type="dxa" w:w="1700"/>
            <w:tcBorders>
              <w:top w:val="single" w:color="000000" w:sz="4"/>
              <w:left w:val="single" w:color="000000" w:sz="4"/>
              <w:bottom w:val="single" w:color="000000" w:sz="4"/>
              <w:right w:val="single" w:color="000000" w:sz="4"/>
            </w:tcBorders>
            <w:shd w:fill="DCE6F1"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Data Type</w:t>
            </w:r>
          </w:p>
        </w:tc>
        <w:tc>
          <w:tcPr>
            <w:tcW w:type="dxa" w:w="1900"/>
            <w:tcBorders>
              <w:top w:val="single" w:color="000000" w:sz="4"/>
              <w:left w:val="single" w:color="000000" w:sz="4"/>
              <w:bottom w:val="single" w:color="000000" w:sz="4"/>
              <w:right w:val="single" w:color="000000" w:sz="4"/>
            </w:tcBorders>
            <w:shd w:fill="DCE6F1"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Constraint</w:t>
            </w:r>
          </w:p>
        </w:tc>
        <w:tc>
          <w:tcPr>
            <w:tcW w:type="dxa" w:w="3860"/>
            <w:tcBorders>
              <w:top w:val="single" w:color="000000" w:sz="4"/>
              <w:left w:val="single" w:color="000000" w:sz="4"/>
              <w:bottom w:val="single" w:color="000000" w:sz="4"/>
              <w:right w:val="single" w:color="000000" w:sz="4"/>
            </w:tcBorders>
            <w:shd w:fill="DCE6F1"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Description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session_id</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TEXT</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PRIMARY KEY, FOREIGN KEY</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References sessions.id with ON DELETE CASCADE.</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competencies</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JSONB</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NOT NULL, DEFAULT []</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Final user-confirmed list of Competency objects (taglish_label, english_label, confidence, evidence_span).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readiness</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JSONB</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NULL</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ReadinessScore object with track_id, score, matched, missing, and reasoning.</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job_suggestions</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JSONB</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NOT NULL, DEFAULT []</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List of JobSuggestion objects with archetype and reasoning.</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updated_at</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TIMESTAMPTZ</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NOT NULL, DEFAULT now()</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Last time the profile was updated by /score.</w:t>
            </w:r>
          </w:p>
        </w:tc>
      </w:tr>
    </w:tbl>
    <w:p>
      <w:pPr>
        <w:spacing w:after="200" w:line="280"/>
        <w:jc w:val="center"/>
      </w:pPr>
      <w:r>
        <w:rPr>
          <w:rFonts w:ascii="Times New Roman" w:cs="Times New Roman" w:eastAsia="Times New Roman" w:hAnsi="Times New Roman"/>
          <w:b w:val="false"/>
          <w:bCs w:val="false"/>
          <w:i/>
          <w:iCs/>
          <w:sz w:val="22"/>
          <w:szCs w:val="22"/>
        </w:rPr>
        <w:t xml:space="preserve">Figure D3.2: Profile Data Dictionary Table</w:t>
      </w:r>
    </w:p>
    <w:p>
      <w:pPr>
        <w:pStyle w:val="Heading3"/>
        <w:spacing w:after="80" w:before="120"/>
      </w:pPr>
      <w:r>
        <w:rPr>
          <w:rFonts w:ascii="Times New Roman" w:cs="Times New Roman" w:eastAsia="Times New Roman" w:hAnsi="Times New Roman"/>
          <w:b/>
          <w:bCs/>
          <w:sz w:val="22"/>
          <w:szCs w:val="22"/>
        </w:rPr>
        <w:t xml:space="preserve">3.2.3 AuditLog Entity</w:t>
      </w:r>
    </w:p>
    <w:p>
      <w:pPr>
        <w:spacing w:after="100" w:line="300"/>
        <w:jc w:val="both"/>
      </w:pPr>
      <w:r>
        <w:rPr>
          <w:rFonts w:ascii="Times New Roman" w:cs="Times New Roman" w:eastAsia="Times New Roman" w:hAnsi="Times New Roman"/>
          <w:b w:val="false"/>
          <w:bCs w:val="false"/>
          <w:i w:val="false"/>
          <w:iCs w:val="false"/>
          <w:sz w:val="22"/>
          <w:szCs w:val="22"/>
        </w:rPr>
        <w:t xml:space="preserve">The AuditLog entity records every consent decision, deletion, and other privacy-relevant event for RA 10173 compliance. Every external AI call and every storage delete writes a row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000000" w:sz="4"/>
              <w:left w:val="single" w:color="000000" w:sz="4"/>
              <w:bottom w:val="single" w:color="000000" w:sz="4"/>
              <w:right w:val="single" w:color="000000" w:sz="4"/>
            </w:tcBorders>
            <w:shd w:fill="DCE6F1"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Field Name</w:t>
            </w:r>
          </w:p>
        </w:tc>
        <w:tc>
          <w:tcPr>
            <w:tcW w:type="dxa" w:w="1700"/>
            <w:tcBorders>
              <w:top w:val="single" w:color="000000" w:sz="4"/>
              <w:left w:val="single" w:color="000000" w:sz="4"/>
              <w:bottom w:val="single" w:color="000000" w:sz="4"/>
              <w:right w:val="single" w:color="000000" w:sz="4"/>
            </w:tcBorders>
            <w:shd w:fill="DCE6F1"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Data Type</w:t>
            </w:r>
          </w:p>
        </w:tc>
        <w:tc>
          <w:tcPr>
            <w:tcW w:type="dxa" w:w="1900"/>
            <w:tcBorders>
              <w:top w:val="single" w:color="000000" w:sz="4"/>
              <w:left w:val="single" w:color="000000" w:sz="4"/>
              <w:bottom w:val="single" w:color="000000" w:sz="4"/>
              <w:right w:val="single" w:color="000000" w:sz="4"/>
            </w:tcBorders>
            <w:shd w:fill="DCE6F1"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Constraint</w:t>
            </w:r>
          </w:p>
        </w:tc>
        <w:tc>
          <w:tcPr>
            <w:tcW w:type="dxa" w:w="3860"/>
            <w:tcBorders>
              <w:top w:val="single" w:color="000000" w:sz="4"/>
              <w:left w:val="single" w:color="000000" w:sz="4"/>
              <w:bottom w:val="single" w:color="000000" w:sz="4"/>
              <w:right w:val="single" w:color="000000" w:sz="4"/>
            </w:tcBorders>
            <w:shd w:fill="DCE6F1"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Description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id</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BIGSERIAL</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PRIMARY KEY</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Unique identifier for each audit entry.</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session_id</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TEXT</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FOREIGN KEY, NULL</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References sessions.id with ON DELETE SET NULL so the audit trail survives session deletion.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event</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TEXT</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NOT NULL</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Event label (e.g., "consent_granted", "audio_deleted", "data_deleted", "transcribe_called").</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payload</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JSONB</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NULL</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Arbitrary structured context for the event.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at</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TIMESTAMPTZ</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NOT NULL, DEFAULT now()</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Timestamp the event was recorded.</w:t>
            </w:r>
          </w:p>
        </w:tc>
      </w:tr>
    </w:tbl>
    <w:p>
      <w:pPr>
        <w:spacing w:after="100" w:line="280"/>
        <w:jc w:val="center"/>
      </w:pPr>
      <w:r>
        <w:rPr>
          <w:rFonts w:ascii="Times New Roman" w:cs="Times New Roman" w:eastAsia="Times New Roman" w:hAnsi="Times New Roman"/>
          <w:b w:val="false"/>
          <w:bCs w:val="false"/>
          <w:i/>
          <w:iCs/>
          <w:sz w:val="22"/>
          <w:szCs w:val="22"/>
        </w:rPr>
        <w:t xml:space="preserve">Figure D3.3: AuditLog Data Dictionary Table</w:t>
      </w:r>
    </w:p>
    <w:p>
      <w:pPr>
        <w:pStyle w:val="Heading1"/>
        <w:spacing w:after="120" w:before="200"/>
      </w:pPr>
      <w:r>
        <w:rPr>
          <w:rFonts w:ascii="Times New Roman" w:cs="Times New Roman" w:eastAsia="Times New Roman" w:hAnsi="Times New Roman"/>
          <w:b/>
          <w:bCs/>
          <w:sz w:val="26"/>
          <w:szCs w:val="26"/>
        </w:rPr>
        <w:t xml:space="preserve">4. Component Design</w:t>
      </w:r>
    </w:p>
    <w:p>
      <w:pPr>
        <w:spacing w:after="120" w:line="300"/>
        <w:jc w:val="both"/>
      </w:pPr>
      <w:r>
        <w:rPr>
          <w:rFonts w:ascii="Times New Roman" w:cs="Times New Roman" w:eastAsia="Times New Roman" w:hAnsi="Times New Roman"/>
          <w:b w:val="false"/>
          <w:bCs w:val="false"/>
          <w:i w:val="false"/>
          <w:iCs w:val="false"/>
          <w:sz w:val="22"/>
          <w:szCs w:val="22"/>
        </w:rPr>
        <w:t xml:space="preserve">The system is composed of seven implementation components, grouped by their host process. Within the FastAPI service, each component is a separate Python module under apps/service/, exposing a thin functional API rather than class hierarchies, since the team prefers stateless, testable functions.</w:t>
      </w:r>
    </w:p>
    <w:p>
      <w:pPr>
        <w:spacing w:after="80" w:line="300"/>
        <w:jc w:val="both"/>
      </w:pPr>
      <w:r>
        <w:rPr>
          <w:rFonts w:ascii="Times New Roman" w:cs="Times New Roman" w:eastAsia="Times New Roman" w:hAnsi="Times New Roman"/>
          <w:b/>
          <w:bCs/>
          <w:sz w:val="22"/>
          <w:szCs w:val="22"/>
        </w:rPr>
        <w:t xml:space="preserve">transcription/. </w:t>
      </w:r>
      <w:r>
        <w:rPr>
          <w:rFonts w:ascii="Times New Roman" w:cs="Times New Roman" w:eastAsia="Times New Roman" w:hAnsi="Times New Roman"/>
          <w:sz w:val="22"/>
          <w:szCs w:val="22"/>
        </w:rPr>
        <w:t xml:space="preserve">Wraps the Whisper provider. Exposes a single transcribe(audio_url, session_id) function that returns a transcript string and duration. Owns the 24-hour audio deletion job.</w:t>
      </w:r>
    </w:p>
    <w:p>
      <w:pPr>
        <w:spacing w:after="80" w:line="300"/>
        <w:jc w:val="both"/>
      </w:pPr>
      <w:r>
        <w:rPr>
          <w:rFonts w:ascii="Times New Roman" w:cs="Times New Roman" w:eastAsia="Times New Roman" w:hAnsi="Times New Roman"/>
          <w:b/>
          <w:bCs/>
          <w:sz w:val="22"/>
          <w:szCs w:val="22"/>
        </w:rPr>
        <w:t xml:space="preserve">skills/. </w:t>
      </w:r>
      <w:r>
        <w:rPr>
          <w:rFonts w:ascii="Times New Roman" w:cs="Times New Roman" w:eastAsia="Times New Roman" w:hAnsi="Times New Roman"/>
          <w:sz w:val="22"/>
          <w:szCs w:val="22"/>
        </w:rPr>
        <w:t xml:space="preserve">Houses the XLM-RoBERTa span tagger and the post-tagging LLM rephraser. Exposes extract(transcript, session_id) which returns a list of Competency objects with non-inflated english_label values.</w:t>
      </w:r>
    </w:p>
    <w:p>
      <w:pPr>
        <w:spacing w:after="80" w:line="300"/>
        <w:jc w:val="both"/>
      </w:pPr>
      <w:r>
        <w:rPr>
          <w:rFonts w:ascii="Times New Roman" w:cs="Times New Roman" w:eastAsia="Times New Roman" w:hAnsi="Times New Roman"/>
          <w:b/>
          <w:bCs/>
          <w:sz w:val="22"/>
          <w:szCs w:val="22"/>
        </w:rPr>
        <w:t xml:space="preserve">vision/. </w:t>
      </w:r>
      <w:r>
        <w:rPr>
          <w:rFonts w:ascii="Times New Roman" w:cs="Times New Roman" w:eastAsia="Times New Roman" w:hAnsi="Times New Roman"/>
          <w:sz w:val="22"/>
          <w:szCs w:val="22"/>
        </w:rPr>
        <w:t xml:space="preserve">OCR pipeline for TESDA certificates and IDs. Exposes infer(image_url, session_id) which returns inferred competencies plus the raw OCR text for audit.</w:t>
      </w:r>
    </w:p>
    <w:p>
      <w:pPr>
        <w:spacing w:after="80" w:line="300"/>
        <w:jc w:val="both"/>
      </w:pPr>
      <w:r>
        <w:rPr>
          <w:rFonts w:ascii="Times New Roman" w:cs="Times New Roman" w:eastAsia="Times New Roman" w:hAnsi="Times New Roman"/>
          <w:b/>
          <w:bCs/>
          <w:sz w:val="22"/>
          <w:szCs w:val="22"/>
        </w:rPr>
        <w:t xml:space="preserve">tesda/. </w:t>
      </w:r>
      <w:r>
        <w:rPr>
          <w:rFonts w:ascii="Times New Roman" w:cs="Times New Roman" w:eastAsia="Times New Roman" w:hAnsi="Times New Roman"/>
          <w:sz w:val="22"/>
          <w:szCs w:val="22"/>
        </w:rPr>
        <w:t xml:space="preserve">Reference data and rule-based scorer for the chosen TESDA track (one track in hackathon scope). Exposes score(competencies, track_id) which returns a ReadinessScore object.</w:t>
      </w:r>
    </w:p>
    <w:p>
      <w:pPr>
        <w:spacing w:after="80" w:line="300"/>
        <w:jc w:val="both"/>
      </w:pPr>
      <w:r>
        <w:rPr>
          <w:rFonts w:ascii="Times New Roman" w:cs="Times New Roman" w:eastAsia="Times New Roman" w:hAnsi="Times New Roman"/>
          <w:b/>
          <w:bCs/>
          <w:sz w:val="22"/>
          <w:szCs w:val="22"/>
        </w:rPr>
        <w:t xml:space="preserve">pathways/. </w:t>
      </w:r>
      <w:r>
        <w:rPr>
          <w:rFonts w:ascii="Times New Roman" w:cs="Times New Roman" w:eastAsia="Times New Roman" w:hAnsi="Times New Roman"/>
          <w:sz w:val="22"/>
          <w:szCs w:val="22"/>
        </w:rPr>
        <w:t xml:space="preserve">Maps recognized competencies to candidate job archetypes via a static lookup table for the hackathon, with the interface designed for a learned ranker post-hackathon.</w:t>
      </w:r>
    </w:p>
    <w:p>
      <w:pPr>
        <w:spacing w:after="80" w:line="300"/>
        <w:jc w:val="both"/>
      </w:pPr>
      <w:r>
        <w:rPr>
          <w:rFonts w:ascii="Times New Roman" w:cs="Times New Roman" w:eastAsia="Times New Roman" w:hAnsi="Times New Roman"/>
          <w:b/>
          <w:bCs/>
          <w:sz w:val="22"/>
          <w:szCs w:val="22"/>
        </w:rPr>
        <w:t xml:space="preserve">llm/ and prompts/. </w:t>
      </w:r>
      <w:r>
        <w:rPr>
          <w:rFonts w:ascii="Times New Roman" w:cs="Times New Roman" w:eastAsia="Times New Roman" w:hAnsi="Times New Roman"/>
          <w:sz w:val="22"/>
          <w:szCs w:val="22"/>
        </w:rPr>
        <w:t xml:space="preserve">Provider-agnostic LLM wrapper plus the versioned prompt files. Every prompt is stored as a separate file named after the function that uses it, so the agentic reviewer can inspect prompt drift.</w:t>
      </w:r>
    </w:p>
    <w:p>
      <w:pPr>
        <w:spacing w:after="100" w:line="300"/>
        <w:jc w:val="both"/>
      </w:pPr>
      <w:r>
        <w:rPr>
          <w:rFonts w:ascii="Times New Roman" w:cs="Times New Roman" w:eastAsia="Times New Roman" w:hAnsi="Times New Roman"/>
          <w:b/>
          <w:bCs/>
          <w:sz w:val="22"/>
          <w:szCs w:val="22"/>
        </w:rPr>
        <w:t xml:space="preserve">Web Client Components. </w:t>
      </w:r>
      <w:r>
        <w:rPr>
          <w:rFonts w:ascii="Times New Roman" w:cs="Times New Roman" w:eastAsia="Times New Roman" w:hAnsi="Times New Roman"/>
          <w:sz w:val="22"/>
          <w:szCs w:val="22"/>
        </w:rPr>
        <w:t xml:space="preserve">ConsentGate, VoiceRecorder, TranscriptEditor, DocumentCapture, CompetencyEditor, ReadinessView, and ProfileExport. Each component is contracted in DESIGN.md with explicit accessibility and offline-tolerance requirements.</w:t>
      </w:r>
    </w:p>
    <w:p>
      <w:pPr>
        <w:pStyle w:val="Heading1"/>
        <w:spacing w:after="120" w:before="200"/>
      </w:pPr>
      <w:r>
        <w:rPr>
          <w:rFonts w:ascii="Times New Roman" w:cs="Times New Roman" w:eastAsia="Times New Roman" w:hAnsi="Times New Roman"/>
          <w:b/>
          <w:bCs/>
          <w:sz w:val="26"/>
          <w:szCs w:val="26"/>
        </w:rPr>
        <w:t xml:space="preserve">5. Human Interface Design</w:t>
      </w:r>
    </w:p>
    <w:p>
      <w:pPr>
        <w:pStyle w:val="Heading2"/>
        <w:spacing w:after="100" w:before="160"/>
      </w:pPr>
      <w:r>
        <w:rPr>
          <w:rFonts w:ascii="Times New Roman" w:cs="Times New Roman" w:eastAsia="Times New Roman" w:hAnsi="Times New Roman"/>
          <w:b/>
          <w:bCs/>
          <w:sz w:val="24"/>
          <w:szCs w:val="24"/>
        </w:rPr>
        <w:t xml:space="preserve">5.1 Overview of User Interface</w:t>
      </w:r>
    </w:p>
    <w:p>
      <w:pPr>
        <w:spacing w:after="120" w:line="300"/>
        <w:jc w:val="both"/>
      </w:pPr>
      <w:r>
        <w:rPr>
          <w:rFonts w:ascii="Times New Roman" w:cs="Times New Roman" w:eastAsia="Times New Roman" w:hAnsi="Times New Roman"/>
          <w:b w:val="false"/>
          <w:bCs w:val="false"/>
          <w:i w:val="false"/>
          <w:iCs w:val="false"/>
          <w:sz w:val="22"/>
          <w:szCs w:val="22"/>
        </w:rPr>
        <w:t xml:space="preserve">sana.AI is mobile-first, voice-first, and reading-optional. Every screen must work without literacy in English: voice cues, large tappable elements (at least 56px), and clear iconography are required across all surfaces. The minimum supported viewport is a 360-pixel-wide low-end Android browser.</w:t>
      </w:r>
    </w:p>
    <w:p>
      <w:pPr>
        <w:pStyle w:val="Heading3"/>
        <w:spacing w:after="80" w:before="120"/>
      </w:pPr>
      <w:r>
        <w:rPr>
          <w:rFonts w:ascii="Times New Roman" w:cs="Times New Roman" w:eastAsia="Times New Roman" w:hAnsi="Times New Roman"/>
          <w:b/>
          <w:bCs/>
          <w:sz w:val="22"/>
          <w:szCs w:val="22"/>
        </w:rPr>
        <w:t xml:space="preserve">5.1.1 Worker User Perspective</w:t>
      </w:r>
    </w:p>
    <w:p>
      <w:pPr>
        <w:spacing w:after="120" w:line="300"/>
        <w:jc w:val="both"/>
      </w:pPr>
      <w:r>
        <w:rPr>
          <w:rFonts w:ascii="Times New Roman" w:cs="Times New Roman" w:eastAsia="Times New Roman" w:hAnsi="Times New Roman"/>
          <w:b w:val="false"/>
          <w:bCs w:val="false"/>
          <w:i w:val="false"/>
          <w:iCs w:val="false"/>
          <w:sz w:val="22"/>
          <w:szCs w:val="22"/>
        </w:rPr>
        <w:t xml:space="preserve">Workers are the primary end users of sana.AI. They can record their stories, capture supporting documents, review and confirm competencies, view their readiness score, and export a PDF resume.</w:t>
      </w:r>
    </w:p>
    <w:p>
      <w:pPr>
        <w:spacing w:after="120" w:line="300"/>
        <w:jc w:val="both"/>
      </w:pPr>
      <w:r>
        <w:rPr>
          <w:rFonts w:ascii="Times New Roman" w:cs="Times New Roman" w:eastAsia="Times New Roman" w:hAnsi="Times New Roman"/>
          <w:b w:val="false"/>
          <w:bCs w:val="false"/>
          <w:i w:val="false"/>
          <w:iCs w:val="false"/>
          <w:sz w:val="22"/>
          <w:szCs w:val="22"/>
        </w:rPr>
        <w:t xml:space="preserve">Main features:</w:t>
      </w:r>
    </w:p>
    <w:p>
      <w:pPr>
        <w:pStyle w:val="ListParagraph"/>
        <w:numPr>
          <w:ilvl w:val="0"/>
          <w:numId w:val="3"/>
        </w:numPr>
        <w:spacing w:after="60" w:line="280"/>
        <w:jc w:val="both"/>
      </w:pPr>
      <w:r>
        <w:rPr>
          <w:rFonts w:ascii="Times New Roman" w:cs="Times New Roman" w:eastAsia="Times New Roman" w:hAnsi="Times New Roman"/>
          <w:sz w:val="22"/>
          <w:szCs w:val="22"/>
        </w:rPr>
        <w:t xml:space="preserve">Oral Consent Gate: A short voice-cued consent flow that records the user's spoken agreement before any data is captured.</w:t>
      </w:r>
    </w:p>
    <w:p>
      <w:pPr>
        <w:pStyle w:val="ListParagraph"/>
        <w:numPr>
          <w:ilvl w:val="0"/>
          <w:numId w:val="3"/>
        </w:numPr>
        <w:spacing w:after="60" w:line="280"/>
        <w:jc w:val="both"/>
      </w:pPr>
      <w:r>
        <w:rPr>
          <w:rFonts w:ascii="Times New Roman" w:cs="Times New Roman" w:eastAsia="Times New Roman" w:hAnsi="Times New Roman"/>
          <w:sz w:val="22"/>
          <w:szCs w:val="22"/>
        </w:rPr>
        <w:t xml:space="preserve">Voice Recording: A single large microphone button that captures up to three minutes of audio, with retry on network failure.</w:t>
      </w:r>
    </w:p>
    <w:p>
      <w:pPr>
        <w:pStyle w:val="ListParagraph"/>
        <w:numPr>
          <w:ilvl w:val="0"/>
          <w:numId w:val="3"/>
        </w:numPr>
        <w:spacing w:after="60" w:line="280"/>
        <w:jc w:val="both"/>
      </w:pPr>
      <w:r>
        <w:rPr>
          <w:rFonts w:ascii="Times New Roman" w:cs="Times New Roman" w:eastAsia="Times New Roman" w:hAnsi="Times New Roman"/>
          <w:sz w:val="22"/>
          <w:szCs w:val="22"/>
        </w:rPr>
        <w:t xml:space="preserve">Transcript Review: Replay, edit, and re-record options before the transcript is accepted for skill extraction.</w:t>
      </w:r>
    </w:p>
    <w:p>
      <w:pPr>
        <w:pStyle w:val="ListParagraph"/>
        <w:numPr>
          <w:ilvl w:val="0"/>
          <w:numId w:val="3"/>
        </w:numPr>
        <w:spacing w:after="60" w:line="280"/>
        <w:jc w:val="both"/>
      </w:pPr>
      <w:r>
        <w:rPr>
          <w:rFonts w:ascii="Times New Roman" w:cs="Times New Roman" w:eastAsia="Times New Roman" w:hAnsi="Times New Roman"/>
          <w:sz w:val="22"/>
          <w:szCs w:val="22"/>
        </w:rPr>
        <w:t xml:space="preserve">Document Capture: Camera-based capture of TESDA certificates and IDs for OCR-based skill inference.</w:t>
      </w:r>
    </w:p>
    <w:p>
      <w:pPr>
        <w:pStyle w:val="ListParagraph"/>
        <w:numPr>
          <w:ilvl w:val="0"/>
          <w:numId w:val="3"/>
        </w:numPr>
        <w:spacing w:after="60" w:line="280"/>
        <w:jc w:val="both"/>
      </w:pPr>
      <w:r>
        <w:rPr>
          <w:rFonts w:ascii="Times New Roman" w:cs="Times New Roman" w:eastAsia="Times New Roman" w:hAnsi="Times New Roman"/>
          <w:sz w:val="22"/>
          <w:szCs w:val="22"/>
        </w:rPr>
        <w:t xml:space="preserve">Competency Confirmation: Tap-to-accept, tap-to-reject, and inline edit on each extracted competency.</w:t>
      </w:r>
    </w:p>
    <w:p>
      <w:pPr>
        <w:pStyle w:val="ListParagraph"/>
        <w:numPr>
          <w:ilvl w:val="0"/>
          <w:numId w:val="3"/>
        </w:numPr>
        <w:spacing w:after="60" w:line="280"/>
        <w:jc w:val="both"/>
      </w:pPr>
      <w:r>
        <w:rPr>
          <w:rFonts w:ascii="Times New Roman" w:cs="Times New Roman" w:eastAsia="Times New Roman" w:hAnsi="Times New Roman"/>
          <w:sz w:val="22"/>
          <w:szCs w:val="22"/>
        </w:rPr>
        <w:t xml:space="preserve">Readiness View: Match score against the TESDA track plus a clear list of missing competencies.</w:t>
      </w:r>
    </w:p>
    <w:p>
      <w:pPr>
        <w:pStyle w:val="ListParagraph"/>
        <w:numPr>
          <w:ilvl w:val="0"/>
          <w:numId w:val="3"/>
        </w:numPr>
        <w:spacing w:after="60" w:line="280"/>
        <w:jc w:val="both"/>
      </w:pPr>
      <w:r>
        <w:rPr>
          <w:rFonts w:ascii="Times New Roman" w:cs="Times New Roman" w:eastAsia="Times New Roman" w:hAnsi="Times New Roman"/>
          <w:sz w:val="22"/>
          <w:szCs w:val="22"/>
        </w:rPr>
        <w:t xml:space="preserve">Profile Export: One-tap PDF download of the generated resume.</w:t>
      </w:r>
    </w:p>
    <w:p>
      <w:pPr>
        <w:spacing w:after="120" w:line="300"/>
        <w:jc w:val="both"/>
      </w:pPr>
      <w:r>
        <w:rPr>
          <w:rFonts w:ascii="Times New Roman" w:cs="Times New Roman" w:eastAsia="Times New Roman" w:hAnsi="Times New Roman"/>
          <w:b w:val="false"/>
          <w:bCs w:val="false"/>
          <w:i w:val="false"/>
          <w:iCs w:val="false"/>
          <w:sz w:val="22"/>
          <w:szCs w:val="22"/>
        </w:rPr>
        <w:t xml:space="preserve">Feedback Information:</w:t>
      </w:r>
    </w:p>
    <w:p>
      <w:pPr>
        <w:pStyle w:val="ListParagraph"/>
        <w:numPr>
          <w:ilvl w:val="0"/>
          <w:numId w:val="3"/>
        </w:numPr>
        <w:spacing w:after="60" w:line="280"/>
        <w:jc w:val="both"/>
      </w:pPr>
      <w:r>
        <w:rPr>
          <w:rFonts w:ascii="Times New Roman" w:cs="Times New Roman" w:eastAsia="Times New Roman" w:hAnsi="Times New Roman"/>
          <w:sz w:val="22"/>
          <w:szCs w:val="22"/>
        </w:rPr>
        <w:t xml:space="preserve">Audible and visual confirmation when recording starts and stops.</w:t>
      </w:r>
    </w:p>
    <w:p>
      <w:pPr>
        <w:pStyle w:val="ListParagraph"/>
        <w:numPr>
          <w:ilvl w:val="0"/>
          <w:numId w:val="3"/>
        </w:numPr>
        <w:spacing w:after="60" w:line="280"/>
        <w:jc w:val="both"/>
      </w:pPr>
      <w:r>
        <w:rPr>
          <w:rFonts w:ascii="Times New Roman" w:cs="Times New Roman" w:eastAsia="Times New Roman" w:hAnsi="Times New Roman"/>
          <w:sz w:val="22"/>
          <w:szCs w:val="22"/>
        </w:rPr>
        <w:t xml:space="preserve">Inline error messaging for microphone permission denial and upload failure.</w:t>
      </w:r>
    </w:p>
    <w:p>
      <w:pPr>
        <w:pStyle w:val="ListParagraph"/>
        <w:numPr>
          <w:ilvl w:val="0"/>
          <w:numId w:val="3"/>
        </w:numPr>
        <w:spacing w:after="60" w:line="280"/>
        <w:jc w:val="both"/>
      </w:pPr>
      <w:r>
        <w:rPr>
          <w:rFonts w:ascii="Times New Roman" w:cs="Times New Roman" w:eastAsia="Times New Roman" w:hAnsi="Times New Roman"/>
          <w:sz w:val="22"/>
          <w:szCs w:val="22"/>
        </w:rPr>
        <w:t xml:space="preserve">Loading states with progress indicators during transcription, extraction, and scoring.</w:t>
      </w:r>
    </w:p>
    <w:p>
      <w:pPr>
        <w:pStyle w:val="Heading3"/>
        <w:spacing w:after="80" w:before="120"/>
      </w:pPr>
      <w:r>
        <w:rPr>
          <w:rFonts w:ascii="Times New Roman" w:cs="Times New Roman" w:eastAsia="Times New Roman" w:hAnsi="Times New Roman"/>
          <w:b/>
          <w:bCs/>
          <w:sz w:val="22"/>
          <w:szCs w:val="22"/>
        </w:rPr>
        <w:t xml:space="preserve">5.1.2 Administrator User Perspective</w:t>
      </w:r>
    </w:p>
    <w:p>
      <w:pPr>
        <w:spacing w:after="120" w:line="300"/>
        <w:jc w:val="both"/>
      </w:pPr>
      <w:r>
        <w:rPr>
          <w:rFonts w:ascii="Times New Roman" w:cs="Times New Roman" w:eastAsia="Times New Roman" w:hAnsi="Times New Roman"/>
          <w:b w:val="false"/>
          <w:bCs w:val="false"/>
          <w:i w:val="false"/>
          <w:iCs w:val="false"/>
          <w:sz w:val="22"/>
          <w:szCs w:val="22"/>
        </w:rPr>
        <w:t xml:space="preserve">Administrators (post-hackathon scope) have read access to anonymized analytics and audit logs and can manage the TESDA reference data.</w:t>
      </w:r>
    </w:p>
    <w:p>
      <w:pPr>
        <w:spacing w:after="120" w:line="300"/>
        <w:jc w:val="both"/>
      </w:pPr>
      <w:r>
        <w:rPr>
          <w:rFonts w:ascii="Times New Roman" w:cs="Times New Roman" w:eastAsia="Times New Roman" w:hAnsi="Times New Roman"/>
          <w:b w:val="false"/>
          <w:bCs w:val="false"/>
          <w:i w:val="false"/>
          <w:iCs w:val="false"/>
          <w:sz w:val="22"/>
          <w:szCs w:val="22"/>
        </w:rPr>
        <w:t xml:space="preserve">Main features:</w:t>
      </w:r>
    </w:p>
    <w:p>
      <w:pPr>
        <w:pStyle w:val="ListParagraph"/>
        <w:numPr>
          <w:ilvl w:val="0"/>
          <w:numId w:val="3"/>
        </w:numPr>
        <w:spacing w:after="60" w:line="280"/>
        <w:jc w:val="both"/>
      </w:pPr>
      <w:r>
        <w:rPr>
          <w:rFonts w:ascii="Times New Roman" w:cs="Times New Roman" w:eastAsia="Times New Roman" w:hAnsi="Times New Roman"/>
          <w:sz w:val="22"/>
          <w:szCs w:val="22"/>
        </w:rPr>
        <w:t xml:space="preserve">View consent and deletion audit logs for compliance reporting.</w:t>
      </w:r>
    </w:p>
    <w:p>
      <w:pPr>
        <w:pStyle w:val="ListParagraph"/>
        <w:numPr>
          <w:ilvl w:val="0"/>
          <w:numId w:val="3"/>
        </w:numPr>
        <w:spacing w:after="60" w:line="280"/>
        <w:jc w:val="both"/>
      </w:pPr>
      <w:r>
        <w:rPr>
          <w:rFonts w:ascii="Times New Roman" w:cs="Times New Roman" w:eastAsia="Times New Roman" w:hAnsi="Times New Roman"/>
          <w:sz w:val="22"/>
          <w:szCs w:val="22"/>
        </w:rPr>
        <w:t xml:space="preserve">Manage TESDA track definitions and competency taxonomies.</w:t>
      </w:r>
    </w:p>
    <w:p>
      <w:pPr>
        <w:pStyle w:val="ListParagraph"/>
        <w:numPr>
          <w:ilvl w:val="0"/>
          <w:numId w:val="3"/>
        </w:numPr>
        <w:spacing w:after="60" w:line="280"/>
        <w:jc w:val="both"/>
      </w:pPr>
      <w:r>
        <w:rPr>
          <w:rFonts w:ascii="Times New Roman" w:cs="Times New Roman" w:eastAsia="Times New Roman" w:hAnsi="Times New Roman"/>
          <w:sz w:val="22"/>
          <w:szCs w:val="22"/>
        </w:rPr>
        <w:t xml:space="preserve">View aggregated, anonymized usage analytics.</w:t>
      </w:r>
    </w:p>
    <w:p>
      <w:pPr>
        <w:spacing w:after="120" w:line="300"/>
        <w:jc w:val="both"/>
      </w:pPr>
      <w:r>
        <w:rPr>
          <w:rFonts w:ascii="Times New Roman" w:cs="Times New Roman" w:eastAsia="Times New Roman" w:hAnsi="Times New Roman"/>
          <w:b w:val="false"/>
          <w:bCs w:val="false"/>
          <w:i w:val="false"/>
          <w:iCs w:val="false"/>
          <w:sz w:val="22"/>
          <w:szCs w:val="22"/>
        </w:rPr>
        <w:t xml:space="preserve">Feedback Information:</w:t>
      </w:r>
    </w:p>
    <w:p>
      <w:pPr>
        <w:pStyle w:val="ListParagraph"/>
        <w:numPr>
          <w:ilvl w:val="0"/>
          <w:numId w:val="3"/>
        </w:numPr>
        <w:spacing w:after="60" w:line="280"/>
        <w:jc w:val="both"/>
      </w:pPr>
      <w:r>
        <w:rPr>
          <w:rFonts w:ascii="Times New Roman" w:cs="Times New Roman" w:eastAsia="Times New Roman" w:hAnsi="Times New Roman"/>
          <w:sz w:val="22"/>
          <w:szCs w:val="22"/>
        </w:rPr>
        <w:t xml:space="preserve">Confirmation prompts before any taxonomy edit.</w:t>
      </w:r>
    </w:p>
    <w:p>
      <w:pPr>
        <w:pStyle w:val="ListParagraph"/>
        <w:numPr>
          <w:ilvl w:val="0"/>
          <w:numId w:val="3"/>
        </w:numPr>
        <w:spacing w:after="60" w:line="280"/>
        <w:jc w:val="both"/>
      </w:pPr>
      <w:r>
        <w:rPr>
          <w:rFonts w:ascii="Times New Roman" w:cs="Times New Roman" w:eastAsia="Times New Roman" w:hAnsi="Times New Roman"/>
          <w:sz w:val="22"/>
          <w:szCs w:val="22"/>
        </w:rPr>
        <w:t xml:space="preserve">Read-only analytics with explicit aggregation thresholds (no individual rows).</w:t>
      </w:r>
    </w:p>
    <w:p>
      <w:pPr>
        <w:pStyle w:val="Heading2"/>
        <w:spacing w:after="100" w:before="160"/>
      </w:pPr>
      <w:r>
        <w:rPr>
          <w:rFonts w:ascii="Times New Roman" w:cs="Times New Roman" w:eastAsia="Times New Roman" w:hAnsi="Times New Roman"/>
          <w:b/>
          <w:bCs/>
          <w:sz w:val="24"/>
          <w:szCs w:val="24"/>
        </w:rPr>
        <w:t xml:space="preserve">5.2 Screen Mockups</w:t>
      </w:r>
    </w:p>
    <w:p>
      <w:pPr>
        <w:spacing w:after="120" w:line="300"/>
        <w:jc w:val="both"/>
      </w:pPr>
      <w:r>
        <w:rPr>
          <w:rFonts w:ascii="Times New Roman" w:cs="Times New Roman" w:eastAsia="Times New Roman" w:hAnsi="Times New Roman"/>
          <w:b w:val="false"/>
          <w:bCs w:val="false"/>
          <w:i w:val="false"/>
          <w:iCs w:val="false"/>
          <w:sz w:val="22"/>
          <w:szCs w:val="22"/>
        </w:rPr>
        <w:t xml:space="preserve">Detailed screen mockups for the Worker flow, including the Consent Gate, Voice Recording, Transcript Review, Competency Confirmation, Readiness View, and Profile Export, are maintained in DESIGN.md and the design library. Each screen is specified with viewport size, typography scale, contrast ratios, and tappable target sizes consistent with WCAG 2.1 AA where applicable.</w:t>
      </w:r>
    </w:p>
    <w:sectPr>
      <w:headerReference w:type="default" r:id="rId7"/>
      <w:footerReference w:type="default" r:id="rId8"/>
      <w:pgSz w:w="12240" w:h="15840" w:orient="portrait"/>
      <w:pgMar w:top="216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b/>
        <w:bCs/>
        <w:sz w:val="22"/>
        <w:szCs w:val="22"/>
      </w:rPr>
      <w:t xml:space="preserve">UNIVERSITY OF SANTO TOMAS</w:t>
    </w:r>
  </w:p>
  <w:p>
    <w:pPr>
      <w:spacing w:after="0"/>
      <w:jc w:val="center"/>
    </w:pPr>
    <w:r>
      <w:rPr>
        <w:rFonts w:ascii="Times New Roman" w:cs="Times New Roman" w:eastAsia="Times New Roman" w:hAnsi="Times New Roman"/>
        <w:b/>
        <w:bCs/>
        <w:sz w:val="22"/>
        <w:szCs w:val="22"/>
      </w:rPr>
      <w:t xml:space="preserve">College of Information and Computing Sciences</w:t>
    </w:r>
  </w:p>
  <w:p>
    <w:pPr>
      <w:spacing w:after="0"/>
      <w:jc w:val="center"/>
    </w:pPr>
    <w:r>
      <w:rPr>
        <w:rFonts w:ascii="Times New Roman" w:cs="Times New Roman" w:eastAsia="Times New Roman" w:hAnsi="Times New Roman"/>
        <w:b/>
        <w:bCs/>
        <w:sz w:val="22"/>
        <w:szCs w:val="22"/>
      </w:rPr>
      <w:t xml:space="preserve">Department of Computer Science</w:t>
    </w:r>
  </w:p>
  <w:p>
    <w:pPr>
      <w:spacing w:after="80"/>
      <w:jc w:val="center"/>
    </w:pPr>
    <w:r>
      <w:rPr>
        <w:rFonts w:ascii="Times New Roman" w:cs="Times New Roman" w:eastAsia="Times New Roman" w:hAnsi="Times New Roman"/>
        <w:sz w:val="22"/>
        <w:szCs w:val="22"/>
      </w:rPr>
      <w:t xml:space="preserve">2nd Semester of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2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sana.AI System Design Document</dc:title>
  <dc:creator>Git Gud Team</dc:creator>
  <cp:lastModifiedBy>Un-named</cp:lastModifiedBy>
  <cp:revision>1</cp:revision>
  <dcterms:created xsi:type="dcterms:W3CDTF">2026-05-07T22:35:04.842Z</dcterms:created>
  <dcterms:modified xsi:type="dcterms:W3CDTF">2026-05-07T22:35:04.842Z</dcterms:modified>
</cp:coreProperties>
</file>

<file path=docProps/custom.xml><?xml version="1.0" encoding="utf-8"?>
<Properties xmlns="http://schemas.openxmlformats.org/officeDocument/2006/custom-properties" xmlns:vt="http://schemas.openxmlformats.org/officeDocument/2006/docPropsVTypes"/>
</file>