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38"/>
        </w:rPr>
        <w:t>SHAIMAA MOHAMED MOKHTAR</w:t>
      </w:r>
    </w:p>
    <w:p>
      <w:pPr>
        <w:jc w:val="center"/>
      </w:pPr>
      <w:r>
        <w:rPr>
          <w:b/>
          <w:color w:val="2F75B5"/>
          <w:sz w:val="21"/>
        </w:rPr>
        <w:t>DENTIST | DENTAL INTERN</w:t>
      </w:r>
    </w:p>
    <w:p>
      <w:pPr>
        <w:jc w:val="center"/>
        <w:pBdr>
          <w:bottom w:val="single" w:sz="8" w:space="1" w:color="2F75B5"/>
        </w:pBdr>
      </w:pPr>
      <w:r>
        <w:t>Assiut, Egypt  •  +20 127 061 3854  •  Shaimaamohamedmokhtar17@gmail.com</w:t>
      </w:r>
    </w:p>
    <w:p>
      <w:pPr>
        <w:spacing w:before="140" w:after="60"/>
        <w:pBdr>
          <w:bottom w:val="single" w:sz="8" w:space="1" w:color="2F75B5"/>
        </w:pBdr>
      </w:pPr>
      <w:r>
        <w:rPr>
          <w:b/>
          <w:color w:val="2F75B5"/>
          <w:sz w:val="21"/>
        </w:rPr>
        <w:t>PROFESSIONAL SUMMARY</w:t>
      </w:r>
    </w:p>
    <w:p>
      <w:r>
        <w:t>Dental intern and fresh BDS graduate with hands-on clinical training across Operative Dentistry, Endodontics, Oral Surgery, Periodontics, Pediatric Dentistry, and Diagnosis. Particularly interested in Operative Dentistry and Pediatric Dentistry, with a strong focus on patient-centered care, clinical development, and effective communication. Experienced in managing a range of routine clinical cases and exposed to challenging endodontic cases including curved and calcified canals and bypass procedures.</w:t>
      </w:r>
    </w:p>
    <w:p>
      <w:pPr>
        <w:spacing w:before="140" w:after="60"/>
        <w:pBdr>
          <w:bottom w:val="single" w:sz="8" w:space="1" w:color="2F75B5"/>
        </w:pBdr>
      </w:pPr>
      <w:r>
        <w:rPr>
          <w:b/>
          <w:color w:val="2F75B5"/>
          <w:sz w:val="21"/>
        </w:rPr>
        <w:t>EDUCATION</w:t>
      </w:r>
    </w:p>
    <w:p>
      <w:r>
        <w:rPr>
          <w:b/>
        </w:rPr>
        <w:t>Bachelor of Dental Surgery (BDS) — Assiut University, Faculty of Dentistry</w:t>
      </w:r>
      <w:r>
        <w:br/>
        <w:t>Graduated: 2025</w:t>
      </w:r>
      <w:r>
        <w:br/>
        <w:t>Dental Internship: Assiut University Dental Hospital | 2025–October 2026</w:t>
      </w:r>
    </w:p>
    <w:p>
      <w:pPr>
        <w:spacing w:before="140" w:after="60"/>
        <w:pBdr>
          <w:bottom w:val="single" w:sz="8" w:space="1" w:color="2F75B5"/>
        </w:pBdr>
      </w:pPr>
      <w:r>
        <w:rPr>
          <w:b/>
          <w:color w:val="2F75B5"/>
          <w:sz w:val="21"/>
        </w:rPr>
        <w:t>CLINICAL INTERNSHIP &amp; ROTATIONS</w:t>
      </w:r>
    </w:p>
    <w:p>
      <w:pPr>
        <w:pStyle w:val="ListBullet"/>
        <w:spacing w:after="40"/>
        <w:ind w:left="259" w:hanging="173"/>
      </w:pPr>
      <w:r>
        <w:t>Operative Dentistry — 3 months: focused additional clinical training to strengthen restorative skills, with particular interest in the specialty; managed direct restorative cases and documented selected clinical cases.</w:t>
      </w:r>
    </w:p>
    <w:p>
      <w:pPr>
        <w:pStyle w:val="ListBullet"/>
        <w:spacing w:after="40"/>
        <w:ind w:left="259" w:hanging="173"/>
      </w:pPr>
      <w:r>
        <w:t>Endodontics: clinical exposure to curved canals, calcified canals, and bypass procedures; developed skills in canal negotiation, instrumentation, and management of challenging canal anatomy.</w:t>
      </w:r>
    </w:p>
    <w:p>
      <w:pPr>
        <w:pStyle w:val="ListBullet"/>
        <w:spacing w:after="40"/>
        <w:ind w:left="259" w:hanging="173"/>
      </w:pPr>
      <w:r>
        <w:t>Oral Surgery — 3 months: training at a government health hospital to increase clinical case exposure and strengthen practical surgical skills through a higher patient volume.</w:t>
      </w:r>
    </w:p>
    <w:p>
      <w:pPr>
        <w:pStyle w:val="ListBullet"/>
        <w:spacing w:after="40"/>
        <w:ind w:left="259" w:hanging="173"/>
      </w:pPr>
      <w:r>
        <w:t>Periodontics: performed scaling using ultrasonic and manual instrumentation; participated in periodontal pocket management and assisted/participated in selected surgical procedures, including gingival depigmentation and dental implant procedures.</w:t>
      </w:r>
    </w:p>
    <w:p>
      <w:pPr>
        <w:pStyle w:val="ListBullet"/>
        <w:spacing w:after="40"/>
        <w:ind w:left="259" w:hanging="173"/>
      </w:pPr>
      <w:r>
        <w:t>Pediatric Dentistry: strong interest in pediatric care; developed child-friendly communication and behavior-management skills to reduce fear and facilitate appropriate dental treatment.</w:t>
      </w:r>
    </w:p>
    <w:p>
      <w:pPr>
        <w:pStyle w:val="ListBullet"/>
        <w:spacing w:after="40"/>
        <w:ind w:left="259" w:hanging="173"/>
      </w:pPr>
      <w:r>
        <w:t>Diagnosis: trained in identifying the patient's primary complaint and treatment needs, taking a comprehensive medical history, performing relevant diagnostic procedures, and developing appropriate treatment options.</w:t>
      </w:r>
    </w:p>
    <w:p>
      <w:pPr>
        <w:pStyle w:val="ListBullet"/>
        <w:spacing w:after="40"/>
        <w:ind w:left="259" w:hanging="173"/>
      </w:pPr>
      <w:r>
        <w:t>Clinical Seminars: completed specialty-related seminars for each clinical rotation as a mandatory component of internship training.</w:t>
      </w:r>
    </w:p>
    <w:p>
      <w:pPr>
        <w:spacing w:before="140" w:after="60"/>
        <w:pBdr>
          <w:bottom w:val="single" w:sz="8" w:space="1" w:color="2F75B5"/>
        </w:pBdr>
      </w:pPr>
      <w:r>
        <w:rPr>
          <w:b/>
          <w:color w:val="2F75B5"/>
          <w:sz w:val="21"/>
        </w:rPr>
        <w:t>COURSES &amp; PROFESSIONAL DEVELOPMENT</w:t>
      </w:r>
    </w:p>
    <w:p>
      <w:pPr>
        <w:pStyle w:val="ListBullet"/>
        <w:spacing w:after="40"/>
        <w:ind w:left="259" w:hanging="173"/>
      </w:pPr>
      <w:r>
        <w:t>Endodontics Course — ROGIN | Lecturer: Dr. Nebras Al-Dahash</w:t>
      </w:r>
    </w:p>
    <w:p>
      <w:pPr>
        <w:pStyle w:val="ListBullet"/>
        <w:spacing w:after="40"/>
        <w:ind w:left="259" w:hanging="173"/>
      </w:pPr>
      <w:r>
        <w:t>Clinical case presentations and specialty seminars completed throughout internship rotations.</w:t>
      </w:r>
    </w:p>
    <w:p>
      <w:pPr>
        <w:spacing w:before="140" w:after="60"/>
        <w:pBdr>
          <w:bottom w:val="single" w:sz="8" w:space="1" w:color="2F75B5"/>
        </w:pBdr>
      </w:pPr>
      <w:r>
        <w:rPr>
          <w:b/>
          <w:color w:val="2F75B5"/>
          <w:sz w:val="21"/>
        </w:rPr>
        <w:t>VOLUNTEER EXPERIENCE</w:t>
      </w:r>
    </w:p>
    <w:p>
      <w:pPr>
        <w:pStyle w:val="ListBullet"/>
        <w:spacing w:after="40"/>
        <w:ind w:left="259" w:hanging="173"/>
      </w:pPr>
      <w:r>
        <w:t>Participated in a Pediatric Dentistry volunteer campaign providing dental care/support for children with special needs and orphaned children.</w:t>
      </w:r>
    </w:p>
    <w:p>
      <w:pPr>
        <w:spacing w:before="140" w:after="60"/>
        <w:pBdr>
          <w:bottom w:val="single" w:sz="8" w:space="1" w:color="2F75B5"/>
        </w:pBdr>
      </w:pPr>
      <w:r>
        <w:rPr>
          <w:b/>
          <w:color w:val="2F75B5"/>
          <w:sz w:val="21"/>
        </w:rPr>
        <w:t>CLINICAL SKILLS</w:t>
      </w:r>
    </w:p>
    <w:p>
      <w:pPr>
        <w:pStyle w:val="ListBullet"/>
        <w:spacing w:after="40"/>
        <w:ind w:left="259" w:hanging="173"/>
      </w:pPr>
      <w:r>
        <w:t>Operative Dentistry &amp; direct restorative procedures</w:t>
      </w:r>
    </w:p>
    <w:p>
      <w:pPr>
        <w:pStyle w:val="ListBullet"/>
        <w:spacing w:after="40"/>
        <w:ind w:left="259" w:hanging="173"/>
      </w:pPr>
      <w:r>
        <w:t>Endodontic case management and canal negotiation</w:t>
      </w:r>
    </w:p>
    <w:p>
      <w:pPr>
        <w:pStyle w:val="ListBullet"/>
        <w:spacing w:after="40"/>
        <w:ind w:left="259" w:hanging="173"/>
      </w:pPr>
      <w:r>
        <w:t>Exposure to curved/calcified canals and bypass procedures</w:t>
      </w:r>
    </w:p>
    <w:p>
      <w:pPr>
        <w:pStyle w:val="ListBullet"/>
        <w:spacing w:after="40"/>
        <w:ind w:left="259" w:hanging="173"/>
      </w:pPr>
      <w:r>
        <w:t>Ultrasonic and manual scaling</w:t>
      </w:r>
    </w:p>
    <w:p>
      <w:pPr>
        <w:pStyle w:val="ListBullet"/>
        <w:spacing w:after="40"/>
        <w:ind w:left="259" w:hanging="173"/>
      </w:pPr>
      <w:r>
        <w:t>Periodontal pocket assessment/management</w:t>
      </w:r>
    </w:p>
    <w:p>
      <w:pPr>
        <w:pStyle w:val="ListBullet"/>
        <w:spacing w:after="40"/>
        <w:ind w:left="259" w:hanging="173"/>
      </w:pPr>
      <w:r>
        <w:t>Pediatric patient communication &amp; behavior management</w:t>
      </w:r>
    </w:p>
    <w:p>
      <w:pPr>
        <w:pStyle w:val="ListBullet"/>
        <w:spacing w:after="40"/>
        <w:ind w:left="259" w:hanging="173"/>
      </w:pPr>
      <w:r>
        <w:t>Clinical history taking and diagnosis</w:t>
      </w:r>
    </w:p>
    <w:p>
      <w:pPr>
        <w:pStyle w:val="ListBullet"/>
        <w:spacing w:after="40"/>
        <w:ind w:left="259" w:hanging="173"/>
      </w:pPr>
      <w:r>
        <w:t>Patient-centered communication and treatment planning</w:t>
      </w:r>
    </w:p>
    <w:p>
      <w:pPr>
        <w:spacing w:before="140" w:after="60"/>
        <w:pBdr>
          <w:bottom w:val="single" w:sz="8" w:space="1" w:color="2F75B5"/>
        </w:pBdr>
      </w:pPr>
      <w:r>
        <w:rPr>
          <w:b/>
          <w:color w:val="2F75B5"/>
          <w:sz w:val="21"/>
        </w:rPr>
        <w:t>LANGUAGES</w:t>
      </w:r>
    </w:p>
    <w:p>
      <w:pPr>
        <w:pStyle w:val="ListBullet"/>
        <w:spacing w:after="40"/>
        <w:ind w:left="259" w:hanging="173"/>
      </w:pPr>
      <w:r>
        <w:t>Arabic — Native</w:t>
      </w:r>
    </w:p>
    <w:p>
      <w:pPr>
        <w:pStyle w:val="ListBullet"/>
        <w:spacing w:after="40"/>
        <w:ind w:left="259" w:hanging="173"/>
      </w:pPr>
      <w:r>
        <w:t>English — Advanced</w:t>
      </w:r>
    </w:p>
    <w:p>
      <w:pPr>
        <w:pStyle w:val="ListBullet"/>
        <w:spacing w:after="40"/>
        <w:ind w:left="259" w:hanging="173"/>
      </w:pPr>
      <w:r>
        <w:t>French — Intermediate</w:t>
      </w:r>
    </w:p>
    <w:p>
      <w:pPr>
        <w:spacing w:before="140" w:after="60"/>
        <w:pBdr>
          <w:bottom w:val="single" w:sz="8" w:space="1" w:color="2F75B5"/>
        </w:pBdr>
      </w:pPr>
      <w:r>
        <w:rPr>
          <w:b/>
          <w:color w:val="2F75B5"/>
          <w:sz w:val="21"/>
        </w:rPr>
        <w:t>PROFESSIONAL REGISTRATION</w:t>
      </w:r>
    </w:p>
    <w:p>
      <w:pPr>
        <w:pStyle w:val="ListBullet"/>
        <w:spacing w:after="40"/>
        <w:ind w:left="259" w:hanging="173"/>
      </w:pPr>
      <w:r>
        <w:t>Egyptian Dental Syndicate certificate expected: October 2026.</w:t>
      </w:r>
    </w:p>
    <w:p>
      <w:pPr>
        <w:spacing w:before="140" w:after="60"/>
        <w:pBdr>
          <w:bottom w:val="single" w:sz="8" w:space="1" w:color="2F75B5"/>
        </w:pBdr>
      </w:pPr>
      <w:r>
        <w:rPr>
          <w:b/>
          <w:color w:val="2F75B5"/>
          <w:sz w:val="21"/>
        </w:rPr>
        <w:t>REFERENCES</w:t>
      </w:r>
    </w:p>
    <w:p>
      <w:pPr>
        <w:spacing w:after="0"/>
      </w:pPr>
      <w:r>
        <w:t>Available upon request.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