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00416A"/>
          </w:tcPr>
          <w:p>
            <w:pPr>
              <w:jc w:val="center"/>
            </w:pPr>
            <w:r>
              <w:rPr>
                <w:rFonts w:ascii="Aptos" w:hAnsi="Aptos"/>
                <w:b w:val="0"/>
                <w:color w:val="FFFFFF"/>
                <w:sz w:val="22"/>
              </w:rPr>
              <w:br/>
              <w:t>U N I L A B O R   ·   S I S T E M A   E L E C T R Ó N I C O   D O C U M E N T A L</w:t>
            </w:r>
            <w:r>
              <w:rPr>
                <w:rFonts w:ascii="Aptos" w:hAnsi="Aptos"/>
                <w:b/>
                <w:color w:val="FFFFFF"/>
                <w:sz w:val="52"/>
              </w:rPr>
              <w:br/>
              <w:t>Guía de uso — Programa de Inducción</w:t>
            </w:r>
            <w:r>
              <w:rPr>
                <w:rFonts w:ascii="Aptos" w:hAnsi="Aptos"/>
                <w:b w:val="0"/>
                <w:color w:val="FFFFFF"/>
                <w:sz w:val="26"/>
              </w:rPr>
              <w:br/>
              <w:t>Para el personal de Recursos Humanos — perfiles RH Administrador y RH Editor</w:t>
              <w:br/>
            </w:r>
          </w:p>
        </w:tc>
      </w:tr>
    </w:tbl>
    <w:p/>
    <w:p>
      <w:pPr>
        <w:jc w:val="center"/>
      </w:pPr>
      <w:r>
        <w:rPr>
          <w:b/>
        </w:rPr>
        <w:t>CONFORME A LA NORMA ISO 15189:2022</w:t>
      </w:r>
    </w:p>
    <w:p>
      <w:pPr>
        <w:jc w:val="center"/>
      </w:pPr>
      <w:r>
        <w:t>Laboratorios clínicos — Requisitos de calidad y competencia. Programa de inducción del personal en 7 fases (§6.2, Manual de Gestión de Personal REH-MAN-002).</w:t>
      </w:r>
    </w:p>
    <w:p>
      <w:r>
        <w:br w:type="page"/>
      </w:r>
    </w:p>
    <w:p>
      <w:pPr>
        <w:pStyle w:val="Heading1"/>
      </w:pPr>
      <w:r>
        <w:t>Hoja de 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92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624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Valor</w:t>
            </w:r>
          </w:p>
        </w:tc>
      </w:tr>
      <w:tr>
        <w:tc>
          <w:tcPr>
            <w:tcW w:type="dxa" w:w="2592"/>
          </w:tcPr>
          <w:p>
            <w:r>
              <w:rPr>
                <w:rFonts w:ascii="Aptos" w:hAnsi="Aptos"/>
                <w:color w:val="173047"/>
                <w:sz w:val="19"/>
              </w:rPr>
              <w:t>Documento</w:t>
            </w:r>
          </w:p>
        </w:tc>
        <w:tc>
          <w:tcPr>
            <w:tcW w:type="dxa" w:w="6624"/>
          </w:tcPr>
          <w:p>
            <w:r>
              <w:rPr>
                <w:rFonts w:ascii="Aptos" w:hAnsi="Aptos"/>
                <w:color w:val="173047"/>
                <w:sz w:val="19"/>
              </w:rPr>
              <w:t>Guía de uso — Programa de Inducción (SafeDoc, módulo RH)</w:t>
            </w:r>
          </w:p>
        </w:tc>
      </w:tr>
      <w:tr>
        <w:tc>
          <w:tcPr>
            <w:tcW w:type="dxa" w:w="2592"/>
          </w:tcPr>
          <w:p>
            <w:r>
              <w:rPr>
                <w:rFonts w:ascii="Aptos" w:hAnsi="Aptos"/>
                <w:color w:val="173047"/>
                <w:sz w:val="19"/>
              </w:rPr>
              <w:t>Dirigido a</w:t>
            </w:r>
          </w:p>
        </w:tc>
        <w:tc>
          <w:tcPr>
            <w:tcW w:type="dxa" w:w="6624"/>
          </w:tcPr>
          <w:p>
            <w:r>
              <w:rPr>
                <w:rFonts w:ascii="Aptos" w:hAnsi="Aptos"/>
                <w:color w:val="173047"/>
                <w:sz w:val="19"/>
              </w:rPr>
              <w:t>Personal de Recursos Humanos (RH_ADMIN / RH_EDITOR)</w:t>
            </w:r>
          </w:p>
        </w:tc>
      </w:tr>
      <w:tr>
        <w:tc>
          <w:tcPr>
            <w:tcW w:type="dxa" w:w="2592"/>
          </w:tcPr>
          <w:p>
            <w:r>
              <w:rPr>
                <w:rFonts w:ascii="Aptos" w:hAnsi="Aptos"/>
                <w:color w:val="173047"/>
                <w:sz w:val="19"/>
              </w:rPr>
              <w:t>Edición</w:t>
            </w:r>
          </w:p>
        </w:tc>
        <w:tc>
          <w:tcPr>
            <w:tcW w:type="dxa" w:w="6624"/>
          </w:tcPr>
          <w:p>
            <w:r>
              <w:rPr>
                <w:rFonts w:ascii="Aptos" w:hAnsi="Aptos"/>
                <w:color w:val="173047"/>
                <w:sz w:val="19"/>
              </w:rPr>
              <w:t>1.0</w:t>
            </w:r>
          </w:p>
        </w:tc>
      </w:tr>
      <w:tr>
        <w:tc>
          <w:tcPr>
            <w:tcW w:type="dxa" w:w="2592"/>
          </w:tcPr>
          <w:p>
            <w:r>
              <w:rPr>
                <w:rFonts w:ascii="Aptos" w:hAnsi="Aptos"/>
                <w:color w:val="173047"/>
                <w:sz w:val="19"/>
              </w:rPr>
              <w:t>Fecha de emisión</w:t>
            </w:r>
          </w:p>
        </w:tc>
        <w:tc>
          <w:tcPr>
            <w:tcW w:type="dxa" w:w="6624"/>
          </w:tcPr>
          <w:p>
            <w:r>
              <w:rPr>
                <w:rFonts w:ascii="Aptos" w:hAnsi="Aptos"/>
                <w:color w:val="173047"/>
                <w:sz w:val="19"/>
              </w:rPr>
              <w:t>02 de septiembre de 2026</w:t>
            </w:r>
          </w:p>
        </w:tc>
      </w:tr>
      <w:tr>
        <w:tc>
          <w:tcPr>
            <w:tcW w:type="dxa" w:w="2592"/>
          </w:tcPr>
          <w:p>
            <w:r>
              <w:rPr>
                <w:rFonts w:ascii="Aptos" w:hAnsi="Aptos"/>
                <w:color w:val="173047"/>
                <w:sz w:val="19"/>
              </w:rPr>
              <w:t>Sistema</w:t>
            </w:r>
          </w:p>
        </w:tc>
        <w:tc>
          <w:tcPr>
            <w:tcW w:type="dxa" w:w="6624"/>
          </w:tcPr>
          <w:p>
            <w:r>
              <w:rPr>
                <w:rFonts w:ascii="Aptos" w:hAnsi="Aptos"/>
                <w:color w:val="173047"/>
                <w:sz w:val="19"/>
              </w:rPr>
              <w:t>SafeDoc — UNILABOR (módulo Recursos Humanos)</w:t>
            </w:r>
          </w:p>
        </w:tc>
      </w:tr>
      <w:tr>
        <w:tc>
          <w:tcPr>
            <w:tcW w:type="dxa" w:w="2592"/>
          </w:tcPr>
          <w:p>
            <w:r>
              <w:rPr>
                <w:rFonts w:ascii="Aptos" w:hAnsi="Aptos"/>
                <w:color w:val="173047"/>
                <w:sz w:val="19"/>
              </w:rPr>
              <w:t>Marco normativo</w:t>
            </w:r>
          </w:p>
        </w:tc>
        <w:tc>
          <w:tcPr>
            <w:tcW w:type="dxa" w:w="6624"/>
          </w:tcPr>
          <w:p>
            <w:r>
              <w:rPr>
                <w:rFonts w:ascii="Aptos" w:hAnsi="Aptos"/>
                <w:color w:val="173047"/>
                <w:sz w:val="19"/>
              </w:rPr>
              <w:t>ISO 15189:2022 §6.2 · REH-MAN-002 · REH-REG-005 · REH-REG-003</w:t>
            </w:r>
          </w:p>
        </w:tc>
      </w:tr>
    </w:tbl>
    <w:p/>
    <w:p>
      <w:pPr>
        <w:pStyle w:val="Heading2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296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Edición</w:t>
            </w:r>
          </w:p>
        </w:tc>
        <w:tc>
          <w:tcPr>
            <w:tcW w:type="dxa" w:w="2448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Fecha</w:t>
            </w:r>
          </w:p>
        </w:tc>
        <w:tc>
          <w:tcPr>
            <w:tcW w:type="dxa" w:w="5472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Descripción</w:t>
            </w:r>
          </w:p>
        </w:tc>
      </w:tr>
      <w:tr>
        <w:tc>
          <w:tcPr>
            <w:tcW w:type="dxa" w:w="1296"/>
          </w:tcPr>
          <w:p>
            <w:r>
              <w:rPr>
                <w:rFonts w:ascii="Aptos" w:hAnsi="Aptos"/>
                <w:color w:val="173047"/>
                <w:sz w:val="19"/>
              </w:rPr>
              <w:t>1.0</w:t>
            </w:r>
          </w:p>
        </w:tc>
        <w:tc>
          <w:tcPr>
            <w:tcW w:type="dxa" w:w="2448"/>
          </w:tcPr>
          <w:p>
            <w:r>
              <w:rPr>
                <w:rFonts w:ascii="Aptos" w:hAnsi="Aptos"/>
                <w:color w:val="173047"/>
                <w:sz w:val="19"/>
              </w:rPr>
              <w:t>02 de septiembre de 2026</w:t>
            </w:r>
          </w:p>
        </w:tc>
        <w:tc>
          <w:tcPr>
            <w:tcW w:type="dxa" w:w="5472"/>
          </w:tcPr>
          <w:p>
            <w:r>
              <w:rPr>
                <w:rFonts w:ascii="Aptos" w:hAnsi="Aptos"/>
                <w:color w:val="173047"/>
                <w:sz w:val="19"/>
              </w:rPr>
              <w:t>Emisión inicial de la guía.</w:t>
            </w:r>
          </w:p>
        </w:tc>
      </w:tr>
    </w:tbl>
    <w:p/>
    <w:p>
      <w:r>
        <w:br w:type="page"/>
      </w:r>
    </w:p>
    <w:p>
      <w:pPr>
        <w:pStyle w:val="Heading1"/>
      </w:pPr>
      <w:r>
        <w:t>Índice</w:t>
      </w:r>
    </w:p>
    <w:p>
      <w:r>
        <w:t>Actualice el índice (clic derecho &gt; Actualizar campo) para ver el contenido.</w:t>
      </w:r>
    </w:p>
    <w:p>
      <w:fldSimple w:instr="TOC \o &quot;1-2&quot; \h \z \u"/>
    </w:p>
    <w:p>
      <w:r>
        <w:br w:type="page"/>
      </w:r>
    </w:p>
    <w:p>
      <w:pPr>
        <w:pStyle w:val="Heading1"/>
      </w:pPr>
      <w:r>
        <w:t>1. Introducción y alcance</w:t>
      </w:r>
    </w:p>
    <w:p>
      <w:r>
        <w:t>Esta guía describe, paso a paso, la operación del Programa de Inducción de UNILABOR dentro del sistema SafeDoc: la configuración de los catálogos, la inscripción y seguimiento del colaborador a través de las 7 fases, la evaluación de competencia (REH-REG-003) y el cierre del Formato de Inducción (REH-REG-005). Toda la evidencia (firmas, constancias y registros en PDF) queda archivada automáticamente en el expediente digital del colaborador.</w:t>
      </w:r>
    </w:p>
    <w:p>
      <w:r>
        <w:t>El programa da cumplimiento al numeral 6.2 (Personal) de la norma ISO 15189:2022: inducción, capacitación, evaluación de la competencia y autorización del personal, con evidencia trazable.</w:t>
      </w:r>
    </w:p>
    <w:p>
      <w:pPr>
        <w:pStyle w:val="Heading1"/>
      </w:pPr>
      <w:r>
        <w:t>2. Acceso y permisos</w:t>
      </w:r>
    </w:p>
    <w:p>
      <w:r>
        <w:t>La operación del programa requiere iniciar sesión en SafeDoc con una cuenta que tenga el rol RH_ADMIN o RH_EDITOR (permisos RH.INDUCTION.MANAGE y RH.COMPETENCY.MANAGE). Los perfiles de consulta no pueden configurar ni calificar.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736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Pantalla</w:t>
            </w:r>
          </w:p>
        </w:tc>
        <w:tc>
          <w:tcPr>
            <w:tcW w:type="dxa" w:w="3024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Ruta</w:t>
            </w:r>
          </w:p>
        </w:tc>
        <w:tc>
          <w:tcPr>
            <w:tcW w:type="dxa" w:w="4176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Para qué sirve</w:t>
            </w:r>
          </w:p>
        </w:tc>
      </w:tr>
      <w:tr>
        <w:tc>
          <w:tcPr>
            <w:tcW w:type="dxa" w:w="2736"/>
          </w:tcPr>
          <w:p>
            <w:r>
              <w:rPr>
                <w:rFonts w:ascii="Aptos" w:hAnsi="Aptos"/>
                <w:color w:val="173047"/>
                <w:sz w:val="19"/>
              </w:rPr>
              <w:t>Catálogo de puestos</w:t>
            </w:r>
          </w:p>
        </w:tc>
        <w:tc>
          <w:tcPr>
            <w:tcW w:type="dxa" w:w="3024"/>
          </w:tcPr>
          <w:p>
            <w:r>
              <w:rPr>
                <w:rFonts w:ascii="Aptos" w:hAnsi="Aptos"/>
                <w:color w:val="173047"/>
                <w:sz w:val="19"/>
              </w:rPr>
              <w:t>/rh/positions</w:t>
            </w:r>
          </w:p>
        </w:tc>
        <w:tc>
          <w:tcPr>
            <w:tcW w:type="dxa" w:w="4176"/>
          </w:tcPr>
          <w:p>
            <w:r>
              <w:rPr>
                <w:rFonts w:ascii="Aptos" w:hAnsi="Aptos"/>
                <w:color w:val="173047"/>
                <w:sz w:val="19"/>
              </w:rPr>
              <w:t>Puestos, competencias técnicas y documentos obligatorios por puesto</w:t>
            </w:r>
          </w:p>
        </w:tc>
      </w:tr>
      <w:tr>
        <w:tc>
          <w:tcPr>
            <w:tcW w:type="dxa" w:w="2736"/>
          </w:tcPr>
          <w:p>
            <w:r>
              <w:rPr>
                <w:rFonts w:ascii="Aptos" w:hAnsi="Aptos"/>
                <w:color w:val="173047"/>
                <w:sz w:val="19"/>
              </w:rPr>
              <w:t>Programa de Inducción</w:t>
            </w:r>
          </w:p>
        </w:tc>
        <w:tc>
          <w:tcPr>
            <w:tcW w:type="dxa" w:w="3024"/>
          </w:tcPr>
          <w:p>
            <w:r>
              <w:rPr>
                <w:rFonts w:ascii="Aptos" w:hAnsi="Aptos"/>
                <w:color w:val="173047"/>
                <w:sz w:val="19"/>
              </w:rPr>
              <w:t>/rh/induction</w:t>
            </w:r>
          </w:p>
        </w:tc>
        <w:tc>
          <w:tcPr>
            <w:tcW w:type="dxa" w:w="4176"/>
          </w:tcPr>
          <w:p>
            <w:r>
              <w:rPr>
                <w:rFonts w:ascii="Aptos" w:hAnsi="Aptos"/>
                <w:color w:val="173047"/>
                <w:sz w:val="19"/>
              </w:rPr>
              <w:t>Configurar las 7 fases, inscribir colaboradores y dar seguimiento</w:t>
            </w:r>
          </w:p>
        </w:tc>
      </w:tr>
      <w:tr>
        <w:tc>
          <w:tcPr>
            <w:tcW w:type="dxa" w:w="2736"/>
          </w:tcPr>
          <w:p>
            <w:r>
              <w:rPr>
                <w:rFonts w:ascii="Aptos" w:hAnsi="Aptos"/>
                <w:color w:val="173047"/>
                <w:sz w:val="19"/>
              </w:rPr>
              <w:t>Capacitaciones (Evaluaciones)</w:t>
            </w:r>
          </w:p>
        </w:tc>
        <w:tc>
          <w:tcPr>
            <w:tcW w:type="dxa" w:w="3024"/>
          </w:tcPr>
          <w:p>
            <w:r>
              <w:rPr>
                <w:rFonts w:ascii="Aptos" w:hAnsi="Aptos"/>
                <w:color w:val="173047"/>
                <w:sz w:val="19"/>
              </w:rPr>
              <w:t>/rh/trainings</w:t>
            </w:r>
          </w:p>
        </w:tc>
        <w:tc>
          <w:tcPr>
            <w:tcW w:type="dxa" w:w="4176"/>
          </w:tcPr>
          <w:p>
            <w:r>
              <w:rPr>
                <w:rFonts w:ascii="Aptos" w:hAnsi="Aptos"/>
                <w:color w:val="173047"/>
                <w:sz w:val="19"/>
              </w:rPr>
              <w:t>Diseñar y publicar cuestionarios y constancias</w:t>
            </w:r>
          </w:p>
        </w:tc>
      </w:tr>
      <w:tr>
        <w:tc>
          <w:tcPr>
            <w:tcW w:type="dxa" w:w="2736"/>
          </w:tcPr>
          <w:p>
            <w:r>
              <w:rPr>
                <w:rFonts w:ascii="Aptos" w:hAnsi="Aptos"/>
                <w:color w:val="173047"/>
                <w:sz w:val="19"/>
              </w:rPr>
              <w:t>Captura práctica</w:t>
            </w:r>
          </w:p>
        </w:tc>
        <w:tc>
          <w:tcPr>
            <w:tcW w:type="dxa" w:w="3024"/>
          </w:tcPr>
          <w:p>
            <w:r>
              <w:rPr>
                <w:rFonts w:ascii="Aptos" w:hAnsi="Aptos"/>
                <w:color w:val="173047"/>
                <w:sz w:val="19"/>
              </w:rPr>
              <w:t>/rh/practical-capture</w:t>
            </w:r>
          </w:p>
        </w:tc>
        <w:tc>
          <w:tcPr>
            <w:tcW w:type="dxa" w:w="4176"/>
          </w:tcPr>
          <w:p>
            <w:r>
              <w:rPr>
                <w:rFonts w:ascii="Aptos" w:hAnsi="Aptos"/>
                <w:color w:val="173047"/>
                <w:sz w:val="19"/>
              </w:rPr>
              <w:t>Calificar la práctica supervisada (Fase 6)</w:t>
            </w:r>
          </w:p>
        </w:tc>
      </w:tr>
      <w:tr>
        <w:tc>
          <w:tcPr>
            <w:tcW w:type="dxa" w:w="2736"/>
          </w:tcPr>
          <w:p>
            <w:r>
              <w:rPr>
                <w:rFonts w:ascii="Aptos" w:hAnsi="Aptos"/>
                <w:color w:val="173047"/>
                <w:sz w:val="19"/>
              </w:rPr>
              <w:t>Evaluación de competencia</w:t>
            </w:r>
          </w:p>
        </w:tc>
        <w:tc>
          <w:tcPr>
            <w:tcW w:type="dxa" w:w="3024"/>
          </w:tcPr>
          <w:p>
            <w:r>
              <w:rPr>
                <w:rFonts w:ascii="Aptos" w:hAnsi="Aptos"/>
                <w:color w:val="173047"/>
                <w:sz w:val="19"/>
              </w:rPr>
              <w:t>/rh/competency-evaluations</w:t>
            </w:r>
          </w:p>
        </w:tc>
        <w:tc>
          <w:tcPr>
            <w:tcW w:type="dxa" w:w="4176"/>
          </w:tcPr>
          <w:p>
            <w:r>
              <w:rPr>
                <w:rFonts w:ascii="Aptos" w:hAnsi="Aptos"/>
                <w:color w:val="173047"/>
                <w:sz w:val="19"/>
              </w:rPr>
              <w:t>Aplicar y cerrar el registro REH-REG-003 (Fase 7)</w:t>
            </w:r>
          </w:p>
        </w:tc>
      </w:tr>
      <w:tr>
        <w:tc>
          <w:tcPr>
            <w:tcW w:type="dxa" w:w="2736"/>
          </w:tcPr>
          <w:p>
            <w:r>
              <w:rPr>
                <w:rFonts w:ascii="Aptos" w:hAnsi="Aptos"/>
                <w:color w:val="173047"/>
                <w:sz w:val="19"/>
              </w:rPr>
              <w:t>Expediente del colaborador</w:t>
            </w:r>
          </w:p>
        </w:tc>
        <w:tc>
          <w:tcPr>
            <w:tcW w:type="dxa" w:w="3024"/>
          </w:tcPr>
          <w:p>
            <w:r>
              <w:rPr>
                <w:rFonts w:ascii="Aptos" w:hAnsi="Aptos"/>
                <w:color w:val="173047"/>
                <w:sz w:val="19"/>
              </w:rPr>
              <w:t>RH → Empleados → expediente</w:t>
            </w:r>
          </w:p>
        </w:tc>
        <w:tc>
          <w:tcPr>
            <w:tcW w:type="dxa" w:w="4176"/>
          </w:tcPr>
          <w:p>
            <w:r>
              <w:rPr>
                <w:rFonts w:ascii="Aptos" w:hAnsi="Aptos"/>
                <w:color w:val="173047"/>
                <w:sz w:val="19"/>
              </w:rPr>
              <w:t>Ver avance, constancias y cerrar el REH-REG-005</w:t>
            </w:r>
          </w:p>
        </w:tc>
      </w:tr>
    </w:tbl>
    <w:p/>
    <w:p>
      <w:pPr>
        <w:pStyle w:val="Heading1"/>
      </w:pPr>
      <w:r>
        <w:t>3. El programa de 7 fases</w:t>
      </w:r>
    </w:p>
    <w:p>
      <w:r>
        <w:t>El programa es secuencial: el colaborador no puede inscribirse a una fase sin haber aprobado la anterior (gate secuencial). Las fases 1 a 4 son institucionales (iguales para todos); las fases 5 a 7 dependen del puesto asignado al colaborador.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20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Fase</w:t>
            </w:r>
          </w:p>
        </w:tc>
        <w:tc>
          <w:tcPr>
            <w:tcW w:type="dxa" w:w="3168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Nombre</w:t>
            </w:r>
          </w:p>
        </w:tc>
        <w:tc>
          <w:tcPr>
            <w:tcW w:type="dxa" w:w="1584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4464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Cómo se acredita</w:t>
            </w:r>
          </w:p>
        </w:tc>
      </w:tr>
      <w:tr>
        <w:tc>
          <w:tcPr>
            <w:tcW w:type="dxa" w:w="720"/>
          </w:tcPr>
          <w:p>
            <w:r>
              <w:rPr>
                <w:rFonts w:ascii="Aptos" w:hAnsi="Aptos"/>
                <w:color w:val="173047"/>
                <w:sz w:val="19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rFonts w:ascii="Aptos" w:hAnsi="Aptos"/>
                <w:color w:val="173047"/>
                <w:sz w:val="19"/>
              </w:rPr>
              <w:t>Bienvenida e inducción institucional</w:t>
            </w:r>
          </w:p>
        </w:tc>
        <w:tc>
          <w:tcPr>
            <w:tcW w:type="dxa" w:w="1584"/>
          </w:tcPr>
          <w:p>
            <w:r>
              <w:rPr>
                <w:rFonts w:ascii="Aptos" w:hAnsi="Aptos"/>
                <w:color w:val="173047"/>
                <w:sz w:val="19"/>
              </w:rPr>
              <w:t>Institucional</w:t>
            </w:r>
          </w:p>
        </w:tc>
        <w:tc>
          <w:tcPr>
            <w:tcW w:type="dxa" w:w="4464"/>
          </w:tcPr>
          <w:p>
            <w:r>
              <w:rPr>
                <w:rFonts w:ascii="Aptos" w:hAnsi="Aptos"/>
                <w:color w:val="173047"/>
                <w:sz w:val="19"/>
              </w:rPr>
              <w:t>Lectura y firma de documentos + cuestionario</w:t>
            </w:r>
          </w:p>
        </w:tc>
      </w:tr>
      <w:tr>
        <w:tc>
          <w:tcPr>
            <w:tcW w:type="dxa" w:w="720"/>
          </w:tcPr>
          <w:p>
            <w:r>
              <w:rPr>
                <w:rFonts w:ascii="Aptos" w:hAnsi="Aptos"/>
                <w:color w:val="173047"/>
                <w:sz w:val="19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rFonts w:ascii="Aptos" w:hAnsi="Aptos"/>
                <w:color w:val="173047"/>
                <w:sz w:val="19"/>
              </w:rPr>
              <w:t>Inducción al SGC</w:t>
            </w:r>
          </w:p>
        </w:tc>
        <w:tc>
          <w:tcPr>
            <w:tcW w:type="dxa" w:w="1584"/>
          </w:tcPr>
          <w:p>
            <w:r>
              <w:rPr>
                <w:rFonts w:ascii="Aptos" w:hAnsi="Aptos"/>
                <w:color w:val="173047"/>
                <w:sz w:val="19"/>
              </w:rPr>
              <w:t>Institucional</w:t>
            </w:r>
          </w:p>
        </w:tc>
        <w:tc>
          <w:tcPr>
            <w:tcW w:type="dxa" w:w="4464"/>
          </w:tcPr>
          <w:p>
            <w:r>
              <w:rPr>
                <w:rFonts w:ascii="Aptos" w:hAnsi="Aptos"/>
                <w:color w:val="173047"/>
                <w:sz w:val="19"/>
              </w:rPr>
              <w:t>Lectura y firma de documentos + cuestionario</w:t>
            </w:r>
          </w:p>
        </w:tc>
      </w:tr>
      <w:tr>
        <w:tc>
          <w:tcPr>
            <w:tcW w:type="dxa" w:w="720"/>
          </w:tcPr>
          <w:p>
            <w:r>
              <w:rPr>
                <w:rFonts w:ascii="Aptos" w:hAnsi="Aptos"/>
                <w:color w:val="173047"/>
                <w:sz w:val="19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rFonts w:ascii="Aptos" w:hAnsi="Aptos"/>
                <w:color w:val="173047"/>
                <w:sz w:val="19"/>
              </w:rPr>
              <w:t>Salud y bioseguridad</w:t>
            </w:r>
          </w:p>
        </w:tc>
        <w:tc>
          <w:tcPr>
            <w:tcW w:type="dxa" w:w="1584"/>
          </w:tcPr>
          <w:p>
            <w:r>
              <w:rPr>
                <w:rFonts w:ascii="Aptos" w:hAnsi="Aptos"/>
                <w:color w:val="173047"/>
                <w:sz w:val="19"/>
              </w:rPr>
              <w:t>Institucional</w:t>
            </w:r>
          </w:p>
        </w:tc>
        <w:tc>
          <w:tcPr>
            <w:tcW w:type="dxa" w:w="4464"/>
          </w:tcPr>
          <w:p>
            <w:r>
              <w:rPr>
                <w:rFonts w:ascii="Aptos" w:hAnsi="Aptos"/>
                <w:color w:val="173047"/>
                <w:sz w:val="19"/>
              </w:rPr>
              <w:t>Lectura y firma de documentos + cuestionario</w:t>
            </w:r>
          </w:p>
        </w:tc>
      </w:tr>
      <w:tr>
        <w:tc>
          <w:tcPr>
            <w:tcW w:type="dxa" w:w="720"/>
          </w:tcPr>
          <w:p>
            <w:r>
              <w:rPr>
                <w:rFonts w:ascii="Aptos" w:hAnsi="Aptos"/>
                <w:color w:val="173047"/>
                <w:sz w:val="19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rFonts w:ascii="Aptos" w:hAnsi="Aptos"/>
                <w:color w:val="173047"/>
                <w:sz w:val="19"/>
              </w:rPr>
              <w:t>Sistema informático del laboratorio</w:t>
            </w:r>
          </w:p>
        </w:tc>
        <w:tc>
          <w:tcPr>
            <w:tcW w:type="dxa" w:w="1584"/>
          </w:tcPr>
          <w:p>
            <w:r>
              <w:rPr>
                <w:rFonts w:ascii="Aptos" w:hAnsi="Aptos"/>
                <w:color w:val="173047"/>
                <w:sz w:val="19"/>
              </w:rPr>
              <w:t>Institucional</w:t>
            </w:r>
          </w:p>
        </w:tc>
        <w:tc>
          <w:tcPr>
            <w:tcW w:type="dxa" w:w="4464"/>
          </w:tcPr>
          <w:p>
            <w:r>
              <w:rPr>
                <w:rFonts w:ascii="Aptos" w:hAnsi="Aptos"/>
                <w:color w:val="173047"/>
                <w:sz w:val="19"/>
              </w:rPr>
              <w:t>Lectura y firma de documentos + cuestionario</w:t>
            </w:r>
          </w:p>
        </w:tc>
      </w:tr>
      <w:tr>
        <w:tc>
          <w:tcPr>
            <w:tcW w:type="dxa" w:w="720"/>
          </w:tcPr>
          <w:p>
            <w:r>
              <w:rPr>
                <w:rFonts w:ascii="Aptos" w:hAnsi="Aptos"/>
                <w:color w:val="173047"/>
                <w:sz w:val="19"/>
              </w:rPr>
              <w:t>5</w:t>
            </w:r>
          </w:p>
        </w:tc>
        <w:tc>
          <w:tcPr>
            <w:tcW w:type="dxa" w:w="3168"/>
          </w:tcPr>
          <w:p>
            <w:r>
              <w:rPr>
                <w:rFonts w:ascii="Aptos" w:hAnsi="Aptos"/>
                <w:color w:val="173047"/>
                <w:sz w:val="19"/>
              </w:rPr>
              <w:t>Inducción técnica por área/puesto</w:t>
            </w:r>
          </w:p>
        </w:tc>
        <w:tc>
          <w:tcPr>
            <w:tcW w:type="dxa" w:w="1584"/>
          </w:tcPr>
          <w:p>
            <w:r>
              <w:rPr>
                <w:rFonts w:ascii="Aptos" w:hAnsi="Aptos"/>
                <w:color w:val="173047"/>
                <w:sz w:val="19"/>
              </w:rPr>
              <w:t>Por puesto</w:t>
            </w:r>
          </w:p>
        </w:tc>
        <w:tc>
          <w:tcPr>
            <w:tcW w:type="dxa" w:w="4464"/>
          </w:tcPr>
          <w:p>
            <w:r>
              <w:rPr>
                <w:rFonts w:ascii="Aptos" w:hAnsi="Aptos"/>
                <w:color w:val="173047"/>
                <w:sz w:val="19"/>
              </w:rPr>
              <w:t>Lectura de los documentos del puesto + cuestionario</w:t>
            </w:r>
          </w:p>
        </w:tc>
      </w:tr>
      <w:tr>
        <w:tc>
          <w:tcPr>
            <w:tcW w:type="dxa" w:w="720"/>
          </w:tcPr>
          <w:p>
            <w:r>
              <w:rPr>
                <w:rFonts w:ascii="Aptos" w:hAnsi="Aptos"/>
                <w:color w:val="173047"/>
                <w:sz w:val="19"/>
              </w:rPr>
              <w:t>6</w:t>
            </w:r>
          </w:p>
        </w:tc>
        <w:tc>
          <w:tcPr>
            <w:tcW w:type="dxa" w:w="3168"/>
          </w:tcPr>
          <w:p>
            <w:r>
              <w:rPr>
                <w:rFonts w:ascii="Aptos" w:hAnsi="Aptos"/>
                <w:color w:val="173047"/>
                <w:sz w:val="19"/>
              </w:rPr>
              <w:t>Capacitación práctica supervisada</w:t>
            </w:r>
          </w:p>
        </w:tc>
        <w:tc>
          <w:tcPr>
            <w:tcW w:type="dxa" w:w="1584"/>
          </w:tcPr>
          <w:p>
            <w:r>
              <w:rPr>
                <w:rFonts w:ascii="Aptos" w:hAnsi="Aptos"/>
                <w:color w:val="173047"/>
                <w:sz w:val="19"/>
              </w:rPr>
              <w:t>Por puesto</w:t>
            </w:r>
          </w:p>
        </w:tc>
        <w:tc>
          <w:tcPr>
            <w:tcW w:type="dxa" w:w="4464"/>
          </w:tcPr>
          <w:p>
            <w:r>
              <w:rPr>
                <w:rFonts w:ascii="Aptos" w:hAnsi="Aptos"/>
                <w:color w:val="173047"/>
                <w:sz w:val="19"/>
              </w:rPr>
              <w:t>Práctica calificada por RH (escala 0 a 10)</w:t>
            </w:r>
          </w:p>
        </w:tc>
      </w:tr>
      <w:tr>
        <w:tc>
          <w:tcPr>
            <w:tcW w:type="dxa" w:w="720"/>
          </w:tcPr>
          <w:p>
            <w:r>
              <w:rPr>
                <w:rFonts w:ascii="Aptos" w:hAnsi="Aptos"/>
                <w:color w:val="173047"/>
                <w:sz w:val="19"/>
              </w:rPr>
              <w:t>7</w:t>
            </w:r>
          </w:p>
        </w:tc>
        <w:tc>
          <w:tcPr>
            <w:tcW w:type="dxa" w:w="3168"/>
          </w:tcPr>
          <w:p>
            <w:r>
              <w:rPr>
                <w:rFonts w:ascii="Aptos" w:hAnsi="Aptos"/>
                <w:color w:val="173047"/>
                <w:sz w:val="19"/>
              </w:rPr>
              <w:t>Evaluación de competencia inicial</w:t>
            </w:r>
          </w:p>
        </w:tc>
        <w:tc>
          <w:tcPr>
            <w:tcW w:type="dxa" w:w="1584"/>
          </w:tcPr>
          <w:p>
            <w:r>
              <w:rPr>
                <w:rFonts w:ascii="Aptos" w:hAnsi="Aptos"/>
                <w:color w:val="173047"/>
                <w:sz w:val="19"/>
              </w:rPr>
              <w:t>Por puesto</w:t>
            </w:r>
          </w:p>
        </w:tc>
        <w:tc>
          <w:tcPr>
            <w:tcW w:type="dxa" w:w="4464"/>
          </w:tcPr>
          <w:p>
            <w:r>
              <w:rPr>
                <w:rFonts w:ascii="Aptos" w:hAnsi="Aptos"/>
                <w:color w:val="173047"/>
                <w:sz w:val="19"/>
              </w:rPr>
              <w:t>Registro REH-REG-003 aplicado por RH (con firmas)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F6E3"/>
          </w:tcPr>
          <w:p>
            <w:r>
              <w:rPr>
                <w:rFonts w:ascii="Aptos" w:hAnsi="Aptos"/>
                <w:b/>
                <w:color w:val="00416A"/>
                <w:sz w:val="19"/>
              </w:rPr>
              <w:t xml:space="preserve">NOTA: </w:t>
            </w:r>
            <w:r>
              <w:rPr>
                <w:rFonts w:ascii="Aptos" w:hAnsi="Aptos"/>
                <w:color w:val="173047"/>
                <w:sz w:val="19"/>
              </w:rPr>
              <w:t>La Fase 7 no usa inscripción ni cuestionario: se acredita con la Evaluación de competencia inicial (REH-REG-003) aplicada y cerrada por RH (ver sección 6).</w:t>
            </w:r>
          </w:p>
        </w:tc>
      </w:tr>
    </w:tbl>
    <w:p/>
    <w:p>
      <w:pPr>
        <w:pStyle w:val="Heading1"/>
      </w:pPr>
      <w:r>
        <w:t>4. Configuración inicial (se hace una sola vez, o al crear un puesto)</w:t>
      </w:r>
    </w:p>
    <w:p>
      <w:pPr>
        <w:pStyle w:val="Heading2"/>
      </w:pPr>
      <w:r>
        <w:t>4.1 Catálogo de puestos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2F8"/>
          </w:tcPr>
          <w:p>
            <w:r>
              <w:rPr>
                <w:rFonts w:ascii="Aptos" w:hAnsi="Aptos"/>
                <w:b/>
                <w:color w:val="00416A"/>
                <w:sz w:val="18"/>
              </w:rPr>
              <w:t xml:space="preserve">RUTA EN EL SISTEMA   </w:t>
            </w:r>
            <w:r>
              <w:rPr>
                <w:rFonts w:ascii="Consolas" w:hAnsi="Consolas"/>
                <w:color w:val="173047"/>
                <w:sz w:val="20"/>
              </w:rPr>
              <w:t>/rh/positions</w:t>
            </w:r>
          </w:p>
        </w:tc>
      </w:tr>
    </w:tbl>
    <w:p/>
    <w:p>
      <w:r>
        <w:t>El catálogo replica las descriptivas del Manual de la Organización (REH-MAN-001). Cada puesto define sus competencias técnicas y los documentos que el colaborador leerá en la Fase 5.</w:t>
      </w:r>
    </w:p>
    <w:p>
      <w:pPr>
        <w:pStyle w:val="ListNumber"/>
      </w:pPr>
      <w:r>
        <w:t>Cree el puesto con su código corto y nombre (botón "Nuevo puesto").</w:t>
      </w:r>
    </w:p>
    <w:p>
      <w:pPr>
        <w:pStyle w:val="ListNumber"/>
      </w:pPr>
      <w:r>
        <w:t>Seleccione el puesto y agregue sus competencias técnicas, tomadas del apartado COMPETENCIAS TÉCNICAS de la descriptiva del puesto en el REH-MAN-001.</w:t>
      </w:r>
    </w:p>
    <w:p>
      <w:pPr>
        <w:pStyle w:val="ListNumber"/>
      </w:pPr>
      <w:r>
        <w:t>Asigne la criticidad de cada competencia: A — Alta (5), M — Media (3) o B — Baja (1). La criticidad pondera la Evaluación de competencia (REH-REG-003); una competencia de criticidad Alta reprobada aplica VETO (dictamen NO COMPETENTE aunque el porcentaje global apruebe).</w:t>
      </w:r>
    </w:p>
    <w:p>
      <w:pPr>
        <w:pStyle w:val="ListNumber"/>
      </w:pPr>
      <w:r>
        <w:t>En "Documentos obligatorios", use el buscador para localizar los documentos vigentes del SGC por código o título y agréguelos con un clic. Estos documentos son la lectura de la Fase 5 para ese puesto.</w:t>
      </w:r>
    </w:p>
    <w:p>
      <w:pPr>
        <w:pStyle w:val="Heading2"/>
      </w:pPr>
      <w:r>
        <w:t>4.2 Fases institucionales (1 a 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2F8"/>
          </w:tcPr>
          <w:p>
            <w:r>
              <w:rPr>
                <w:rFonts w:ascii="Aptos" w:hAnsi="Aptos"/>
                <w:b/>
                <w:color w:val="00416A"/>
                <w:sz w:val="18"/>
              </w:rPr>
              <w:t xml:space="preserve">RUTA EN EL SISTEMA   </w:t>
            </w:r>
            <w:r>
              <w:rPr>
                <w:rFonts w:ascii="Consolas" w:hAnsi="Consolas"/>
                <w:color w:val="173047"/>
                <w:sz w:val="20"/>
              </w:rPr>
              <w:t>/rh/induction</w:t>
            </w:r>
          </w:p>
        </w:tc>
      </w:tr>
    </w:tbl>
    <w:p/>
    <w:p>
      <w:pPr>
        <w:pStyle w:val="ListNumber"/>
      </w:pPr>
      <w:r>
        <w:t>Seleccione la fase y agregue sus documentos obligatorios (los que el colaborador leerá y firmará en la Sala de Lectura).</w:t>
      </w:r>
    </w:p>
    <w:p>
      <w:pPr>
        <w:pStyle w:val="ListNumber"/>
      </w:pPr>
      <w:r>
        <w:t>Capture la duración en horas de la fase y los datos de contacto del responsable.</w:t>
      </w:r>
    </w:p>
    <w:p>
      <w:pPr>
        <w:pStyle w:val="ListNumber"/>
      </w:pPr>
      <w:r>
        <w:t>Revise el checklist de la fase (viene sembrado con las actividades del REH-REG-005): es lo que el supervisor validará durante la fase.</w:t>
      </w:r>
    </w:p>
    <w:p>
      <w:pPr>
        <w:pStyle w:val="Heading2"/>
      </w:pPr>
      <w:r>
        <w:t>4.3 Cuestionarios y constancias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2F8"/>
          </w:tcPr>
          <w:p>
            <w:r>
              <w:rPr>
                <w:rFonts w:ascii="Aptos" w:hAnsi="Aptos"/>
                <w:b/>
                <w:color w:val="00416A"/>
                <w:sz w:val="18"/>
              </w:rPr>
              <w:t xml:space="preserve">RUTA EN EL SISTEMA   </w:t>
            </w:r>
            <w:r>
              <w:rPr>
                <w:rFonts w:ascii="Consolas" w:hAnsi="Consolas"/>
                <w:color w:val="173047"/>
                <w:sz w:val="20"/>
              </w:rPr>
              <w:t>/rh/trainings</w:t>
            </w:r>
          </w:p>
        </w:tc>
      </w:tr>
    </w:tbl>
    <w:p/>
    <w:p>
      <w:r>
        <w:t>Cada fase con cuestionario necesita una evaluación publicada en el curso de la fase.</w:t>
      </w:r>
    </w:p>
    <w:p>
      <w:pPr>
        <w:pStyle w:val="ListNumber"/>
      </w:pPr>
      <w:r>
        <w:t>Abra el curso de la fase y cree/edite su plantilla de evaluación (tipo cuestionario).</w:t>
      </w:r>
    </w:p>
    <w:p>
      <w:pPr>
        <w:pStyle w:val="ListNumber"/>
      </w:pPr>
      <w:r>
        <w:t>Capture las preguntas manualmente, o use el Banco de preguntas con IA: genera preguntas candidatas a partir de los documentos de la fase; revise cada una y apruébela o recházela antes de usarla.</w:t>
      </w:r>
    </w:p>
    <w:p>
      <w:pPr>
        <w:pStyle w:val="ListNumber"/>
      </w:pPr>
      <w:r>
        <w:t>Defina la calificación mínima aprobatoria y publique la evaluación.</w:t>
      </w:r>
    </w:p>
    <w:p>
      <w:pPr>
        <w:pStyle w:val="ListNumber"/>
      </w:pPr>
      <w:r>
        <w:t>La constancia oficial de Inducción se genera sola al aprobar (formato institucional con firmas); queda archivada en el expediente del colaborador, sección Programa de Inducción (tipo Constancia Fase N).</w:t>
      </w:r>
    </w:p>
    <w:p>
      <w:pPr>
        <w:pStyle w:val="Heading2"/>
      </w:pPr>
      <w:r>
        <w:t>4.4 Habilitar las fases 5 y 6 para un puesto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2F8"/>
          </w:tcPr>
          <w:p>
            <w:r>
              <w:rPr>
                <w:rFonts w:ascii="Aptos" w:hAnsi="Aptos"/>
                <w:b/>
                <w:color w:val="00416A"/>
                <w:sz w:val="18"/>
              </w:rPr>
              <w:t xml:space="preserve">RUTA EN EL SISTEMA   </w:t>
            </w:r>
            <w:r>
              <w:rPr>
                <w:rFonts w:ascii="Consolas" w:hAnsi="Consolas"/>
                <w:color w:val="173047"/>
                <w:sz w:val="20"/>
              </w:rPr>
              <w:t>/rh/induction  →  Fase 5 / Fase 6  →  panel "Puestos habilitados"</w:t>
            </w:r>
          </w:p>
        </w:tc>
      </w:tr>
    </w:tbl>
    <w:p/>
    <w:p>
      <w:pPr>
        <w:pStyle w:val="ListNumber"/>
      </w:pPr>
      <w:r>
        <w:t>En la Fase 5 (y luego en la 6), habilite el puesto: el sistema crea automáticamente el curso INDUCCION-FASE-5-&lt;CÓDIGO DEL PUESTO&gt; (o FASE-6).</w:t>
      </w:r>
    </w:p>
    <w:p>
      <w:pPr>
        <w:pStyle w:val="ListNumber"/>
      </w:pPr>
      <w:r>
        <w:t>Diseñe y publique la evaluación del curso de Fase 5 en Capacitaciones (cuestionario).</w:t>
      </w:r>
    </w:p>
    <w:p>
      <w:pPr>
        <w:pStyle w:val="ListNumber"/>
      </w:pPr>
      <w:r>
        <w:t>La Fase 6 no lleva cuestionario del colaborador: su evaluación es de tipo práctica y la califica RH directamente (sección 5.6).</w:t>
      </w:r>
    </w:p>
    <w:p>
      <w:pPr>
        <w:pStyle w:val="Heading1"/>
      </w:pPr>
      <w:r>
        <w:t>5. Operación por colaborador (fases 1 a 6)</w:t>
      </w:r>
    </w:p>
    <w:p>
      <w:pPr>
        <w:pStyle w:val="Heading2"/>
      </w:pPr>
      <w:r>
        <w:t>5.1 Preparar al colaborador</w:t>
      </w:r>
    </w:p>
    <w:p>
      <w:pPr>
        <w:pStyle w:val="ListNumber"/>
      </w:pPr>
      <w:r>
        <w:t>Verifique que el colaborador exista en RH → Empleados, con su sucursal capturada.</w:t>
      </w:r>
    </w:p>
    <w:p>
      <w:pPr>
        <w:pStyle w:val="ListNumber"/>
      </w:pPr>
      <w:r>
        <w:t>Asígnele su puesto activo (pestaña de puestos del expediente). Sin puesto asignado no podrá inscribirse a las fases 5 a 7.</w:t>
      </w:r>
    </w:p>
    <w:p>
      <w:pPr>
        <w:pStyle w:val="ListNumber"/>
      </w:pPr>
      <w:r>
        <w:t>Verifique que tenga cuenta de acceso al sistema (el sistema le otorga el rol de lectura de Calidad automáticamente al inscribirlo, para poder usar la Sala de Lectura).</w:t>
      </w:r>
    </w:p>
    <w:p>
      <w:pPr>
        <w:pStyle w:val="Heading2"/>
      </w:pPr>
      <w:r>
        <w:t>5.2 Inscribir a una fase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2F8"/>
          </w:tcPr>
          <w:p>
            <w:r>
              <w:rPr>
                <w:rFonts w:ascii="Aptos" w:hAnsi="Aptos"/>
                <w:b/>
                <w:color w:val="00416A"/>
                <w:sz w:val="18"/>
              </w:rPr>
              <w:t xml:space="preserve">RUTA EN EL SISTEMA   </w:t>
            </w:r>
            <w:r>
              <w:rPr>
                <w:rFonts w:ascii="Consolas" w:hAnsi="Consolas"/>
                <w:color w:val="173047"/>
                <w:sz w:val="20"/>
              </w:rPr>
              <w:t>/rh/induction  →  seleccionar fase  →  "Inscribir colaborador"</w:t>
            </w:r>
          </w:p>
        </w:tc>
      </w:tr>
    </w:tbl>
    <w:p/>
    <w:p>
      <w:pPr>
        <w:pStyle w:val="ListNumber"/>
      </w:pPr>
      <w:r>
        <w:t>Seleccione al colaborador y, si aplica, al supervisor de la fase.</w:t>
      </w:r>
    </w:p>
    <w:p>
      <w:pPr>
        <w:pStyle w:val="ListNumber"/>
      </w:pPr>
      <w:r>
        <w:t>Al inscribir, el sistema asigna la lectura de los documentos de la fase en la Sala de Lectura del colaborador y, cuando la lectura está completa, le habilita el cuestionario.</w:t>
      </w:r>
    </w:p>
    <w:p>
      <w:pPr>
        <w:pStyle w:val="ListNumber"/>
      </w:pPr>
      <w:r>
        <w:t>El gate secuencial impide inscribir a una fase si la anterior no está aprobada.</w:t>
      </w:r>
    </w:p>
    <w:p>
      <w:pPr>
        <w:pStyle w:val="Heading2"/>
      </w:pPr>
      <w:r>
        <w:t>5.3 Seguimiento de lectura y evaluación</w:t>
      </w:r>
    </w:p>
    <w:p>
      <w:r>
        <w:t>En la misma pantalla de la fase se ve el avance de cada inscrito: lectura pendiente/completa, evaluación disponible, calificación obtenida y estado de la fase (aprobada / no acreditada). El colaborador ve su propio avance en "Mi inducción".</w:t>
      </w:r>
    </w:p>
    <w:p>
      <w:pPr>
        <w:pStyle w:val="Heading2"/>
      </w:pPr>
      <w:r>
        <w:t>5.4 Checklist del supervisor y evaluación de eficacia</w:t>
      </w:r>
    </w:p>
    <w:p>
      <w:r>
        <w:t>Durante cada fase, el supervisor valida las actividades del checklist y registra la evaluación de eficacia. Estos elementos alimentan el Formato de Inducción (REH-REG-005) consolidado del colaborador y son requisito para el cierre formal.</w:t>
      </w:r>
    </w:p>
    <w:p>
      <w:pPr>
        <w:pStyle w:val="Heading2"/>
      </w:pPr>
      <w:r>
        <w:t>5.5 Constancias por fase</w:t>
      </w:r>
    </w:p>
    <w:p>
      <w:r>
        <w:t>Al aprobar cada fase se emite la constancia oficial de Inducción y se archiva automáticamente en el expediente del colaborador (sección Programa de Inducción, "Constancia Fase N — &lt;nombre de la fase&gt;").</w:t>
      </w:r>
    </w:p>
    <w:p>
      <w:pPr>
        <w:pStyle w:val="Heading2"/>
      </w:pPr>
      <w:r>
        <w:t>5.6 Fase 6: calificar la práctica supervisada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2F8"/>
          </w:tcPr>
          <w:p>
            <w:r>
              <w:rPr>
                <w:rFonts w:ascii="Aptos" w:hAnsi="Aptos"/>
                <w:b/>
                <w:color w:val="00416A"/>
                <w:sz w:val="18"/>
              </w:rPr>
              <w:t xml:space="preserve">RUTA EN EL SISTEMA   </w:t>
            </w:r>
            <w:r>
              <w:rPr>
                <w:rFonts w:ascii="Consolas" w:hAnsi="Consolas"/>
                <w:color w:val="173047"/>
                <w:sz w:val="20"/>
              </w:rPr>
              <w:t>/rh/practical-capture</w:t>
            </w:r>
          </w:p>
        </w:tc>
      </w:tr>
    </w:tbl>
    <w:p/>
    <w:p>
      <w:pPr>
        <w:pStyle w:val="ListNumber"/>
      </w:pPr>
      <w:r>
        <w:t>Seleccione el curso de Fase 6 del puesto y al colaborador inscrito.</w:t>
      </w:r>
    </w:p>
    <w:p>
      <w:pPr>
        <w:pStyle w:val="ListNumber"/>
      </w:pPr>
      <w:r>
        <w:t>Capture la calificación de la práctica en escala 0 a 10 (aprueba con la mínima definida en la plantilla).</w:t>
      </w:r>
    </w:p>
    <w:p>
      <w:pPr>
        <w:pStyle w:val="ListNumber"/>
      </w:pPr>
      <w:r>
        <w:t>Al aprobar, se emite la constancia de la Fase 6 y el avance queda reflejado en el Formato de Inducción.</w:t>
      </w:r>
    </w:p>
    <w:p>
      <w:pPr>
        <w:pStyle w:val="Heading1"/>
      </w:pPr>
      <w:r>
        <w:t>6. Fase 7: Evaluación de competencia (REH-REG-003)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2F8"/>
          </w:tcPr>
          <w:p>
            <w:r>
              <w:rPr>
                <w:rFonts w:ascii="Aptos" w:hAnsi="Aptos"/>
                <w:b/>
                <w:color w:val="00416A"/>
                <w:sz w:val="18"/>
              </w:rPr>
              <w:t xml:space="preserve">RUTA EN EL SISTEMA   </w:t>
            </w:r>
            <w:r>
              <w:rPr>
                <w:rFonts w:ascii="Consolas" w:hAnsi="Consolas"/>
                <w:color w:val="173047"/>
                <w:sz w:val="20"/>
              </w:rPr>
              <w:t>/rh/competency-evaluations</w:t>
            </w:r>
          </w:p>
        </w:tc>
      </w:tr>
    </w:tbl>
    <w:p/>
    <w:p>
      <w:r>
        <w:t>Es el instrumento final del programa y también el de la reevaluación anual. Evalúa tres secciones con ponderación fija: competencias técnicas del puesto (50%), criterios de desempeño (20%) y conocimientos (30%).</w:t>
      </w:r>
    </w:p>
    <w:p>
      <w:pPr>
        <w:pStyle w:val="ListNumber"/>
      </w:pPr>
      <w:r>
        <w:t>Cree una nueva evaluación tipo INICIAL para el colaborador: el sistema precarga las competencias del puesto (con su criticidad) y los 7 criterios de desempeño.</w:t>
      </w:r>
    </w:p>
    <w:p>
      <w:pPr>
        <w:pStyle w:val="ListNumber"/>
      </w:pPr>
      <w:r>
        <w:t>Califique cada elemento en escala 1 a 4. En conocimientos, cada pregunta correcta vale 4 y la incorrecta 1.</w:t>
      </w:r>
    </w:p>
    <w:p>
      <w:pPr>
        <w:pStyle w:val="ListNumber"/>
      </w:pPr>
      <w:r>
        <w:t>El sistema calcula el resultado en línea. Regla de VETO: una competencia de criticidad Alta reprobada dictamina NO COMPETENTE aunque el porcentaje global apruebe.</w:t>
      </w:r>
    </w:p>
    <w:p>
      <w:pPr>
        <w:pStyle w:val="ListNumber"/>
      </w:pPr>
      <w:r>
        <w:t>Si el dictamen no es pleno, capture el plan de acciones (obligatorio).</w:t>
      </w:r>
    </w:p>
    <w:p>
      <w:pPr>
        <w:pStyle w:val="ListNumber"/>
      </w:pPr>
      <w:r>
        <w:t>Cierre la evaluación con las 5 firmas digitales. El sistema genera el PDF del registro y lo archiva en el expediente con vigencia de 12 meses; al acercarse el vencimiento, las alertas de RH pedirán la reevaluación.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Resultado global</w:t>
            </w:r>
          </w:p>
        </w:tc>
        <w:tc>
          <w:tcPr>
            <w:tcW w:type="dxa" w:w="4608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Dictamen</w:t>
            </w:r>
          </w:p>
        </w:tc>
      </w:tr>
      <w:tr>
        <w:tc>
          <w:tcPr>
            <w:tcW w:type="dxa" w:w="4608"/>
          </w:tcPr>
          <w:p>
            <w:r>
              <w:rPr>
                <w:rFonts w:ascii="Aptos" w:hAnsi="Aptos"/>
                <w:color w:val="173047"/>
                <w:sz w:val="19"/>
              </w:rPr>
              <w:t>90% o más</w:t>
            </w:r>
          </w:p>
        </w:tc>
        <w:tc>
          <w:tcPr>
            <w:tcW w:type="dxa" w:w="4608"/>
          </w:tcPr>
          <w:p>
            <w:r>
              <w:rPr>
                <w:rFonts w:ascii="Aptos" w:hAnsi="Aptos"/>
                <w:color w:val="173047"/>
                <w:sz w:val="19"/>
              </w:rPr>
              <w:t>COMPETENTE Y AUTORIZADO</w:t>
            </w:r>
          </w:p>
        </w:tc>
      </w:tr>
      <w:tr>
        <w:tc>
          <w:tcPr>
            <w:tcW w:type="dxa" w:w="4608"/>
          </w:tcPr>
          <w:p>
            <w:r>
              <w:rPr>
                <w:rFonts w:ascii="Aptos" w:hAnsi="Aptos"/>
                <w:color w:val="173047"/>
                <w:sz w:val="19"/>
              </w:rPr>
              <w:t>80% a 89%</w:t>
            </w:r>
          </w:p>
        </w:tc>
        <w:tc>
          <w:tcPr>
            <w:tcW w:type="dxa" w:w="4608"/>
          </w:tcPr>
          <w:p>
            <w:r>
              <w:rPr>
                <w:rFonts w:ascii="Aptos" w:hAnsi="Aptos"/>
                <w:color w:val="173047"/>
                <w:sz w:val="19"/>
              </w:rPr>
              <w:t>COMPETENTE CON OBSERVACIONES</w:t>
            </w:r>
          </w:p>
        </w:tc>
      </w:tr>
      <w:tr>
        <w:tc>
          <w:tcPr>
            <w:tcW w:type="dxa" w:w="4608"/>
          </w:tcPr>
          <w:p>
            <w:r>
              <w:rPr>
                <w:rFonts w:ascii="Aptos" w:hAnsi="Aptos"/>
                <w:color w:val="173047"/>
                <w:sz w:val="19"/>
              </w:rPr>
              <w:t>70% a 79%</w:t>
            </w:r>
          </w:p>
        </w:tc>
        <w:tc>
          <w:tcPr>
            <w:tcW w:type="dxa" w:w="4608"/>
          </w:tcPr>
          <w:p>
            <w:r>
              <w:rPr>
                <w:rFonts w:ascii="Aptos" w:hAnsi="Aptos"/>
                <w:color w:val="173047"/>
                <w:sz w:val="19"/>
              </w:rPr>
              <w:t>COMPETENTE BAJO SUPERVISIÓN</w:t>
            </w:r>
          </w:p>
        </w:tc>
      </w:tr>
      <w:tr>
        <w:tc>
          <w:tcPr>
            <w:tcW w:type="dxa" w:w="4608"/>
          </w:tcPr>
          <w:p>
            <w:r>
              <w:rPr>
                <w:rFonts w:ascii="Aptos" w:hAnsi="Aptos"/>
                <w:color w:val="173047"/>
                <w:sz w:val="19"/>
              </w:rPr>
              <w:t>Menos de 70% — o VETO por competencia crítica</w:t>
            </w:r>
          </w:p>
        </w:tc>
        <w:tc>
          <w:tcPr>
            <w:tcW w:type="dxa" w:w="4608"/>
          </w:tcPr>
          <w:p>
            <w:r>
              <w:rPr>
                <w:rFonts w:ascii="Aptos" w:hAnsi="Aptos"/>
                <w:color w:val="173047"/>
                <w:sz w:val="19"/>
              </w:rPr>
              <w:t>NO COMPETENTE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FDF6E3"/>
          </w:tcPr>
          <w:p>
            <w:r>
              <w:rPr>
                <w:rFonts w:ascii="Aptos" w:hAnsi="Aptos"/>
                <w:b/>
                <w:color w:val="00416A"/>
                <w:sz w:val="19"/>
              </w:rPr>
              <w:t xml:space="preserve">NOTA: </w:t>
            </w:r>
            <w:r>
              <w:rPr>
                <w:rFonts w:ascii="Aptos" w:hAnsi="Aptos"/>
                <w:color w:val="173047"/>
                <w:sz w:val="19"/>
              </w:rPr>
              <w:t>El resultado de la última evaluación INICIAL cerrada es el que acredita (o no) la Fase 7 en el Formato de Inducción del colaborador.</w:t>
            </w:r>
          </w:p>
        </w:tc>
      </w:tr>
    </w:tbl>
    <w:p/>
    <w:p>
      <w:pPr>
        <w:pStyle w:val="Heading1"/>
      </w:pPr>
      <w:r>
        <w:t>7. Cierre del Formato de Inducción (REH-REG-005)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fill="EAF2F8"/>
          </w:tcPr>
          <w:p>
            <w:r>
              <w:rPr>
                <w:rFonts w:ascii="Aptos" w:hAnsi="Aptos"/>
                <w:b/>
                <w:color w:val="00416A"/>
                <w:sz w:val="18"/>
              </w:rPr>
              <w:t xml:space="preserve">RUTA EN EL SISTEMA   </w:t>
            </w:r>
            <w:r>
              <w:rPr>
                <w:rFonts w:ascii="Consolas" w:hAnsi="Consolas"/>
                <w:color w:val="173047"/>
                <w:sz w:val="20"/>
              </w:rPr>
              <w:t>RH → Empleados → expediente del colaborador → panel de Inducción → "Cerrar Formato de Inducción"</w:t>
            </w:r>
          </w:p>
        </w:tc>
      </w:tr>
    </w:tbl>
    <w:p/>
    <w:p>
      <w:r>
        <w:t>El Formato de Inducción consolida las 7 fases (calificaciones, checklist, supervisor y eficacia). El cierre formal lo firma RH y queda como evidencia definitiva.</w:t>
      </w:r>
    </w:p>
    <w:p>
      <w:pPr>
        <w:pStyle w:val="ListNumber"/>
      </w:pPr>
      <w:r>
        <w:t>Verifique el avance del colaborador en el panel de Inducción del expediente.</w:t>
      </w:r>
    </w:p>
    <w:p>
      <w:pPr>
        <w:pStyle w:val="ListNumber"/>
      </w:pPr>
      <w:r>
        <w:t>Pulse "Cerrar Formato de Inducción" y elija el veredicto (ver tabla).</w:t>
      </w:r>
    </w:p>
    <w:p>
      <w:pPr>
        <w:pStyle w:val="ListNumber"/>
      </w:pPr>
      <w:r>
        <w:t>Capture las 3 firmas digitales (colaborador, supervisor y RH) y, si el veredicto es negativo, el motivo (obligatorio).</w:t>
      </w:r>
    </w:p>
    <w:p>
      <w:pPr>
        <w:pStyle w:val="ListNumber"/>
      </w:pPr>
      <w:r>
        <w:t>El sistema genera el PDF oficial (código REH-REG-005) con la banda "REGISTRO CERRADO" y las firmas, y lo archiva en el expediente.</w:t>
      </w:r>
    </w:p>
    <w:p>
      <w:pPr>
        <w:pStyle w:val="ListNumber"/>
      </w:pPr>
      <w:r>
        <w:t>Si necesita corregir un cierre, use "Corregir cierre": se genera una versión nueva sin borrar la evidencia anterior.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888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Veredicto</w:t>
            </w:r>
          </w:p>
        </w:tc>
        <w:tc>
          <w:tcPr>
            <w:tcW w:type="dxa" w:w="5328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Cuándo aplica</w:t>
            </w:r>
          </w:p>
        </w:tc>
      </w:tr>
      <w:tr>
        <w:tc>
          <w:tcPr>
            <w:tcW w:type="dxa" w:w="3888"/>
          </w:tcPr>
          <w:p>
            <w:r>
              <w:rPr>
                <w:rFonts w:ascii="Aptos" w:hAnsi="Aptos"/>
                <w:color w:val="173047"/>
                <w:sz w:val="19"/>
              </w:rPr>
              <w:t>APROBADA (inducción institucional)</w:t>
            </w:r>
          </w:p>
        </w:tc>
        <w:tc>
          <w:tcPr>
            <w:tcW w:type="dxa" w:w="5328"/>
          </w:tcPr>
          <w:p>
            <w:r>
              <w:rPr>
                <w:rFonts w:ascii="Aptos" w:hAnsi="Aptos"/>
                <w:color w:val="173047"/>
                <w:sz w:val="19"/>
              </w:rPr>
              <w:t>Fases 1 a 4 aprobadas</w:t>
            </w:r>
          </w:p>
        </w:tc>
      </w:tr>
      <w:tr>
        <w:tc>
          <w:tcPr>
            <w:tcW w:type="dxa" w:w="3888"/>
          </w:tcPr>
          <w:p>
            <w:r>
              <w:rPr>
                <w:rFonts w:ascii="Aptos" w:hAnsi="Aptos"/>
                <w:color w:val="173047"/>
                <w:sz w:val="19"/>
              </w:rPr>
              <w:t>APROBADA (inducción completa, 7 fases)</w:t>
            </w:r>
          </w:p>
        </w:tc>
        <w:tc>
          <w:tcPr>
            <w:tcW w:type="dxa" w:w="5328"/>
          </w:tcPr>
          <w:p>
            <w:r>
              <w:rPr>
                <w:rFonts w:ascii="Aptos" w:hAnsi="Aptos"/>
                <w:color w:val="173047"/>
                <w:sz w:val="19"/>
              </w:rPr>
              <w:t>Las 7 fases aprobadas</w:t>
            </w:r>
          </w:p>
        </w:tc>
      </w:tr>
      <w:tr>
        <w:tc>
          <w:tcPr>
            <w:tcW w:type="dxa" w:w="3888"/>
          </w:tcPr>
          <w:p>
            <w:r>
              <w:rPr>
                <w:rFonts w:ascii="Aptos" w:hAnsi="Aptos"/>
                <w:color w:val="173047"/>
                <w:sz w:val="19"/>
              </w:rPr>
              <w:t>NO APROBADA</w:t>
            </w:r>
          </w:p>
        </w:tc>
        <w:tc>
          <w:tcPr>
            <w:tcW w:type="dxa" w:w="5328"/>
          </w:tcPr>
          <w:p>
            <w:r>
              <w:rPr>
                <w:rFonts w:ascii="Aptos" w:hAnsi="Aptos"/>
                <w:color w:val="173047"/>
                <w:sz w:val="19"/>
              </w:rPr>
              <w:t>En cualquier momento, con motivo obligatorio</w:t>
            </w:r>
          </w:p>
        </w:tc>
      </w:tr>
    </w:tbl>
    <w:p/>
    <w:p>
      <w:pPr>
        <w:pStyle w:val="Heading1"/>
      </w:pPr>
      <w:r>
        <w:t>8. Preguntas frecuentes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Situación</w:t>
            </w:r>
          </w:p>
        </w:tc>
        <w:tc>
          <w:tcPr>
            <w:tcW w:type="dxa" w:w="6048"/>
            <w:shd w:val="clear" w:fill="00416A"/>
          </w:tcPr>
          <w:p>
            <w:r>
              <w:rPr>
                <w:rFonts w:ascii="Aptos" w:hAnsi="Aptos"/>
                <w:b/>
                <w:color w:val="FFFFFF"/>
                <w:sz w:val="19"/>
              </w:rPr>
              <w:t>Qué hacer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color w:val="173047"/>
                <w:sz w:val="19"/>
              </w:rPr>
              <w:t>No puedo inscribir al colaborador a la fase</w:t>
            </w:r>
          </w:p>
        </w:tc>
        <w:tc>
          <w:tcPr>
            <w:tcW w:type="dxa" w:w="6048"/>
          </w:tcPr>
          <w:p>
            <w:r>
              <w:rPr>
                <w:rFonts w:ascii="Aptos" w:hAnsi="Aptos"/>
                <w:color w:val="173047"/>
                <w:sz w:val="19"/>
              </w:rPr>
              <w:t>Verifique que la fase anterior esté aprobada (gate secuencial) y, en fases 5-7, que el colaborador tenga puesto activo asignado.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color w:val="173047"/>
                <w:sz w:val="19"/>
              </w:rPr>
              <w:t>El colaborador no ve sus documentos de lectura</w:t>
            </w:r>
          </w:p>
        </w:tc>
        <w:tc>
          <w:tcPr>
            <w:tcW w:type="dxa" w:w="6048"/>
          </w:tcPr>
          <w:p>
            <w:r>
              <w:rPr>
                <w:rFonts w:ascii="Aptos" w:hAnsi="Aptos"/>
                <w:color w:val="173047"/>
                <w:sz w:val="19"/>
              </w:rPr>
              <w:t>Confirme que la fase tiene documentos configurados y que la inscripción se realizó; la lectura aparece en su Sala de Lectura ("Mis lecturas").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color w:val="173047"/>
                <w:sz w:val="19"/>
              </w:rPr>
              <w:t>No aparece el cuestionario para el colaborador</w:t>
            </w:r>
          </w:p>
        </w:tc>
        <w:tc>
          <w:tcPr>
            <w:tcW w:type="dxa" w:w="6048"/>
          </w:tcPr>
          <w:p>
            <w:r>
              <w:rPr>
                <w:rFonts w:ascii="Aptos" w:hAnsi="Aptos"/>
                <w:color w:val="173047"/>
                <w:sz w:val="19"/>
              </w:rPr>
              <w:t>La evaluación del curso de la fase debe estar publicada y la lectura de los documentos completa.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color w:val="173047"/>
                <w:sz w:val="19"/>
              </w:rPr>
              <w:t>El dictamen salió NO COMPETENTE con buen porcentaje</w:t>
            </w:r>
          </w:p>
        </w:tc>
        <w:tc>
          <w:tcPr>
            <w:tcW w:type="dxa" w:w="6048"/>
          </w:tcPr>
          <w:p>
            <w:r>
              <w:rPr>
                <w:rFonts w:ascii="Aptos" w:hAnsi="Aptos"/>
                <w:color w:val="173047"/>
                <w:sz w:val="19"/>
              </w:rPr>
              <w:t>Revise si aplicó VETO: alguna competencia de criticidad Alta calificada como reprobada.</w:t>
            </w:r>
          </w:p>
        </w:tc>
      </w:tr>
      <w:tr>
        <w:tc>
          <w:tcPr>
            <w:tcW w:type="dxa" w:w="3744"/>
          </w:tcPr>
          <w:p>
            <w:r>
              <w:rPr>
                <w:rFonts w:ascii="Aptos" w:hAnsi="Aptos"/>
                <w:color w:val="173047"/>
                <w:sz w:val="19"/>
              </w:rPr>
              <w:t>Cerré el Formato con un dato incorrecto</w:t>
            </w:r>
          </w:p>
        </w:tc>
        <w:tc>
          <w:tcPr>
            <w:tcW w:type="dxa" w:w="6048"/>
          </w:tcPr>
          <w:p>
            <w:r>
              <w:rPr>
                <w:rFonts w:ascii="Aptos" w:hAnsi="Aptos"/>
                <w:color w:val="173047"/>
                <w:sz w:val="19"/>
              </w:rPr>
              <w:t>Use "Corregir cierre" en el panel de Inducción: genera una nueva versión del registro sin eliminar la anterior.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730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416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588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  <w:color w:val="173047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  <w:color w:val="173047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