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投资要点与核心财务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INVESTMENT HIGHLIGHTS &amp; FINANCIALS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01  零库存资本占用：2 亿比索货源以寄售方式无偿供货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合作方将其位于墨西哥城仓库的约 2 亿比索（1,080 万美元）低价实物库存，以寄售（consignación）方式无偿交由 CLG 销售，售出后按约定结算价付款。CLG 不垫付一分钱采购款，不承担库存资金占用、滞销跌价与进口汇率风险——本项目的资产负债表上没有最容易出问题的那一项。因货源成本极低，售价可定在市场价以下 15–20% 仍实现 47% 综合毛利率，本地同业毛利率天花板仅 20–25%。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02  总投资金额约 115 万美元，且首年净利润即达 1,028 万比索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无需备货资金，投资仅由人力、双城租金、运营费用与蒙特雷场地一次性建设构成。展厅采用模块化陈列，装修预算压缩至常规方案的 20%；货架、叉车、配送车辆与办公设备全部采购二手。总投资 2,130 万比索（约 115 万美元）覆盖前 3 个月全部支出与场地建设；自第 4 个月起，全部扩张性支出均由经营现金流滚动再投资，三年内不再需要追加股权融资。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7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7"/>
        </w:rPr>
        <w:t>03  保守口径：全部年度收入按原始业务测算的 60% 计列</w:t>
      </w:r>
      <w:r>
        <w:rPr>
          <w:rFonts w:ascii="Calibri" w:hAnsi="Calibri" w:eastAsia="Microsoft YaHei"/>
          <w:b w:val="0"/>
          <w:i w:val="0"/>
          <w:color w:val="1A1A1A"/>
          <w:sz w:val="17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7"/>
        </w:rPr>
      </w:r>
    </w:p>
    <w:p>
      <w:pPr>
        <w:spacing w:before="0" w:after="60" w:lineRule="auto" w:line="262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5"/>
        </w:rPr>
        <w:t>各年度收入按内部测算值的 60% 计列（首年 9,900 万比索、第三年 5.10 亿比索），保留 40% 安全边际。18 人编制、总经理一人统管两城、设计与创意全部外包，增量覆盖由代理商网络（首年 60 家、第三年 440 家）而非自建团队实现。第三年 EBITDA 达 9,690 万比索，为总投资额的 4.6 倍；三年累计 EBITDA 为 7.4 倍。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nil"/>
          <w:insideV w:val="single" w:sz="4" w:space="0" w:color="C9D1DA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115万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总投资金额（美元）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1,028万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首年净利润（比索）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18人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双城人员编制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1.566亿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三年累计 EBITDA（比索）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1.5–2.4亿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五年上市估值（美元）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729"/>
        <w:gridCol w:w="1729"/>
        <w:gridCol w:w="1729"/>
        <w:gridCol w:w="1729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财务指标（单位：百万比索）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三年累计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99.0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252.0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510.0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861.0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毛利润 / 毛利率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46.5 / 47.0%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113.4 / 45.0%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224.4 / 44.0%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384.3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营业费用 / 占收入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30.7 / 31.0%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69.6 / 27.6%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127.5 / 25.0%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227.8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EBITDA / EBITDA 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15.9 / 16.0%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43.8 / 17.4%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96.9 / 19.0%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156.6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净利润 / 净利率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10.3 / 10.4%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29.1 / 11.6%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65.3 / 12.8%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104.7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自建城市 / 代理商 / 人员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 / 60 / 18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 / 180 / 38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 / 440 / 72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6" w:after="16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人均产出 550→708 万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38228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_mi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3822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4097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gin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40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80" w:lineRule="auto" w:line="26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注：汇率 1 美元 = 18.50 比索。综合毛利率由 50% 调降至 47%（第二、三年 45%／44%），系放量所需的渠道让价与第三年起转入常规补货的共同影响，已如实计入。</w:t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投 资 回 报 测 算   RETURN ON INVESTMENT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608"/>
        <w:gridCol w:w="1984"/>
        <w:gridCol w:w="3288"/>
      </w:tblGrid>
      <w:tr>
        <w:trPr>
          <w:tblHeader w:val="true"/>
        </w:trPr>
        <w:tc>
          <w:tcPr>
            <w:tcW w:type="dxa" w:w="221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回报口径</w:t>
            </w:r>
          </w:p>
        </w:tc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金额</w:t>
            </w:r>
          </w:p>
        </w:tc>
        <w:tc>
          <w:tcPr>
            <w:tcW w:type="dxa" w:w="198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相对总投资额（115 万美元）</w:t>
            </w:r>
          </w:p>
        </w:tc>
        <w:tc>
          <w:tcPr>
            <w:tcW w:type="dxa" w:w="328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21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第三年 EBITDA</w:t>
            </w:r>
          </w:p>
        </w:tc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9,690 万比索 / 524 万美元</w:t>
            </w:r>
          </w:p>
        </w:tc>
        <w:tc>
          <w:tcPr>
            <w:tcW w:type="dxa" w:w="198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4.6 倍</w:t>
            </w:r>
          </w:p>
        </w:tc>
        <w:tc>
          <w:tcPr>
            <w:tcW w:type="dxa" w:w="328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单一年度即覆盖总投资 4.6 倍</w:t>
            </w:r>
          </w:p>
        </w:tc>
      </w:tr>
      <w:tr>
        <w:tc>
          <w:tcPr>
            <w:tcW w:type="dxa" w:w="221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三年累计 EBITDA</w:t>
            </w:r>
          </w:p>
        </w:tc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1.566 亿比索 / 847 万美元</w:t>
            </w:r>
          </w:p>
        </w:tc>
        <w:tc>
          <w:tcPr>
            <w:tcW w:type="dxa" w:w="198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7.4 倍</w:t>
            </w:r>
          </w:p>
        </w:tc>
        <w:tc>
          <w:tcPr>
            <w:tcW w:type="dxa" w:w="328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三年内不追加任何股权融资</w:t>
            </w:r>
          </w:p>
        </w:tc>
      </w:tr>
      <w:tr>
        <w:tc>
          <w:tcPr>
            <w:tcW w:type="dxa" w:w="221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三年累计净利润</w:t>
            </w:r>
          </w:p>
        </w:tc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1.047 亿比索 / 566 万美元</w:t>
            </w:r>
          </w:p>
        </w:tc>
        <w:tc>
          <w:tcPr>
            <w:tcW w:type="dxa" w:w="198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4.9 倍</w:t>
            </w:r>
          </w:p>
        </w:tc>
        <w:tc>
          <w:tcPr>
            <w:tcW w:type="dxa" w:w="328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现金回收周期 24 个月以内</w:t>
            </w:r>
          </w:p>
        </w:tc>
      </w:tr>
      <w:tr>
        <w:tc>
          <w:tcPr>
            <w:tcW w:type="dxa" w:w="221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第五年纳斯达克上市估值</w:t>
            </w:r>
          </w:p>
        </w:tc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1.5–2.4 亿美元</w:t>
            </w:r>
          </w:p>
        </w:tc>
        <w:tc>
          <w:tcPr>
            <w:tcW w:type="dxa" w:w="198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130–210 倍</w:t>
            </w:r>
          </w:p>
        </w:tc>
        <w:tc>
          <w:tcPr>
            <w:tcW w:type="dxa" w:w="328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1.8 倍 EV/Revenue 或 22 倍 P/E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市场机会、双城战略与三年扩张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MARKET &amp; EXPANSION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27919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919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4365"/>
        <w:gridCol w:w="1531"/>
        <w:gridCol w:w="1417"/>
        <w:gridCol w:w="1417"/>
      </w:tblGrid>
      <w:tr>
        <w:trPr>
          <w:tblHeader w:val="true"/>
        </w:trPr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市场层级</w:t>
            </w:r>
          </w:p>
        </w:tc>
        <w:tc>
          <w:tcPr>
            <w:tcW w:type="dxa" w:w="43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口径定义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规模（美元）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CLG 份额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TAM 总体市场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全国六大品类批发总值（估算，基于 INEGI 分行业收入与进口统计三角测算）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5,200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281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SAM 可服务市场</w:t>
            </w:r>
          </w:p>
        </w:tc>
        <w:tc>
          <w:tcPr>
            <w:tcW w:type="dxa" w:w="43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双城都会区（墨城 2,200万人 + 蒙特雷 550万人）占全国批发吞吐约 32%，其中亚洲进口高性价比细分约 35%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583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31.5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SOM 可获得份额</w:t>
            </w:r>
          </w:p>
        </w:tc>
        <w:tc>
          <w:tcPr>
            <w:tcW w:type="dxa" w:w="43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第一年 0.99 亿 / 第二年 2.52 亿 / 第三年 5.10 亿比索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5.10 亿（Y3）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0.28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Y1 0.17% → Y3 0.54%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墨西哥城 CDMX —— 量 ( 现金引擎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伊斯塔帕拉帕 Central de Abastos：美洲最大批发市场，占地约 328 公顷、日均人流 9 万人次，为全国价格定价节点。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Tepito / La Merced 商圈数千家进口再批发商，是 CLG 的直接客户而非竞争者——按柜采购、全国分拨。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寄售货源就在合作方墨西哥城仓库，CLG 只需 800㎡ 展厅与总部办公，无需自建大仓。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客户特征：大批量、价格敏感、现金结算——回款快、应收风险低。</w:t>
            </w:r>
          </w:p>
        </w:tc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蒙特雷 MONTERREY —— 利 ( 品质引擎 )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新莱昂州 14,000 余家工业企业，劳保与工装属刚性、可续约的重复性采购。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人均 GDP 为全国均值约 1.6 倍，同一 SKU 毛利率较墨城高 3–6 个百分点。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正规企业客户强制要求 CFDI 4.0 电子发票与账期——非正规同业无法提供的结构性壁垒。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· 距新拉雷多陆港 2 小时，是「中国→美国→墨西哥」自有物流通道的落地终点。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65"/>
        <w:gridCol w:w="3997"/>
        <w:gridCol w:w="652"/>
        <w:gridCol w:w="992"/>
        <w:gridCol w:w="765"/>
        <w:gridCol w:w="1049"/>
        <w:gridCol w:w="1049"/>
        <w:gridCol w:w="822"/>
      </w:tblGrid>
      <w:tr>
        <w:trPr>
          <w:tblHeader w:val="true"/>
        </w:trPr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年度</w:t>
            </w:r>
          </w:p>
        </w:tc>
        <w:tc>
          <w:tcPr>
            <w:tcW w:type="dxa" w:w="399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新增城市（选址逻辑）</w:t>
            </w:r>
          </w:p>
        </w:tc>
        <w:tc>
          <w:tcPr>
            <w:tcW w:type="dxa" w:w="65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自建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城市</w:t>
            </w:r>
          </w:p>
        </w:tc>
        <w:tc>
          <w:tcPr>
            <w:tcW w:type="dxa" w:w="99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展厅/仓库</w:t>
            </w:r>
          </w:p>
        </w:tc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代理商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EBITDA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2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净利润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第一年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墨西哥城（集团总部＋展厅）、蒙特雷（展厅＋仓库）——量与利的组合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 / 1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99.0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15.9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10.3</w:t>
            </w:r>
          </w:p>
        </w:tc>
      </w:tr>
      <w:tr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第二年</w:t>
            </w:r>
          </w:p>
        </w:tc>
        <w:tc>
          <w:tcPr>
            <w:tcW w:type="dxa" w:w="399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瓜达拉哈拉（第二大经济体、礼品零售密集）、蒂华纳（边境保税加工厂劳保、美墨跨境试点）</w:t>
            </w:r>
          </w:p>
        </w:tc>
        <w:tc>
          <w:tcPr>
            <w:tcW w:type="dxa" w:w="65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</w:t>
            </w:r>
          </w:p>
        </w:tc>
        <w:tc>
          <w:tcPr>
            <w:tcW w:type="dxa" w:w="99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 / 2</w:t>
            </w:r>
          </w:p>
        </w:tc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180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252.0</w:t>
            </w:r>
          </w:p>
        </w:tc>
        <w:tc>
          <w:tcPr>
            <w:tcW w:type="dxa" w:w="10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43.8</w:t>
            </w:r>
          </w:p>
        </w:tc>
        <w:tc>
          <w:tcPr>
            <w:tcW w:type="dxa" w:w="82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29.1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第三年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莱昂／巴希奥（制鞋皮革与工业劳保）、克雷塔罗（物流枢纽）、普埃布拉（纺织服装集群）；其余各州由代理商与越库配送覆盖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7 / 4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440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510.0</w:t>
            </w:r>
          </w:p>
        </w:tc>
        <w:tc>
          <w:tcPr>
            <w:tcW w:type="dxa" w:w="10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96.9</w:t>
            </w:r>
          </w:p>
        </w:tc>
        <w:tc>
          <w:tcPr>
            <w:tcW w:type="dxa" w:w="82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65.3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业务板块一：B2B / B2C 批发分销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WHOLESALE DISTRIBUTION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78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渠道次序（重要）：第 1 个月即开设 Mercado Libre 与 Amazon MX 官方旗舰店——先借平台流量实现零营销费的即时销售，并对数千个 SKU 进行真实价格与需求测试，其数据价值高于销售额本身，直接指导自有品牌选品；自建 D2C 平台随后承接被验证的客户。首年 B2C 收入 1,080 万比索中约 70% 来自第三方平台。支付端须在上线前完成 SPEI、OXXO Pay、Mercado Pago、免息分期（MSI）与 BNPL 接入。品类毛利率较原测算整体下调 3–4 个百分点，作为放量所需的渠道让价成本。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业务板块二：自有品牌开发、生产与销售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OWN-BRAND DEVELOPMENT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247"/>
        <w:gridCol w:w="3175"/>
      </w:tblGrid>
      <w:tr>
        <w:trPr>
          <w:tblHeader w:val="true"/>
        </w:trPr>
        <w:tc>
          <w:tcPr>
            <w:tcW w:type="dxa" w:w="226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自有品牌指标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第五年目标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战略含义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自有品牌收入（百万比索）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9.0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50.4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163.2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780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四年 CAGR 约 205%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占集团总收入比重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20%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50%+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估值倍数的首要驱动因子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自有品牌毛利率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62%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模具与认证摊销完毕后爬升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占集团毛利总额比重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23%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58%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利润结构由贸易转向品牌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贸易业务毛利率（递减）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49%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44%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寄售货源第二年末去化 81%，第三年转常规补货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20" w:after="3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04000" cy="25770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br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57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271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投资逻辑一句话：「前两年，寄售货源以零资金占用供养建设；第三至五年，自有品牌供养估值。」纯分销商的国际可比估值为 0.3–0.6 倍 EV/Revenue，而拥有自有渠道的品牌消费品公司为 1.5–3.0 倍。CLG 用自身经营现金流、而非投资人资金完成这一转型。自有品牌首批开发资金仅需 90 万比索（设计＋打样＋商标，设计外包），量产资金自第 4 个月起由经营收入承担；依托集团中国制造资源与墨西哥 NOM 认证能力，为本地大型零售商提供自有品牌 OEM 代工可作为第二增长曲线（第三年潜在 2,400–3,600 万比索），列为上行空间而非基准预测。</w:t>
      </w:r>
    </w:p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执行路线图：90 天攻坚与首年里程碑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EXECUTION ROADMAP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1304"/>
        <w:gridCol w:w="4649"/>
        <w:gridCol w:w="1247"/>
        <w:gridCol w:w="1814"/>
      </w:tblGrid>
      <w:tr>
        <w:trPr>
          <w:tblHeader w:val="true"/>
        </w:trPr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阶段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时间</w:t>
            </w:r>
          </w:p>
        </w:tc>
        <w:tc>
          <w:tcPr>
            <w:tcW w:type="dxa" w:w="46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关键交付（并行推进）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责任人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验收标准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攻坚期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1–8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2026.10–11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寄售合作协议签署（墨西哥独家、最低供货承诺、结算价与账期锁定）　② 实体／RFC／e.firma／CFDI 4.0 开票通道；进口商名录与 IMMEX 申报　③ 寄售 SKU 主数据对接＋条码化＋NOM-050 合规审计　④ ERP＋WMS 上线　⑤ 集团官网上线　⑥ 蒙特雷展厅与仓库签约、模块化装修、二手设备到位　⑦ 自有品牌 Logo／VI／产品设计与中国打样　⑧ IMPI 商标注册递交　⑨ Mercado Libre／Amazon MX 开店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（IT 全责）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 上线、蒙特雷交付、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寄售协议生效、官网上线</w:t>
            </w:r>
          </w:p>
        </w:tc>
      </w:tr>
      <w:tr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上线期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9–14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2026.12–2027.01</w:t>
            </w:r>
          </w:p>
        </w:tc>
        <w:tc>
          <w:tcPr>
            <w:tcW w:type="dxa" w:w="46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B2B/B2C 批发平台 V1.0 上线（客户分级、阶梯价、授信、下单—对账—开票闭环）　② 自有品牌 D2C 独立站上线　③ 公司介绍手册、产品图册＋分级价目表、代理商合同范本定稿　④ 经美国通道的首批蒙特雷铺货　⑤ 支付通道接入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平台交易跑通、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手册与合同交付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放量期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15–52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2027.02–09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双城 360 家活跃 B2B 客户、60 家签约代理商　② 自有品牌首批量产（资金由经营收入承担）并上市　③ 大型渠道准入谈判　④ 第 4 个月起经营现金流自给，扩张支出全部内生　⑤ IFRS／US GAAP 账套与审计对接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收入 9,900 万比索、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1,588 万、审计出具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组织架构与人力配置（18 人）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ORGANIZATION &amp; HEADCOUNT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871"/>
        <w:gridCol w:w="1871"/>
        <w:gridCol w:w="1247"/>
        <w:gridCol w:w="2154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职能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墨西哥城（总部）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蒙特雷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合计</w:t>
            </w:r>
          </w:p>
        </w:tc>
        <w:tc>
          <w:tcPr>
            <w:tcW w:type="dxa" w:w="215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月度全负荷成本（比索）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高管（总经理一人统管两城）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243,000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销售与展厅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351,450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仓储与物流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59,400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电商与 IT 开发（总经理直属）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121,500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财务、采购与行政（兼客服）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47,250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设计、摄影、代运营、法务、报关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外包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外包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0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不设编制，按项目计费</w:t>
            </w:r>
          </w:p>
        </w:tc>
      </w:tr>
      <w:tr>
        <w:tc>
          <w:tcPr>
            <w:tcW w:type="dxa" w:w="294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合计编制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12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6</w:t>
            </w:r>
          </w:p>
        </w:tc>
        <w:tc>
          <w:tcPr>
            <w:tcW w:type="dxa" w:w="124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18</w:t>
            </w:r>
          </w:p>
        </w:tc>
        <w:tc>
          <w:tcPr>
            <w:tcW w:type="dxa" w:w="215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4" w:after="1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815,400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0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全负荷成本 = 税前月薪 × 1.35（IMSS 社保、INFONAVIT 住房、SAR、年终奖 15 天、休假金及州工资税 ISN 约 3%）。满编月成本 815,400 比索、年化 978 万比索；首年按分批到岗约 75% 计为 730 万比索，加 2% 销售提成 198 万比索，首年人力总成本 928 万比索（仅占收入 9.4%）。收入较上一版翻倍仅增加 3 名一线人员，因为增量覆盖由代理商网络（首年 60 家、第三年 440 家）承担；仓储主体在合作方仓库、配送由集团自有物流执行、设计摄影法务报关全部按项目外包——18 人只负责决策、系统、大客户与渠道管理四件事。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总经理一人统管两城：核心地位与成本效率的统一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本方案取消蒙特雷独立分公司经理层，由总经理一人同时担任两座城市的最高经营负责人，蒙特雷仅设销售主管（月薪 4.5 万比索）直接向总经理汇报——每年节省全负荷人工约 130 万比索，更消除了双城之间的决策时延。18 人编制之下，总经理与每一位员工之间最多只隔一层。</w:t>
            </w:r>
          </w:p>
          <w:p>
            <w:pPr>
              <w:spacing w:before="0" w:after="24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总经理同时承担三重职能：墨西哥平台首席执行者、实际履行 CTO 职责并直接管辖全部 IT 与数字平台开发（2 人开发团队无中间层级直接汇报）、以及首席商品官（寄售货源的定价权即本项目的护城河，不可下放）。直接汇报对象：销售总监（墨城）· 蒙特雷销售主管 · IT 开发团队 2 人 · 财务行政 · 外包设计团队。</w:t>
            </w:r>
          </w:p>
          <w:p>
            <w:pPr>
              <w:spacing w:before="0" w:after="50" w:line="26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投资人视角：18 人编制、两城同步、90 天交付三大平台，只有在单一决策者压缩三个角色、且非核心职能全部外部化的结构下才可能实现；计划坦承这是最大优势与最大单点风险，缓释措施为——第 12 个月视业绩聘任副手、为核心管理者设立期权池、为总经理投保关键人寿险，并在投资人尽调前完成书面接班安排。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首年营业费用结构（合计 3,065 万比索，占收入 31.0%）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964"/>
        <w:gridCol w:w="794"/>
        <w:gridCol w:w="3345"/>
        <w:gridCol w:w="1020"/>
        <w:gridCol w:w="1020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  <w:tc>
          <w:tcPr>
            <w:tcW w:type="dxa" w:w="334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人力（全负荷，分批到岗）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7.3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7.4%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专业服务（律师、报关、商标、审计、税务）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1.0%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租金（墨城 12 个月＋蒙特雷 5 个月当量）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6.35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6.4%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安保、保险、水电与设施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市场推广与渠道开发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差旅、样品与展会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0.8%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代理商返利与渠道费用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坏账计提（B2B 收入 1.5%）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物流与末端配送（自有物流按成本结算）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2.5%</w:t>
            </w:r>
          </w:p>
        </w:tc>
        <w:tc>
          <w:tcPr>
            <w:tcW w:type="dxa" w:w="33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IT 运维、ERP/WMS 订阅与设计外包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1.5%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销售提成（收入 2%）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34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其他与不可预见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投资需求与资金用途（总投资金额约 115 万美元）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USE OF FUNDS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1"/>
        <w:jc w:val="both"/>
      </w:pPr>
      <w:r>
        <w:rPr>
          <w:rFonts w:ascii="Calibri" w:hAnsi="Calibri" w:eastAsia="Microsoft YaHei"/>
          <w:b w:val="0"/>
          <w:i w:val="0"/>
          <w:color w:val="1A1A1A"/>
          <w:sz w:val="15"/>
        </w:rPr>
        <w:t>因 2 亿比索货源以寄售方式无偿供给、售出后结算，本项目不存在采购备货资金需求。总投资合计 2,055 万比索，取整 2,130 万比索（约 115 万美元）。成本控制原则有二：展厅采用模块化陈列与既有结构，装修预算压缩至常规方案的 20%；货架、叉车、配送车辆与全部办公设备一律采购二手（墨西哥工业设备二手市场成熟，同等规格通常为新品的 35–45%，不影响运营效率）。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757"/>
        <w:gridCol w:w="1361"/>
        <w:gridCol w:w="3005"/>
      </w:tblGrid>
      <w:tr>
        <w:trPr>
          <w:tblHeader w:val="true"/>
        </w:trPr>
        <w:tc>
          <w:tcPr>
            <w:tcW w:type="dxa" w:w="56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投资项目（前 3 个月一次性投入）</w:t>
            </w:r>
          </w:p>
        </w:tc>
        <w:tc>
          <w:tcPr>
            <w:tcW w:type="dxa" w:w="175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比索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</w:t>
            </w:r>
          </w:p>
        </w:tc>
        <w:tc>
          <w:tcPr>
            <w:tcW w:type="dxa" w:w="300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蒙特雷展厅装修（1,653㎡，模块化陈列）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728,000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39,351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仅为常规装修预算的 20%；利用既有结构与照明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蒙特雷仓库货架与设备（全部二手）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二手横梁货架、二手叉车与托盘车，约为新品 40%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ERP＋WMS（云端订阅制，与合作方仓库对账）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37,838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轻量 SaaS，不自建、不上重型 ERP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三大平台开发（官网／B2B 批发／自有品牌 D2C）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1,300,000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 2 人团队为主 + 定向外包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品牌与产品设计、IMPI 商标注册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48,649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设计按项目外包；商标须在发布前递交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公司手册、产品图册＋价目表、代理商资料包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450,000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24,324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中／西／英三语，首批小批量印刷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二手配送车 2 台＋二手办公 IT 设备、家具、POS、监控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27,027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全部二手采购，不为新品付溢价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个月人力成本（18 人分批到岗）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1,700,000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91,892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 个月起由经营收入承担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前 3 个月租金（双城）＋运营费用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124,324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蒙特雷争取 3 个月免租期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租赁押金与保证金（双城）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2,900,000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156,757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可回收资产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实体设立、RFC、IMMEX、NOM 认证、清关与许可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1,500,000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81,081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合规启动一次性支出，不可压缩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营运资金（应收账款周转；寄售模式下无备货资金）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5,000,000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270,270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仅为账期垫付，占收入 5%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不可预见费（10%）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1,867,800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100,962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</w:p>
        </w:tc>
        <w:tc>
          <w:tcPr>
            <w:tcW w:type="dxa" w:w="3402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总投资金额合计 / 取整</w:t>
            </w:r>
          </w:p>
        </w:tc>
        <w:tc>
          <w:tcPr>
            <w:tcW w:type="dxa" w:w="175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20,545,800 / 21,300,000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1,110,584 / 1,150,000</w:t>
            </w:r>
          </w:p>
        </w:tc>
        <w:tc>
          <w:tcPr>
            <w:tcW w:type="dxa" w:w="3005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第 4 个月起全部扩张支出由经营收入内生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178183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1781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3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78000" cy="20960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rterly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000" cy="2096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keepNext/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双城租金模型（首年实付 635 万比索，仅占收入 6.4%）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304"/>
        <w:gridCol w:w="1361"/>
        <w:gridCol w:w="1417"/>
        <w:gridCol w:w="1701"/>
        <w:gridCol w:w="1701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场地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面积（㎡）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美元/㎡/月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月租（美元）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年租（比索）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墨西哥城：展厅＋集团总部办公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14.00＋CAM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214,600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2,575,200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蒙特雷：展厅＋办公（500 坪）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1,653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9.00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14,877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275,225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3,302,694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蒙特雷：仓库（1,000 坪）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3,306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23,142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428,127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5,137,524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蒙特雷：物业管理费 CAM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4,959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0.55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2,727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50,455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605,455</w:t>
            </w:r>
          </w:p>
        </w:tc>
      </w:tr>
      <w:tr>
        <w:tc>
          <w:tcPr>
            <w:tcW w:type="dxa" w:w="260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双城满编运行合计</w:t>
            </w:r>
          </w:p>
        </w:tc>
        <w:tc>
          <w:tcPr>
            <w:tcW w:type="dxa" w:w="130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5,759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—</w:t>
            </w:r>
          </w:p>
        </w:tc>
        <w:tc>
          <w:tcPr>
            <w:tcW w:type="dxa" w:w="141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52,346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968,407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11,620,873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2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关键节省与谈判要点：寄售货源存放于合作方墨西哥城既有仓库，CLG 在墨城无需自建大仓，仅保留 800㎡ 展厅与总部办公——相较自租 5,000㎡ 仓库每年直接节省约 700 万比索。蒙特雷工业地产 2026 年一季度空置率 7.5%、报价 7.00 美元/㎡/月（Colliers），应争取 3–5 年期、3 个月免租期并将年涨幅锁定于美元 CPI 或 3%；展厅须取 flex／工业型空间而非甲级写字楼（甲级报价达 18.88 美元/㎡/月，Solili 2026年6月），选错每年多支出约 19.5 万美元。首年实付 635 万比索，仅占收入 6.4%，第二年约 4.6%、第三年约 3.3%——收入上调而场地不变，租金占比直接减半，这是利润率跃升最直接的来源。</w:t>
      </w:r>
    </w:p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5386"/>
        <w:gridCol w:w="1531"/>
        <w:gridCol w:w="1701"/>
      </w:tblGrid>
      <w:tr>
        <w:trPr>
          <w:tblHeader w:val="true"/>
        </w:trPr>
        <w:tc>
          <w:tcPr>
            <w:tcW w:type="dxa" w:w="147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期间</w:t>
            </w:r>
          </w:p>
        </w:tc>
        <w:tc>
          <w:tcPr>
            <w:tcW w:type="dxa" w:w="538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 4 个月起的内生再投资（不再需要追加股权融资）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金额（比索）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资金来源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4–6 个月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自有品牌首批量产订金、平台 V1.0 迭代、SKU 摄影与素材库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3,500,000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7–12 个月</w:t>
            </w:r>
          </w:p>
        </w:tc>
        <w:tc>
          <w:tcPr>
            <w:tcW w:type="dxa" w:w="538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SKU 品类扩展、市场推广加码、代理商体系铺开（60 家）、第三城前置筹备、平台 V2.0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9,000,000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  <w:tr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第二年全年</w:t>
            </w:r>
          </w:p>
        </w:tc>
        <w:tc>
          <w:tcPr>
            <w:tcW w:type="dxa" w:w="538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两座新城铺设、自有品牌品类扩展、代理商扩至 180 家、团队扩编至 38 人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约 25,000,000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2" w:after="12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经营现金流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08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五年纳斯达克上市路径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THE NASDAQ PATH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（1）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按本版口径，第五年 CLG 目标营业收入约 8,430 万美元（15.6 亿比索）、净利率约 13%（净利润约 1,096 万美元）、自有品牌占收入 50% 以上——税前利润远超纳斯达克全球市场（Nasdaq Global Market）收益标准所要求的 100 万美元，并可同时满足股东权益 1,500 万美元、公众持股市值 800 万美元、400 名整手股东与股价 4 美元等各项门槛。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（2）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可比公司框架：拉美及新兴市场纯分销企业的交易倍数约为 0.4–0.9 倍 EV/Revenue 与 14–20 倍 P/E，而拥有自有渠道的品牌消费品公司为 1.5–3.0 倍 EV/Revenue 与 20–28 倍 P/E；鉴于 CLG 届时自有品牌占比约 50%、毛利率 43% 左右、三年复合增速约 45%，可辩护的定价基准为 1.8 倍 EV/Revenue 或 22 倍 P/E。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（3）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据此隐含企业价值按收入倍数约 1.52 亿美元、按盈利倍数约 2.41 亿美元，即 1.5 亿–2.4 亿美元（28–44 亿比索）的可信上市区间，相当于对总投资 115 万美元 130–210 倍的回报；三项不可妥协的前提：自第一年起由四大或 PCAOB 注册所出具 US GAAP／IFRS 审计报告、即刻搭建开曼或特拉华控股公司之于墨西哥 S.A. de C.V. 的离岸架构、自第一天建立符合 SOX 的内控与常设资料室。</w:t>
      </w:r>
    </w:p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09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keepNext/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主要风险、对策与投资人监控看板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RISKS &amp; KPI DASHBOARD</w:t>
            </w:r>
          </w:p>
        </w:tc>
      </w:tr>
    </w:tbl>
    <w:p>
      <w:pPr>
        <w:keepNext/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361"/>
        <w:gridCol w:w="5783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敞口</w:t>
            </w:r>
          </w:p>
        </w:tc>
        <w:tc>
          <w:tcPr>
            <w:tcW w:type="dxa" w:w="5783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对策（与 CLG 实际结构挂钩）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合作方供货依赖　2 亿比索寄售货源由合作方单一供给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首年收入 7,920 万比索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以合同而非资金对冲：书面寄售协议明确墨西哥独家经销权、最低供货承诺与品类清单、结算价与调价机制、账期与对账规则、不少于 3 年期限及终止过渡安排；ERP 与合作方仓库实时对账；保留中国直采备份通道与集团自有物流，可在 45 天内以正常进口补位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库存资金与滞销风险　自购模式下本为最大风险项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已基本消除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寄售模式下 CLG 不垫付采购款、不持有库存所有权：资金占用为零、滞销跌价由合作方承担、进口汇率波动不影响 CLG 成本。CLG 仅承担销售与保管责任（投保保管人责任险，年费约 15–25 万比索）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物流与海关风险　亚洲原产消费品在墨西哥太平洋港口查验趋严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已大幅降低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货物经「中国→美国→墨西哥」路径，由集团自有物流公司全程承运：在美国完成集拼、分批与文件预审，再经新拉雷多陆路口岸入墨、2 小时直达蒙特雷仓库，规避对亚洲直航货的最严查验与港口拥堵；陆运段短、路线固定，货损与失窃风险同步下降，并带来 8–12% 的永久性到岸成本优势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B2B 应收账款风险　正规客户要求 30–60 天账期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首年计提 120 万；第三年敞口约 1,560 万</w:t>
            </w:r>
          </w:p>
        </w:tc>
        <w:tc>
          <w:tcPr>
            <w:tcW w:type="dxa" w:w="5783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分层授信：一级客户（墨城高周转买家，约占 B2B 收入 55%）一律现金／SPEI，零信用风险；二级正规中小企业 30 天并取本票＋个人担保；三级工业大客户 60 天并投保信用险或反向保理；10 万比索以上强制征信；大额应收经 NAFIN 无追索保理 48 小时变现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关键人与人手风险　18 人编制下总经理一人统管两城并全责 IT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执行高度集中；第三年贸易毛利率递减</w:t>
            </w:r>
          </w:p>
        </w:tc>
        <w:tc>
          <w:tcPr>
            <w:tcW w:type="dxa" w:w="5783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8" w:after="8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窗口即战略：用 18 个月锁定 440 家带独家条款与最低采购量的代理商；自有品牌为永久护城河，第三年 42% 毛利来自自有知识产权；关键流程固化于 ERP 与书面 SOP，设计、法务、报关、配送均有外部合作方即时补位；总经理层面以书面接班安排、期权池、关键人寿险与第 12 个月增设副手缓释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794"/>
        <w:gridCol w:w="794"/>
        <w:gridCol w:w="2041"/>
        <w:gridCol w:w="850"/>
        <w:gridCol w:w="907"/>
        <w:gridCol w:w="907"/>
      </w:tblGrid>
      <w:tr>
        <w:trPr>
          <w:tblHeader w:val="true"/>
        </w:trPr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204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活跃 B2B 客户数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360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1,040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2,300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寄售货源累计去化率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23%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81%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100%→转常规补货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代理商数量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440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库存资金占用（比索）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keepNext/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应收账款周转天数 DSO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≤42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≤50 天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≤55 天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人员编制 / 人均产出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 / 5.50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 / 6.63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72 / 7.08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6"/>
              </w:rPr>
              <w:t>开业前必须完成的五项前置事项（缺一即无法营业）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① 寄售合作协议（首要）：墨西哥独家经销、最低供货承诺与品类清单、结算价与调价机制、账期与对账规则、保管责任与保险归属、不少于 3 年期限及终止过渡安排。此协议是全部财务预测的法律基础，须先于一切支出完成签署。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② S.A. de C.V. 实体、外资登记 RNIE、RFC、e.firma、数字签章 CSD 及 PAC 对接，并具备开具 CFDI 4.0 与货运 Carta Porte 附件的能力——否则无法向任何正规企业客户销售，蒙特雷工业客户论证即不成立。预留 6–10 周。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③ 进口商名录（Padrón de Importadores）及服装纺织类特定行业名录；自有品牌与补货经美国通道入墨，须同步完成美墨两端报关主体与文件体系；消费品关税 0–35%，另有 16% 增值税形成现金垫付（已计入营运资金）。</w:t>
            </w:r>
          </w:p>
          <w:p>
            <w:pPr>
              <w:spacing w:before="0" w:after="24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④ NOM 强制认证与标签：NOM-050-SCFI 适用于生活用品、厨房、服装、文具、礼品；服装另需 NOM-004-SCFI；劳保品类风险最高，工业客户采购前必索取符合性证书。须对寄售库存做 NOM-050 合规审计——若无西语标签，返工成本承担方须在寄售协议中事先约定。</w:t>
            </w:r>
          </w:p>
          <w:p>
            <w:pPr>
              <w:spacing w:before="0" w:after="50" w:line="252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⑤ IMPI 商标先行注册（墨西哥为申请在先制，须在首份图册印刷前完成两个品牌全部相关尼斯类别的递交）；ERP／WMS 须先于三大平台上线并与合作方仓库实时对账；关联交易须按独立交易原则定价并出具转让定价报告，否则美国审计师不予签字。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1906" w:h="16838"/>
      <w:pgMar w:top="822" w:right="907" w:bottom="680" w:left="90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single" w:sz="6" w:space="0" w:color="C9D1D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504"/>
      <w:gridCol w:w="1587"/>
    </w:tblGrid>
    <w:tr>
      <w:tc>
        <w:tcPr>
          <w:tcW w:type="dxa" w:w="8504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4"/>
            </w:rPr>
            <w:t>CLG GROUP · MEXICO  |  墨西哥商业计划书  |  本文件含商业机密，未经书面许可不得复制或转发</w:t>
          </w:r>
        </w:p>
      </w:tc>
      <w:tc>
        <w:tcPr>
          <w:tcW w:type="dxa" w:w="1587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第 </w:t>
          </w:r>
          <w:r>
            <w:rPr>
              <w:rFonts w:ascii="Calibri" w:hAnsi="Calibri" w:eastAsia="Microsoft YaHei"/>
              <w:b w:val="0"/>
              <w:i w:val="0"/>
              <w:color w:val="0B2545"/>
              <w:sz w:val="15"/>
            </w:rPr>
            <w:fldChar w:fldCharType="begin"/>
            <w:instrText xml:space="preserve"> PAGE </w:instrText>
            <w:fldChar w:fldCharType="end"/>
          </w:r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single" w:sz="6" w:space="0" w:color="B08D3F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6236"/>
      <w:gridCol w:w="3855"/>
    </w:tblGrid>
    <w:tr>
      <w:tc>
        <w:tcPr>
          <w:tcW w:type="dxa" w:w="6236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</w:pPr>
          <w:r/>
          <w:r>
            <w:rPr>
              <w:rFonts w:ascii="Calibri" w:hAnsi="Calibri" w:eastAsia="Microsoft YaHei"/>
              <w:b/>
              <w:i w:val="0"/>
              <w:color w:val="0B2545"/>
              <w:sz w:val="15"/>
            </w:rPr>
            <w:t>CLG 集团  |  墨西哥商业计划书</w:t>
          </w:r>
        </w:p>
      </w:tc>
      <w:tc>
        <w:tcPr>
          <w:tcW w:type="dxa" w:w="3855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>编制人：总经理 John Kim  ·  2026年9月  ·  严格保密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CLG 集团 · 墨西哥商业计划书</dc:title>
  <dc:subject>极致轻资产 · 寄售零库存 · 自有品牌长期化</dc:subject>
  <dc:creator>John Kim</dc:creator>
  <cp:keywords/>
  <dc:description>编制人：总经理 John Kim</dc:description>
  <cp:lastModifiedBy>John Kim</cp:lastModifiedBy>
  <cp:revision>1</cp:revision>
  <dcterms:created xsi:type="dcterms:W3CDTF">2013-12-23T23:15:00Z</dcterms:created>
  <dcterms:modified xsi:type="dcterms:W3CDTF">2013-12-23T23:15:00Z</dcterms:modified>
  <cp:category/>
</cp:coreProperties>
</file>