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color="auto" w:fill="0B2545"/>
            <w:tcMar>
              <w:top w:w="140" w:type="dxa"/>
              <w:left w:w="220" w:type="dxa"/>
              <w:bottom w:w="120" w:type="dxa"/>
              <w:right w:w="180" w:type="dxa"/>
            </w:tcMar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i w:val="0"/>
                <w:color w:val="B08D3F"/>
                <w:sz w:val="16"/>
              </w:rPr>
              <w:t>CLG GROUP  ·  MEXICO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42"/>
              </w:rPr>
              <w:t>墨西哥市场商业计划书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i w:val="0"/>
                <w:color w:val="CFD7E3"/>
                <w:sz w:val="21"/>
              </w:rPr>
              <w:t>轻资产双城起步 · 寄售零库存模式 · 自有品牌长期化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B08D3F"/>
                <w:sz w:val="16"/>
              </w:rPr>
              <w:t>墨西哥城 CDMX  ×  蒙特雷 MONTERREY    |    融资需求 140 万美元    |    2026年9月</w:t>
            </w:r>
          </w:p>
        </w:tc>
      </w:tr>
    </w:tbl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9"/>
        </w:rPr>
        <w:t>投 资 要 点   INVESTMENT HIGHLIGHTS</w:t>
      </w:r>
    </w:p>
    <w:p>
      <w:pPr>
        <w:pBdr>
          <w:bottom w:val="single" w:sz="10" w:space="2" w:color="B08D3F"/>
        </w:pBdr>
        <w:spacing w:before="20" w:after="8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8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8"/>
        </w:rPr>
        <w:t>01  零库存资本占用：2 亿比索货源以寄售方式无偿供货</w:t>
      </w:r>
      <w:r>
        <w:rPr>
          <w:rFonts w:ascii="Calibri" w:hAnsi="Calibri" w:eastAsia="Microsoft YaHei"/>
          <w:b w:val="0"/>
          <w:i w:val="0"/>
          <w:color w:val="1A1A1A"/>
          <w:sz w:val="18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8"/>
        </w:rPr>
      </w:r>
    </w:p>
    <w:p>
      <w:pPr>
        <w:spacing w:before="0" w:after="90" w:lineRule="auto" w:line="274"/>
        <w:ind w:left="181"/>
        <w:jc w:val="both"/>
      </w:pPr>
      <w:r>
        <w:rPr>
          <w:rFonts w:ascii="Calibri" w:hAnsi="Calibri" w:eastAsia="Microsoft YaHei"/>
          <w:b w:val="0"/>
          <w:i w:val="0"/>
          <w:color w:val="33404F"/>
          <w:sz w:val="16"/>
        </w:rPr>
        <w:t>合作方将其位于墨西哥城仓库的约 2 亿比索（1,080 万美元）低价实物库存，以寄售（consignación）方式无偿交由 CLG 销售，售出后按约定结算价付款。CLG 无需垫付一分钱采购款，不承担库存资金占用、滞销跌价、仓储损耗与进口汇率风险——这些全部由合作方承担。对投资人而言，这意味着本项目的资产负债表上没有最容易出问题的那一项。同时，因货源取得成本极低，CLG 可将售价定在市场价以下 15–20%，仍实现约 50% 毛利率，本地同业按正常 FOB 加运费、关税与 16% 增值税采购，毛利率天花板仅 20–25%。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8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8"/>
        </w:rPr>
        <w:t>02  融资需求仅 140 万美元，第 4 个月起完全由经营收入自我滚动</w:t>
      </w:r>
      <w:r>
        <w:rPr>
          <w:rFonts w:ascii="Calibri" w:hAnsi="Calibri" w:eastAsia="Microsoft YaHei"/>
          <w:b w:val="0"/>
          <w:i w:val="0"/>
          <w:color w:val="1A1A1A"/>
          <w:sz w:val="18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8"/>
        </w:rPr>
      </w:r>
    </w:p>
    <w:p>
      <w:pPr>
        <w:spacing w:before="0" w:after="90" w:lineRule="auto" w:line="274"/>
        <w:ind w:left="181"/>
        <w:jc w:val="both"/>
      </w:pPr>
      <w:r>
        <w:rPr>
          <w:rFonts w:ascii="Calibri" w:hAnsi="Calibri" w:eastAsia="Microsoft YaHei"/>
          <w:b w:val="0"/>
          <w:i w:val="0"/>
          <w:color w:val="33404F"/>
          <w:sz w:val="16"/>
        </w:rPr>
        <w:t>由于无需备货资金，初始投资仅由三项构成：人力成本、双城租金与运营费用（另加蒙特雷场地一次性装修与信息化投入）。启动资金 2,590 万比索（140 万美元）覆盖前 3 个月全部支出与场地建设；自第 4 个月起，自有品牌量产、平台迭代、SKU 扩展与第三城筹备等全部扩张性支出均由经营现金流滚动再投资，不再需要追加股权融资。首年 EBITDA 即接近盈亏平衡（+65 万比索），第三季度单季转正。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8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8"/>
        </w:rPr>
        <w:t>03  本测算为保守口径：全部年度收入按原始业务测算的 30% 计列</w:t>
      </w:r>
      <w:r>
        <w:rPr>
          <w:rFonts w:ascii="Calibri" w:hAnsi="Calibri" w:eastAsia="Microsoft YaHei"/>
          <w:b w:val="0"/>
          <w:i w:val="0"/>
          <w:color w:val="1A1A1A"/>
          <w:sz w:val="18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8"/>
        </w:rPr>
      </w:r>
    </w:p>
    <w:p>
      <w:pPr>
        <w:spacing w:before="0" w:after="90" w:lineRule="auto" w:line="274"/>
        <w:ind w:left="181"/>
        <w:jc w:val="both"/>
      </w:pPr>
      <w:r>
        <w:rPr>
          <w:rFonts w:ascii="Calibri" w:hAnsi="Calibri" w:eastAsia="Microsoft YaHei"/>
          <w:b w:val="0"/>
          <w:i w:val="0"/>
          <w:color w:val="33404F"/>
          <w:sz w:val="16"/>
        </w:rPr>
        <w:t>本版计划书的各年度收入均按内部业务测算值的 30% 保守计列（首年 4,950 万比索、第三年 2.55 亿比索），人员编制压缩至 29 人，两座城市由总经理一人统管、不设独立分公司经理层。即便在此极度保守的假设下，第三年 EBITDA 仍达 3,955 万比索（214 万美元），为融资总额的 1.4 倍；三年累计 EBITDA 为融资额的 1.8 倍。实际执行超出保守口径的部分，构成投资人的纯上行空间。</w:t>
      </w:r>
    </w:p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4" w:space="0" w:color="C9D1DA"/>
          <w:left w:val="single" w:sz="4" w:space="0" w:color="C9D1DA"/>
          <w:bottom w:val="single" w:sz="4" w:space="0" w:color="C9D1DA"/>
          <w:right w:val="single" w:sz="4" w:space="0" w:color="C9D1DA"/>
          <w:insideH w:val="nil"/>
          <w:insideV w:val="single" w:sz="4" w:space="0" w:color="C9D1DA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0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库存资金占用（寄售）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140万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融资需求（美元）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29人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双城人员编制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第4个月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起由经营收入自给</w:t>
            </w:r>
          </w:p>
        </w:tc>
        <w:tc>
          <w:tcPr>
            <w:tcW w:type="dxa" w:w="2018"/>
            <w:shd w:val="clear" w:color="auto" w:fill="F2F4F7"/>
            <w:tcMar>
              <w:top w:w="10" w:type="dxa"/>
              <w:left w:w="30" w:type="dxa"/>
              <w:bottom w:w="10" w:type="dxa"/>
              <w:right w:w="30" w:type="dxa"/>
            </w:tcMar>
          </w:tcPr>
          <w:p>
            <w:pPr>
              <w:spacing w:before="60" w:after="0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6"/>
              </w:rPr>
              <w:t>3,955万</w:t>
            </w:r>
          </w:p>
          <w:p>
            <w:pPr>
              <w:spacing w:before="0" w:after="6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第三年 EBITDA（比索）</w:t>
            </w:r>
          </w:p>
        </w:tc>
      </w:tr>
    </w:tbl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9"/>
        </w:rPr>
        <w:t>核 心 财 务 速 览（保守口径）   FINANCIAL SUMMARY</w:t>
      </w:r>
    </w:p>
    <w:p>
      <w:pPr>
        <w:pBdr>
          <w:bottom w:val="single" w:sz="10" w:space="2" w:color="B08D3F"/>
        </w:pBdr>
        <w:spacing w:before="20" w:after="8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317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财务指标（单位：百万比索）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  <w:tc>
          <w:tcPr>
            <w:tcW w:type="dxa" w:w="172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三年累计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营业收入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49.5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126.0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255.0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430.5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收入增长率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+154.5%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+102.4%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CAGR 127%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毛利润 / 毛利率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24.8 / 50.0%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60.5 / 48.0%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119.9 / 47.0%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205.2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营业费用 / 占收入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24.1 / 48.7%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50.5 / 40.1%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80.3 / 31.5%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154.9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EBITDA / EBITDA 率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0.65 / 1.3%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10.0 / 7.9%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39.6 / 15.5%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50.3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净利润 / 净利率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(1.1) / —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5.4 / 4.3%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24.8 / 9.7%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29.1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自有品牌收入占比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9%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32%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毛利贡献 39%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自建城市 / 代理商数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 / 30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4 / 90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7 / 220</w:t>
            </w:r>
          </w:p>
        </w:tc>
        <w:tc>
          <w:tcPr>
            <w:tcW w:type="dxa" w:w="172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代理商覆盖全国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人员编制 / 人均产出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29 / 171万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52 / 242万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95 / 268万</w:t>
            </w:r>
          </w:p>
        </w:tc>
        <w:tc>
          <w:tcPr>
            <w:tcW w:type="dxa" w:w="172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6"/>
              </w:rPr>
              <w:t>精简高效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0" w:lineRule="auto" w:line="283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注：汇率按 1 美元 = 18.50 比索测算，全部收入按内部测算值的 30% 保守计列。首年小幅净亏损 110 万比索（约 6 万美元）源于蒙特雷场地建设与团队先行投入；第三季度单季 EBITDA 转正，第四季度 EBITDA 率达 14.2%；首年亏损按墨西哥税法可结转抵扣第二年应税所得（已计入第二年税负）。</w:t>
      </w:r>
    </w:p>
    <w:p>
      <w:pPr>
        <w:spacing w:before="0" w:after="0" w:line="10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9"/>
        </w:rPr>
        <w:t>本 版 保 守 方 案 与 原 始 测 算 的 关 键 差 异   KEY REVISIONS</w:t>
      </w:r>
    </w:p>
    <w:p>
      <w:pPr>
        <w:pBdr>
          <w:bottom w:val="single" w:sz="10" w:space="2" w:color="B08D3F"/>
        </w:pBdr>
        <w:spacing w:before="20" w:after="80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644"/>
        <w:gridCol w:w="2324"/>
        <w:gridCol w:w="2948"/>
        <w:gridCol w:w="3175"/>
      </w:tblGrid>
      <w:tr>
        <w:trPr>
          <w:tblHeader w:val="true"/>
        </w:trPr>
        <w:tc>
          <w:tcPr>
            <w:tcW w:type="dxa" w:w="164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232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原始测算方案</w:t>
            </w:r>
          </w:p>
        </w:tc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本版保守方案</w:t>
            </w:r>
          </w:p>
        </w:tc>
        <w:tc>
          <w:tcPr>
            <w:tcW w:type="dxa" w:w="317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对投资人的意义</w:t>
            </w:r>
          </w:p>
        </w:tc>
      </w:tr>
      <w:tr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年度收入口径</w:t>
            </w:r>
          </w:p>
        </w:tc>
        <w:tc>
          <w:tcPr>
            <w:tcW w:type="dxa" w:w="232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内部业务测算值 100%</w:t>
            </w:r>
          </w:p>
        </w:tc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全部年度按 30% 计列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预测可达成性大幅提高，超额部分为纯上行</w:t>
            </w:r>
          </w:p>
        </w:tc>
      </w:tr>
      <w:tr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货源与库存</w:t>
            </w:r>
          </w:p>
        </w:tc>
        <w:tc>
          <w:tcPr>
            <w:tcW w:type="dxa" w:w="232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自购 2 亿比索库存，占用资本</w:t>
            </w:r>
          </w:p>
        </w:tc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合作方寄售无偿供货、售出后结算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库存资金占用、滞销与跌价风险归零</w:t>
            </w:r>
          </w:p>
        </w:tc>
      </w:tr>
      <w:tr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人员编制与管理架构</w:t>
            </w:r>
          </w:p>
        </w:tc>
        <w:tc>
          <w:tcPr>
            <w:tcW w:type="dxa" w:w="232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62 人；墨城总部 + 蒙特雷分公司经理</w:t>
            </w:r>
          </w:p>
        </w:tc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29 人；总经理一人统管两城，不设分公司经理层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年化人工节省约 1,410 万比索，决策零时延</w:t>
            </w:r>
          </w:p>
        </w:tc>
      </w:tr>
      <w:tr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融资需求</w:t>
            </w:r>
          </w:p>
        </w:tc>
        <w:tc>
          <w:tcPr>
            <w:tcW w:type="dxa" w:w="232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400 万美元</w:t>
            </w:r>
          </w:p>
        </w:tc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140 万美元（仅人力、双城租金与运营费）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融资规模下降 65%，稀释度同步下降</w:t>
            </w:r>
          </w:p>
        </w:tc>
      </w:tr>
      <w:tr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后续扩张资金</w:t>
            </w:r>
          </w:p>
        </w:tc>
        <w:tc>
          <w:tcPr>
            <w:tcW w:type="dxa" w:w="232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需追加股权融资</w:t>
            </w:r>
          </w:p>
        </w:tc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4 个月起由经营收入滚动再投资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无需追加融资，现金流自我闭环</w:t>
            </w:r>
          </w:p>
        </w:tc>
      </w:tr>
      <w:tr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物流路径</w:t>
            </w:r>
          </w:p>
        </w:tc>
        <w:tc>
          <w:tcPr>
            <w:tcW w:type="dxa" w:w="232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亚洲直航至太平洋港口</w:t>
            </w:r>
          </w:p>
        </w:tc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中国→美国→墨西哥，自有物流经陆路入墨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查验扣押与货损失窃风险大幅下降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市场机会与双城战略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MARKET OPPORTUNITY &amp; TWO-CITY STRATEGY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80" w:lineRule="auto" w:line="276"/>
        <w:jc w:val="both"/>
      </w:pPr>
      <w:r>
        <w:rPr>
          <w:rFonts w:ascii="Calibri" w:hAnsi="Calibri" w:eastAsia="Microsoft YaHei"/>
          <w:b w:val="0"/>
          <w:i w:val="0"/>
          <w:color w:val="1A1A1A"/>
          <w:sz w:val="16"/>
        </w:rPr>
        <w:t>墨西哥批发贸易业 2023 年营业收入达 9.71 万亿比索（INEGI 年度商业调查），同比增长 4.8%。CLG 聚焦的六大品类全国批发规模约 5,200 亿比索（281 亿美元）。按本版保守口径，CLG 第三年收入 2.55 亿比索，仅相当于自身可服务细分市场的 0.27%——这是一个份额中的份额的故事，而非创造市场的故事。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17"/>
        <w:gridCol w:w="4309"/>
        <w:gridCol w:w="1531"/>
        <w:gridCol w:w="1417"/>
        <w:gridCol w:w="1417"/>
      </w:tblGrid>
      <w:tr>
        <w:trPr>
          <w:tblHeader w:val="true"/>
        </w:trPr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市场层级</w:t>
            </w:r>
          </w:p>
        </w:tc>
        <w:tc>
          <w:tcPr>
            <w:tcW w:type="dxa" w:w="430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口径定义</w:t>
            </w:r>
          </w:p>
        </w:tc>
        <w:tc>
          <w:tcPr>
            <w:tcW w:type="dxa" w:w="153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规模（比索）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规模（美元）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CLG 份额</w:t>
            </w:r>
          </w:p>
        </w:tc>
      </w:tr>
      <w:tr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TAM 总体市场</w:t>
            </w:r>
          </w:p>
        </w:tc>
        <w:tc>
          <w:tcPr>
            <w:tcW w:type="dxa" w:w="430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全国六大品类批发总值（估算，基于 INEGI 分行业收入与进口统计三角测算）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5,200 亿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281 亿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SAM 可服务市场</w:t>
            </w:r>
          </w:p>
        </w:tc>
        <w:tc>
          <w:tcPr>
            <w:tcW w:type="dxa" w:w="430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双城都会区（墨城 2,200万人 + 蒙特雷 550万人）占全国批发吞吐约 32%，其中亚洲进口高性价比细分约 35%</w:t>
            </w:r>
          </w:p>
        </w:tc>
        <w:tc>
          <w:tcPr>
            <w:tcW w:type="dxa" w:w="153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583 亿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31.5 亿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SOM 可获得份额</w:t>
            </w:r>
          </w:p>
        </w:tc>
        <w:tc>
          <w:tcPr>
            <w:tcW w:type="dxa" w:w="430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第一年 0.495 亿 / 第二年 1.26 亿 / 第三年 2.55 亿比索（保守口径）</w:t>
            </w:r>
          </w:p>
        </w:tc>
        <w:tc>
          <w:tcPr>
            <w:tcW w:type="dxa" w:w="153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2.55 亿（Y3）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0.14 亿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Y1 0.08% → Y3 0.27%</w:t>
            </w:r>
          </w:p>
        </w:tc>
      </w:tr>
    </w:tbl>
    <w:p>
      <w:pPr>
        <w:spacing w:before="0" w:after="0" w:line="10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墨西哥城 CDMX —— 量 ( 现金引擎 )</w:t>
            </w:r>
          </w:p>
          <w:p>
            <w:pPr>
              <w:spacing w:before="0" w:after="24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伊斯塔帕拉帕 Central de Abastos：美洲最大批发市场，占地约 328 公顷、日均人流 9 万人次，为全国价格定价节点。</w:t>
            </w:r>
          </w:p>
          <w:p>
            <w:pPr>
              <w:spacing w:before="0" w:after="24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Tepito / La Merced / Eje Central 商圈数千家进口再批发商，正是 CLG 六大品类的直接客户而非竞争者——他们按柜采购、全国分拨。</w:t>
            </w:r>
          </w:p>
          <w:p>
            <w:pPr>
              <w:spacing w:before="0" w:after="24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寄售货源就在合作方的墨西哥城仓库，CLG 只需租用展厅与集团总部办公空间（800㎡），无需自建大仓，租金负担与建设周期同步下降。</w:t>
            </w:r>
          </w:p>
          <w:p>
            <w:pPr>
              <w:spacing w:before="0" w:after="50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客户特征：大批量、价格敏感、现金结算——回款快、应收风险低。</w:t>
            </w:r>
          </w:p>
        </w:tc>
        <w:tc>
          <w:tcPr>
            <w:tcW w:type="dxa" w:w="5046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蒙特雷 MONTERREY —— 利 ( 品质引擎 )</w:t>
            </w:r>
          </w:p>
          <w:p>
            <w:pPr>
              <w:spacing w:before="0" w:after="24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新莱昂州 14,000 余家工业企业（Apodaca、Santa Catarina、Escobedo、Guadalupe 走廊），劳保与工装属刚性、可续约的重复性采购。</w:t>
            </w:r>
          </w:p>
          <w:p>
            <w:pPr>
              <w:spacing w:before="0" w:after="24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人均 GDP 为全国均值约 1.6 倍，同一 SKU 毛利率较墨城高 3–6 个百分点。</w:t>
            </w:r>
          </w:p>
          <w:p>
            <w:pPr>
              <w:spacing w:before="0" w:after="24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正规企业客户强制要求 CFDI 4.0 电子发票与账期——这是非正规同业无法提供的结构性壁垒。</w:t>
            </w:r>
          </w:p>
          <w:p>
            <w:pPr>
              <w:spacing w:before="0" w:after="50" w:line="269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>· 距新拉雷多陆港 2 小时，正是集团「中国→美国→墨西哥」自有物流通道的落地终点，展厅与仓库即该通道的墨西哥北部枢纽。</w:t>
            </w:r>
          </w:p>
        </w:tc>
      </w:tr>
    </w:tbl>
    <w:p>
      <w:pPr>
        <w:spacing w:before="0" w:after="0" w:line="1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业务板块一：B2B / B2C 批发分销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WHOLESALE DISTRIBUTION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1077"/>
        <w:gridCol w:w="1644"/>
        <w:gridCol w:w="964"/>
        <w:gridCol w:w="1474"/>
        <w:gridCol w:w="2494"/>
      </w:tblGrid>
      <w:tr>
        <w:trPr>
          <w:tblHeader w:val="true"/>
        </w:trPr>
        <w:tc>
          <w:tcPr>
            <w:tcW w:type="dxa" w:w="243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品类（六大初始业务领域）</w:t>
            </w:r>
          </w:p>
        </w:tc>
        <w:tc>
          <w:tcPr>
            <w:tcW w:type="dxa" w:w="107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收入占比</w:t>
            </w:r>
          </w:p>
        </w:tc>
        <w:tc>
          <w:tcPr>
            <w:tcW w:type="dxa" w:w="164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首年收入（百万比索）</w:t>
            </w:r>
          </w:p>
        </w:tc>
        <w:tc>
          <w:tcPr>
            <w:tcW w:type="dxa" w:w="96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毛利率</w:t>
            </w:r>
          </w:p>
        </w:tc>
        <w:tc>
          <w:tcPr>
            <w:tcW w:type="dxa" w:w="147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毛利（百万比索）</w:t>
            </w:r>
          </w:p>
        </w:tc>
        <w:tc>
          <w:tcPr>
            <w:tcW w:type="dxa" w:w="24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核心利润驱动</w:t>
            </w:r>
          </w:p>
        </w:tc>
      </w:tr>
      <w:tr>
        <w:tc>
          <w:tcPr>
            <w:tcW w:type="dxa" w:w="243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劳保用品 PPE / 工装</w:t>
            </w:r>
          </w:p>
        </w:tc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32%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12.7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50%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6.3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蒙特雷工业合同，耗材属性、重复采购</w:t>
            </w:r>
          </w:p>
        </w:tc>
      </w:tr>
      <w:tr>
        <w:tc>
          <w:tcPr>
            <w:tcW w:type="dxa" w:w="243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生活用品 Household</w:t>
            </w:r>
          </w:p>
        </w:tc>
        <w:tc>
          <w:tcPr>
            <w:tcW w:type="dxa" w:w="107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24%</w:t>
            </w:r>
          </w:p>
        </w:tc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9.5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55%</w:t>
            </w:r>
          </w:p>
        </w:tc>
        <w:tc>
          <w:tcPr>
            <w:tcW w:type="dxa" w:w="147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5.2</w:t>
            </w:r>
          </w:p>
        </w:tc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寄售折扣最深、周转最快</w:t>
            </w:r>
          </w:p>
        </w:tc>
      </w:tr>
      <w:tr>
        <w:tc>
          <w:tcPr>
            <w:tcW w:type="dxa" w:w="243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厨房用品 Kitchenware</w:t>
            </w:r>
          </w:p>
        </w:tc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14%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5.5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54%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3.0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酒店餐饮 HORECA + 零售双通道</w:t>
            </w:r>
          </w:p>
        </w:tc>
      </w:tr>
      <w:tr>
        <w:tc>
          <w:tcPr>
            <w:tcW w:type="dxa" w:w="243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服装 Apparel</w:t>
            </w:r>
          </w:p>
        </w:tc>
        <w:tc>
          <w:tcPr>
            <w:tcW w:type="dxa" w:w="107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13%</w:t>
            </w:r>
          </w:p>
        </w:tc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5.1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52%</w:t>
            </w:r>
          </w:p>
        </w:tc>
        <w:tc>
          <w:tcPr>
            <w:tcW w:type="dxa" w:w="147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2.7</w:t>
            </w:r>
          </w:p>
        </w:tc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基础款与工装，无时尚库存风险</w:t>
            </w:r>
          </w:p>
        </w:tc>
      </w:tr>
      <w:tr>
        <w:tc>
          <w:tcPr>
            <w:tcW w:type="dxa" w:w="243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文具 Stationery</w:t>
            </w:r>
          </w:p>
        </w:tc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10%</w:t>
            </w:r>
          </w:p>
        </w:tc>
        <w:tc>
          <w:tcPr>
            <w:tcW w:type="dxa" w:w="164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4.0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48%</w:t>
            </w:r>
          </w:p>
        </w:tc>
        <w:tc>
          <w:tcPr>
            <w:tcW w:type="dxa" w:w="147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1.9</w:t>
            </w:r>
          </w:p>
        </w:tc>
        <w:tc>
          <w:tcPr>
            <w:tcW w:type="dxa" w:w="24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开学季 7–8 月占全年 45% 销量</w:t>
            </w:r>
          </w:p>
        </w:tc>
      </w:tr>
      <w:tr>
        <w:tc>
          <w:tcPr>
            <w:tcW w:type="dxa" w:w="243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礼品 Gifts</w:t>
            </w:r>
          </w:p>
        </w:tc>
        <w:tc>
          <w:tcPr>
            <w:tcW w:type="dxa" w:w="107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7%</w:t>
            </w:r>
          </w:p>
        </w:tc>
        <w:tc>
          <w:tcPr>
            <w:tcW w:type="dxa" w:w="164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2.8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58%</w:t>
            </w:r>
          </w:p>
        </w:tc>
        <w:tc>
          <w:tcPr>
            <w:tcW w:type="dxa" w:w="147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1.6</w:t>
            </w:r>
          </w:p>
        </w:tc>
        <w:tc>
          <w:tcPr>
            <w:tcW w:type="dxa" w:w="24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企业定制礼品，加工溢价</w:t>
            </w:r>
          </w:p>
        </w:tc>
      </w:tr>
      <w:tr>
        <w:tc>
          <w:tcPr>
            <w:tcW w:type="dxa" w:w="2438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B2B 合计</w:t>
            </w:r>
          </w:p>
        </w:tc>
        <w:tc>
          <w:tcPr>
            <w:tcW w:type="dxa" w:w="107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100%</w:t>
            </w:r>
          </w:p>
        </w:tc>
        <w:tc>
          <w:tcPr>
            <w:tcW w:type="dxa" w:w="164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39.6</w:t>
            </w:r>
          </w:p>
        </w:tc>
        <w:tc>
          <w:tcPr>
            <w:tcW w:type="dxa" w:w="96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52.0%</w:t>
            </w:r>
          </w:p>
        </w:tc>
        <w:tc>
          <w:tcPr>
            <w:tcW w:type="dxa" w:w="147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20.6</w:t>
            </w:r>
          </w:p>
        </w:tc>
        <w:tc>
          <w:tcPr>
            <w:tcW w:type="dxa" w:w="249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另有 B2C／电商 5.4 百万比索，毛利率 45%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120" w:lineRule="auto" w:line="276"/>
        <w:jc w:val="both"/>
      </w:pPr>
      <w:r>
        <w:rPr>
          <w:rFonts w:ascii="Calibri" w:hAnsi="Calibri" w:eastAsia="Microsoft YaHei"/>
          <w:b w:val="0"/>
          <w:i w:val="0"/>
          <w:color w:val="5A6472"/>
          <w:sz w:val="15"/>
        </w:rPr>
        <w:t>渠道次序（重要）：第 1 个月即开设 Mercado Libre 与 Amazon MX 官方旗舰店——先借平台流量实现零营销费的即时销售，并对数千个 SKU 进行真实价格与需求测试，其数据价值高于销售额本身，直接指导自有品牌选品；自建 D2C 平台随后承接被验证的客户。首年 B2C 收入中约 70% 来自第三方平台。支付端须在上线前完成 SPEI、OXXO Pay、Mercado Pago、免息分期（MSI）与 BNPL 接入。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业务板块二：自有品牌开发、生产与销售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OWN-BRAND DEVELOPMENT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1134"/>
        <w:gridCol w:w="1134"/>
        <w:gridCol w:w="1247"/>
        <w:gridCol w:w="3175"/>
      </w:tblGrid>
      <w:tr>
        <w:trPr>
          <w:tblHeader w:val="true"/>
        </w:trPr>
        <w:tc>
          <w:tcPr>
            <w:tcW w:type="dxa" w:w="226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自有品牌指标</w:t>
            </w:r>
          </w:p>
        </w:tc>
        <w:tc>
          <w:tcPr>
            <w:tcW w:type="dxa" w:w="113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113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113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  <w:tc>
          <w:tcPr>
            <w:tcW w:type="dxa" w:w="124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第五年目标</w:t>
            </w:r>
          </w:p>
        </w:tc>
        <w:tc>
          <w:tcPr>
            <w:tcW w:type="dxa" w:w="317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战略含义</w:t>
            </w:r>
          </w:p>
        </w:tc>
      </w:tr>
      <w:tr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自有品牌收入（百万比索）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4.5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25.2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81.6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390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四年 CAGR 约 205%</w:t>
            </w:r>
          </w:p>
        </w:tc>
      </w:tr>
      <w:tr>
        <w:tc>
          <w:tcPr>
            <w:tcW w:type="dxa" w:w="226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占集团总收入比重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20%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32%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50%+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估值倍数的首要驱动因子</w:t>
            </w:r>
          </w:p>
        </w:tc>
      </w:tr>
      <w:tr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自有品牌毛利率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38%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52%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58%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62%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模具与认证摊销完毕后爬升</w:t>
            </w:r>
          </w:p>
        </w:tc>
      </w:tr>
      <w:tr>
        <w:tc>
          <w:tcPr>
            <w:tcW w:type="dxa" w:w="226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占集团毛利总额比重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7%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22%</w:t>
            </w:r>
          </w:p>
        </w:tc>
        <w:tc>
          <w:tcPr>
            <w:tcW w:type="dxa" w:w="113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39%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58%</w:t>
            </w:r>
          </w:p>
        </w:tc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利润结构由贸易转向品牌</w:t>
            </w:r>
          </w:p>
        </w:tc>
      </w:tr>
      <w:tr>
        <w:tc>
          <w:tcPr>
            <w:tcW w:type="dxa" w:w="226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贸易业务毛利率（递减）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52%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47%</w:t>
            </w:r>
          </w:p>
        </w:tc>
        <w:tc>
          <w:tcPr>
            <w:tcW w:type="dxa" w:w="113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42%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38%</w:t>
            </w:r>
          </w:p>
        </w:tc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寄售货源耗尽后回归常态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0" w:lineRule="auto" w:line="276"/>
        <w:jc w:val="both"/>
      </w:pPr>
      <w:r>
        <w:rPr>
          <w:rFonts w:ascii="Calibri" w:hAnsi="Calibri" w:eastAsia="Microsoft YaHei"/>
          <w:b w:val="0"/>
          <w:i w:val="0"/>
          <w:color w:val="5A6472"/>
          <w:sz w:val="15"/>
        </w:rPr>
        <w:t>投资逻辑一句话：「前两年，寄售货源以零资金占用供养建设；第三至五年，自有品牌供养估值。」纯分销商的国际可比估值为 0.3–0.6 倍 EV/Revenue，而拥有自有渠道的品牌消费品公司为 1.5–3.0 倍。CLG 用自身经营现金流、而非投资人资金完成这一转型。自有品牌首批开发资金仅需 120 万比索（设计＋打样＋商标），量产资金自第 4 个月起由经营收入承担；依托集团中国制造资源与墨西哥 NOM 认证能力，为本地大型零售商提供自有品牌 OEM 代工可作为第二增长曲线（第三年潜在 1,200–1,800 万比索），本计划将其列为上行空间而非基准预测。</w:t>
      </w:r>
    </w:p>
    <w:p>
      <w:pPr>
        <w:spacing w:before="0" w:after="0"/>
      </w:pPr>
      <w:r>
        <w:br w:type="page"/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执行路线图：90 天攻坚与首年里程碑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EXECUTION ROADMAP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80" w:lineRule="auto" w:line="276"/>
        <w:jc w:val="both"/>
      </w:pPr>
      <w:r>
        <w:rPr>
          <w:rFonts w:ascii="Calibri" w:hAnsi="Calibri" w:eastAsia="Microsoft YaHei"/>
          <w:b w:val="0"/>
          <w:i w:val="0"/>
          <w:color w:val="1A1A1A"/>
          <w:sz w:val="16"/>
        </w:rPr>
        <w:t>三大平台不是并行硬上，而是「以统一 ERP 为底座、90 天内分步交付」。先完成合作方寄售 SKU 的主数据对接与条码化，再上 ERP／WMS，平台建于其 API 之上——若平台先于库存中台上线，将在第二周即出现超卖并摧毁客户信任。寄售模式下，CLG 的系统必须与合作方仓库实时对账，这是本项目的技术核心，由总经理直接负责。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1304"/>
        <w:gridCol w:w="4649"/>
        <w:gridCol w:w="1247"/>
        <w:gridCol w:w="1814"/>
      </w:tblGrid>
      <w:tr>
        <w:trPr>
          <w:tblHeader w:val="true"/>
        </w:trPr>
        <w:tc>
          <w:tcPr>
            <w:tcW w:type="dxa" w:w="107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type="dxa" w:w="464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关键交付（并行推进）</w:t>
            </w:r>
          </w:p>
        </w:tc>
        <w:tc>
          <w:tcPr>
            <w:tcW w:type="dxa" w:w="124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责任人</w:t>
            </w:r>
          </w:p>
        </w:tc>
        <w:tc>
          <w:tcPr>
            <w:tcW w:type="dxa" w:w="181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第一阶段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攻坚期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1–8 周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2026.10–11</w:t>
            </w:r>
          </w:p>
        </w:tc>
        <w:tc>
          <w:tcPr>
            <w:tcW w:type="dxa" w:w="46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① 寄售合作协议签署（墨西哥独家、最低供货承诺、结算价与账期锁定）　② 实体／RFC／e.firma／CFDI 4.0 开票通道；进口商名录与 IMMEX 申报　③ 寄售 SKU 主数据对接＋条码化＋NOM-050 合规审计　④ ERP＋WMS 上线　⑤ 集团官网上线　⑥ 蒙特雷 1,653㎡ 展厅与 3,306㎡ 仓库签约装修　⑦ 自有品牌 Logo／VI／产品设计与中国打样　⑧ IMPI 商标注册递交　⑨ Mercado Libre／Amazon MX 开店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总经理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（IT 全责）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ERP 上线、蒙特雷交付、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寄售协议生效、官网上线</w:t>
            </w:r>
          </w:p>
        </w:tc>
      </w:tr>
      <w:tr>
        <w:tc>
          <w:tcPr>
            <w:tcW w:type="dxa" w:w="107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第二阶段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上线期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9–14 周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2026.12–2027.01</w:t>
            </w:r>
          </w:p>
        </w:tc>
        <w:tc>
          <w:tcPr>
            <w:tcW w:type="dxa" w:w="464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① B2B/B2C 批发平台 V1.0 上线（客户分级、阶梯价、授信、下单—对账—开票闭环）　② 自有品牌 D2C 独立站上线　③ 公司介绍手册、产品图册＋分级价目表、代理商合同范本定稿　④ 经美国通道的首批蒙特雷铺货　⑤ 支付通道 SPEI/OXXO/Mercado Pago/MSI 接入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总经理 ·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销售总监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平台交易跑通、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手册与合同交付</w:t>
            </w:r>
          </w:p>
        </w:tc>
      </w:tr>
      <w:tr>
        <w:tc>
          <w:tcPr>
            <w:tcW w:type="dxa" w:w="107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第三阶段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放量期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15–52 周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2027.02–09</w:t>
            </w:r>
          </w:p>
        </w:tc>
        <w:tc>
          <w:tcPr>
            <w:tcW w:type="dxa" w:w="46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① 双城 180 家活跃 B2B 客户、30 家签约代理商　② 自有品牌首批量产（资金由经营收入承担）并上市　③ 大型渠道准入谈判　④ 第 4 个月起经营现金流自给，扩张支出全部内生　⑤ IFRS／US GAAP 账套与审计对接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总经理 ·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销售总监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收入 4,950 万比索、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EBITDA 转正、审计出具</w:t>
            </w:r>
          </w:p>
        </w:tc>
      </w:tr>
    </w:tbl>
    <w:p>
      <w:pPr>
        <w:spacing w:before="0" w:after="0" w:line="12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组织架构与人力配置（精简至 29 人）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ORGANIZATION &amp; HEADCOUNT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1871"/>
        <w:gridCol w:w="1871"/>
        <w:gridCol w:w="1247"/>
        <w:gridCol w:w="2154"/>
      </w:tblGrid>
      <w:tr>
        <w:trPr>
          <w:tblHeader w:val="true"/>
        </w:trPr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职能</w:t>
            </w:r>
          </w:p>
        </w:tc>
        <w:tc>
          <w:tcPr>
            <w:tcW w:type="dxa" w:w="187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墨西哥城（总部）</w:t>
            </w:r>
          </w:p>
        </w:tc>
        <w:tc>
          <w:tcPr>
            <w:tcW w:type="dxa" w:w="187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蒙特雷</w:t>
            </w:r>
          </w:p>
        </w:tc>
        <w:tc>
          <w:tcPr>
            <w:tcW w:type="dxa" w:w="124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合计</w:t>
            </w:r>
          </w:p>
        </w:tc>
        <w:tc>
          <w:tcPr>
            <w:tcW w:type="dxa" w:w="215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月度全负荷成本（比索）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高管与行政（总经理一人统管两城）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272,700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销售与展厅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12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392,850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仓储与物流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8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157,950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电商与 IT 开发（总经理直属）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182,250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设计与品牌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47,250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财务、采购与行政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124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</w:t>
            </w:r>
          </w:p>
        </w:tc>
        <w:tc>
          <w:tcPr>
            <w:tcW w:type="dxa" w:w="215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91,800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客服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type="dxa" w:w="12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215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20,250</w:t>
            </w:r>
          </w:p>
        </w:tc>
      </w:tr>
      <w:tr>
        <w:tc>
          <w:tcPr>
            <w:tcW w:type="dxa" w:w="2948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合计编制</w:t>
            </w:r>
          </w:p>
        </w:tc>
        <w:tc>
          <w:tcPr>
            <w:tcW w:type="dxa" w:w="187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19</w:t>
            </w:r>
          </w:p>
        </w:tc>
        <w:tc>
          <w:tcPr>
            <w:tcW w:type="dxa" w:w="187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10</w:t>
            </w:r>
          </w:p>
        </w:tc>
        <w:tc>
          <w:tcPr>
            <w:tcW w:type="dxa" w:w="124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29</w:t>
            </w:r>
          </w:p>
        </w:tc>
        <w:tc>
          <w:tcPr>
            <w:tcW w:type="dxa" w:w="215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1,165,050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100" w:lineRule="auto" w:line="274"/>
        <w:jc w:val="both"/>
      </w:pPr>
      <w:r>
        <w:rPr>
          <w:rFonts w:ascii="Calibri" w:hAnsi="Calibri" w:eastAsia="Microsoft YaHei"/>
          <w:b w:val="0"/>
          <w:i w:val="0"/>
          <w:color w:val="5A6472"/>
          <w:sz w:val="15"/>
        </w:rPr>
        <w:t>全负荷成本 = 税前月薪 × 1.35（IMSS 社保、INFONAVIT 住房、SAR、年终奖 15 天、休假金及州工资税 ISN 约 3%），为墨西哥标准测算惯例；表中含总经理与蒙特雷销售主管在内的满编月成本合计 1,165,050 比索，年化 1,398 万比索。首年按分批到岗约 72% 计为 1,010 万比索，加 2% 销售提成 100 万比索，首年人力总成本 1,110 万比索。与原始方案的 62 人编制相比压缩 53%，年化人工节省约 1,280 万比索。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总经理一人统管两城：核心地位与成本效率的统一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本方案取消蒙特雷独立分公司经理层，由总经理一人同时担任两座城市的最高经营负责人，蒙特雷仅设销售主管（月薪 4.5 万比索）直接向总经理汇报——仅此一项每年节省全负荷人工约 130 万比索，更重要的是消除了双城之间的决策时延与协调损耗。</w:t>
            </w:r>
          </w:p>
          <w:p>
            <w:pPr>
              <w:spacing w:before="0" w:after="24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总经理同时承担三重职能：墨西哥平台首席执行者、实际履行 CTO 职责并直接管辖全部 IT 与数字平台开发（3 人开发团队无中间层级直接汇报）、以及首席商品官（寄售货源的定价权即本项目的护城河，不可下放）。直接汇报对象：销售总监（墨城）· 蒙特雷销售主管 · IT 开发团队 3 人 · 设计与品牌 1 人 · 财务与采购。</w:t>
            </w:r>
          </w:p>
          <w:p>
            <w:pPr>
              <w:spacing w:before="0" w:after="50" w:line="26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4"/>
              </w:rPr>
              <w:t>投资人视角：29 人编制、两城同步、90 天交付三大平台，只有在单一决策者压缩三个角色的结构下才可能实现；计划坦承这是最大优势与最大单点风险，缓释措施为——第 12 个月视业绩聘任副手、为核心管理者设立期权池、为总经理投保关键人寿险，并在投资人尽调前完成书面接班安排。</w:t>
            </w:r>
          </w:p>
        </w:tc>
      </w:tr>
    </w:tbl>
    <w:p>
      <w:pPr>
        <w:spacing w:before="0" w:after="0" w:line="12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7"/>
        </w:rPr>
        <w:t>首年营业费用结构（合计 2,410 万比索，占收入 48.7%）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964"/>
        <w:gridCol w:w="794"/>
        <w:gridCol w:w="3345"/>
        <w:gridCol w:w="1020"/>
        <w:gridCol w:w="1020"/>
      </w:tblGrid>
      <w:tr>
        <w:trPr>
          <w:tblHeader w:val="true"/>
        </w:trPr>
        <w:tc>
          <w:tcPr>
            <w:tcW w:type="dxa" w:w="294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费用科目</w:t>
            </w:r>
          </w:p>
        </w:tc>
        <w:tc>
          <w:tcPr>
            <w:tcW w:type="dxa" w:w="96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占收入</w:t>
            </w:r>
          </w:p>
        </w:tc>
        <w:tc>
          <w:tcPr>
            <w:tcW w:type="dxa" w:w="334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费用科目</w:t>
            </w:r>
          </w:p>
        </w:tc>
        <w:tc>
          <w:tcPr>
            <w:tcW w:type="dxa" w:w="1020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1020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占收入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人力（全负荷，分批到岗）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10.1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20.4%</w:t>
            </w:r>
          </w:p>
        </w:tc>
        <w:tc>
          <w:tcPr>
            <w:tcW w:type="dxa" w:w="33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专业服务（律师、报关、商标、审计、税务）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0.9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1.8%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租金（墨城 12 个月＋蒙特雷 5 个月当量）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6.35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12.8%</w:t>
            </w:r>
          </w:p>
        </w:tc>
        <w:tc>
          <w:tcPr>
            <w:tcW w:type="dxa" w:w="334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安保、保险、水电与设施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0.7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1.4%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市场推广与渠道开发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1.5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3.0%</w:t>
            </w:r>
          </w:p>
        </w:tc>
        <w:tc>
          <w:tcPr>
            <w:tcW w:type="dxa" w:w="33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差旅、样品与展会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0.5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1.0%</w:t>
            </w:r>
          </w:p>
        </w:tc>
      </w:tr>
      <w:tr>
        <w:tc>
          <w:tcPr>
            <w:tcW w:type="dxa" w:w="294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销售提成（收入 2%）</w:t>
            </w:r>
          </w:p>
        </w:tc>
        <w:tc>
          <w:tcPr>
            <w:tcW w:type="dxa" w:w="96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1.0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2.0%</w:t>
            </w:r>
          </w:p>
        </w:tc>
        <w:tc>
          <w:tcPr>
            <w:tcW w:type="dxa" w:w="334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坏账计提（B2B 收入 1.5%）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0.6</w:t>
            </w:r>
          </w:p>
        </w:tc>
        <w:tc>
          <w:tcPr>
            <w:tcW w:type="dxa" w:w="102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1.2%</w:t>
            </w:r>
          </w:p>
        </w:tc>
      </w:tr>
      <w:tr>
        <w:tc>
          <w:tcPr>
            <w:tcW w:type="dxa" w:w="294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物流与末端配送（自有物流按成本结算）</w:t>
            </w:r>
          </w:p>
        </w:tc>
        <w:tc>
          <w:tcPr>
            <w:tcW w:type="dxa" w:w="9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1.0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2.0%</w:t>
            </w:r>
          </w:p>
        </w:tc>
        <w:tc>
          <w:tcPr>
            <w:tcW w:type="dxa" w:w="33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IT 运维、ERP/WMS 订阅与其他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1.45</w:t>
            </w:r>
          </w:p>
        </w:tc>
        <w:tc>
          <w:tcPr>
            <w:tcW w:type="dxa" w:w="10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2.9%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投资需求与资金用途（启动资金 140 万美元）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INVESTMENT REQUIREMENT &amp; USE OF FUNDS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80" w:lineRule="auto" w:line="276"/>
        <w:jc w:val="both"/>
      </w:pPr>
      <w:r>
        <w:rPr>
          <w:rFonts w:ascii="Calibri" w:hAnsi="Calibri" w:eastAsia="Microsoft YaHei"/>
          <w:b w:val="0"/>
          <w:i w:val="0"/>
          <w:color w:val="1A1A1A"/>
          <w:sz w:val="16"/>
        </w:rPr>
        <w:t>因 2 亿比索货源以寄售方式无偿供给、售出后结算，本项目不存在采购备货资金需求。启动资金仅由人力、双城租金、运营费用与蒙特雷场地一次性建设构成，合计 2,490 万比索，取整融资 2,590 万比索（140 万美元）——较原始方案的 400 万美元下降 65%。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757"/>
        <w:gridCol w:w="1361"/>
        <w:gridCol w:w="3005"/>
      </w:tblGrid>
      <w:tr>
        <w:trPr>
          <w:tblHeader w:val="true"/>
        </w:trPr>
        <w:tc>
          <w:tcPr>
            <w:tcW w:type="dxa" w:w="56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投资项目（前 3 个月一次性投入）</w:t>
            </w:r>
          </w:p>
        </w:tc>
        <w:tc>
          <w:tcPr>
            <w:tcW w:type="dxa" w:w="175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比索</w:t>
            </w:r>
          </w:p>
        </w:tc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美元</w:t>
            </w:r>
          </w:p>
        </w:tc>
        <w:tc>
          <w:tcPr>
            <w:tcW w:type="dxa" w:w="300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蒙特雷展厅装修（1,653㎡，精简陈列方案）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3,640,000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196,757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模块化陈列、基础灯光与夹层办公，不做重装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蒙特雷仓库货架与设备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1,800,000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97,297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货架购置；叉车采用租赁，不占用资本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ERP＋WMS（云端订阅制，与合作方仓库对账）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48,649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轻量 SaaS 方案，不自建、不上重型 ERP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三大平台开发（官网／B2B 批发／自有品牌 D2C）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1,600,000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86,486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以自有 3 人团队为主 + 定向外包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品牌与产品设计、IMPI 商标注册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1,200,000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64,865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公开发布前必须完成递交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公司手册、产品图册＋价目表、代理商资料包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32,432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中／西／英三语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车辆（2 台配送车，采用租赁）＋办公 IT 设备、家具、POS、监控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1,100,000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59,459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车辆租赁不购置，不占用资本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前 3 个月人力成本（29 人分批到岗）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2,200,000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118,919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4 个月起由经营收入承担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前 3 个月租金（双城）＋运营费用（物流、市场、专业服务、水电安保）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2,200,000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118,919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蒙特雷争取 3 个月免租期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租赁押金与保证金（双城）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2,900,000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156,757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可回收资产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实体设立、RFC、IMMEX、NOM 认证、清关与许可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1,500,000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81,081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合规启动一次性支出</w:t>
            </w:r>
          </w:p>
        </w:tc>
      </w:tr>
      <w:tr>
        <w:tc>
          <w:tcPr>
            <w:tcW w:type="dxa" w:w="56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</w:t>
            </w:r>
          </w:p>
        </w:tc>
        <w:tc>
          <w:tcPr>
            <w:tcW w:type="dxa" w:w="340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营运资金（应收账款周转；寄售模式下无备货资金）</w:t>
            </w:r>
          </w:p>
        </w:tc>
        <w:tc>
          <w:tcPr>
            <w:tcW w:type="dxa" w:w="175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3,000,000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162,162</w:t>
            </w:r>
          </w:p>
        </w:tc>
        <w:tc>
          <w:tcPr>
            <w:tcW w:type="dxa" w:w="300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仅为账期垫付，占收入 6%</w:t>
            </w:r>
          </w:p>
        </w:tc>
      </w:tr>
      <w:tr>
        <w:tc>
          <w:tcPr>
            <w:tcW w:type="dxa" w:w="56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13</w:t>
            </w:r>
          </w:p>
        </w:tc>
        <w:tc>
          <w:tcPr>
            <w:tcW w:type="dxa" w:w="340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不可预见费（10%）</w:t>
            </w:r>
          </w:p>
        </w:tc>
        <w:tc>
          <w:tcPr>
            <w:tcW w:type="dxa" w:w="175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2,264,000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122,378</w:t>
            </w:r>
          </w:p>
        </w:tc>
        <w:tc>
          <w:tcPr>
            <w:tcW w:type="dxa" w:w="300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—</w:t>
            </w:r>
          </w:p>
        </w:tc>
      </w:tr>
      <w:tr>
        <w:tc>
          <w:tcPr>
            <w:tcW w:type="dxa" w:w="56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</w:p>
        </w:tc>
        <w:tc>
          <w:tcPr>
            <w:tcW w:type="dxa" w:w="3402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启动资金合计 / 融资额（取整）</w:t>
            </w:r>
          </w:p>
        </w:tc>
        <w:tc>
          <w:tcPr>
            <w:tcW w:type="dxa" w:w="175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24,904,000 / 25,900,000</w:t>
            </w:r>
          </w:p>
        </w:tc>
        <w:tc>
          <w:tcPr>
            <w:tcW w:type="dxa" w:w="136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1,346,162 / 1,400,000</w:t>
            </w:r>
          </w:p>
        </w:tc>
        <w:tc>
          <w:tcPr>
            <w:tcW w:type="dxa" w:w="3005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场地与信息化 38%｜前3个月运营 18%｜押金 12%｜营运资金与备用 32%</w:t>
            </w:r>
          </w:p>
        </w:tc>
      </w:tr>
    </w:tbl>
    <w:p>
      <w:pPr>
        <w:spacing w:before="0" w:after="0" w:line="8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7"/>
        </w:rPr>
        <w:t>第 4 个月起的内生再投资计划（不再需要追加股权融资）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1701"/>
        <w:gridCol w:w="1814"/>
      </w:tblGrid>
      <w:tr>
        <w:trPr>
          <w:tblHeader w:val="true"/>
        </w:trPr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期间</w:t>
            </w:r>
          </w:p>
        </w:tc>
        <w:tc>
          <w:tcPr>
            <w:tcW w:type="dxa" w:w="4876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再投资项目</w:t>
            </w:r>
          </w:p>
        </w:tc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金额（比索）</w:t>
            </w:r>
          </w:p>
        </w:tc>
        <w:tc>
          <w:tcPr>
            <w:tcW w:type="dxa" w:w="181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资金来源</w:t>
            </w:r>
          </w:p>
        </w:tc>
      </w:tr>
      <w:tr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第 4–6 个月</w:t>
            </w:r>
          </w:p>
        </w:tc>
        <w:tc>
          <w:tcPr>
            <w:tcW w:type="dxa" w:w="48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自有品牌首批量产订金、平台 V1.0 迭代、SKU 摄影与素材库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1,800,000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经营现金流</w:t>
            </w:r>
          </w:p>
        </w:tc>
      </w:tr>
      <w:tr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第 7–12 个月</w:t>
            </w:r>
          </w:p>
        </w:tc>
        <w:tc>
          <w:tcPr>
            <w:tcW w:type="dxa" w:w="4876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SKU 品类扩展、市场推广加码、代理商体系铺开、第三城前置筹备、平台 V2.0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5,500,000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经营现金流</w:t>
            </w:r>
          </w:p>
        </w:tc>
      </w:tr>
      <w:tr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第二年全年</w:t>
            </w:r>
          </w:p>
        </w:tc>
        <w:tc>
          <w:tcPr>
            <w:tcW w:type="dxa" w:w="487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两座新城铺设、自有品牌品类扩展、团队扩编至 52 人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约 12,000,000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经营现金流</w:t>
            </w:r>
          </w:p>
        </w:tc>
      </w:tr>
    </w:tbl>
    <w:p>
      <w:pPr>
        <w:spacing w:before="0" w:after="0" w:line="10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60" w:lineRule="auto" w:line="283"/>
      </w:pPr>
      <w:r>
        <w:rPr>
          <w:rFonts w:ascii="Calibri" w:hAnsi="Calibri" w:eastAsia="Microsoft YaHei"/>
          <w:b/>
          <w:i w:val="0"/>
          <w:color w:val="0B2545"/>
          <w:sz w:val="17"/>
        </w:rPr>
        <w:t>双城租金模型</w:t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304"/>
        <w:gridCol w:w="1361"/>
        <w:gridCol w:w="1417"/>
        <w:gridCol w:w="1701"/>
        <w:gridCol w:w="1701"/>
      </w:tblGrid>
      <w:tr>
        <w:trPr>
          <w:tblHeader w:val="true"/>
        </w:trPr>
        <w:tc>
          <w:tcPr>
            <w:tcW w:type="dxa" w:w="260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场地</w:t>
            </w:r>
          </w:p>
        </w:tc>
        <w:tc>
          <w:tcPr>
            <w:tcW w:type="dxa" w:w="130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面积（㎡）</w:t>
            </w:r>
          </w:p>
        </w:tc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美元/㎡/月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月租（美元）</w:t>
            </w:r>
          </w:p>
        </w:tc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月租（比索）</w:t>
            </w:r>
          </w:p>
        </w:tc>
        <w:tc>
          <w:tcPr>
            <w:tcW w:type="dxa" w:w="170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年租（比索）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墨西哥城：展厅＋集团总部办公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800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14.00＋CAM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11,600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214,600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2,575,200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蒙特雷：展厅＋分公司办公（500 坪）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1,653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9.00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14,877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275,225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3,302,694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蒙特雷：仓库（1,000 坪）</w:t>
            </w:r>
          </w:p>
        </w:tc>
        <w:tc>
          <w:tcPr>
            <w:tcW w:type="dxa" w:w="130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3,306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7.00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23,142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428,127</w:t>
            </w:r>
          </w:p>
        </w:tc>
        <w:tc>
          <w:tcPr>
            <w:tcW w:type="dxa" w:w="17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5,137,524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蒙特雷：物业管理费 CAM</w:t>
            </w:r>
          </w:p>
        </w:tc>
        <w:tc>
          <w:tcPr>
            <w:tcW w:type="dxa" w:w="130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4,959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0.55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2,727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50,455</w:t>
            </w:r>
          </w:p>
        </w:tc>
        <w:tc>
          <w:tcPr>
            <w:tcW w:type="dxa" w:w="170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5"/>
              </w:rPr>
              <w:t>605,455</w:t>
            </w:r>
          </w:p>
        </w:tc>
      </w:tr>
      <w:tr>
        <w:tc>
          <w:tcPr>
            <w:tcW w:type="dxa" w:w="2608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双城满编运行合计</w:t>
            </w:r>
          </w:p>
        </w:tc>
        <w:tc>
          <w:tcPr>
            <w:tcW w:type="dxa" w:w="1304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5,759</w:t>
            </w:r>
          </w:p>
        </w:tc>
        <w:tc>
          <w:tcPr>
            <w:tcW w:type="dxa" w:w="136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—</w:t>
            </w:r>
          </w:p>
        </w:tc>
        <w:tc>
          <w:tcPr>
            <w:tcW w:type="dxa" w:w="1417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52,346</w:t>
            </w:r>
          </w:p>
        </w:tc>
        <w:tc>
          <w:tcPr>
            <w:tcW w:type="dxa" w:w="170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968,407</w:t>
            </w:r>
          </w:p>
        </w:tc>
        <w:tc>
          <w:tcPr>
            <w:tcW w:type="dxa" w:w="1701"/>
            <w:tcBorders>
              <w:top w:val="single" w:sz="8" w:space="0" w:color="B08D3F"/>
            </w:tcBorders>
            <w:shd w:val="clear" w:color="auto" w:fill="F3EBD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11,620,873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0" w:lineRule="auto" w:line="274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关键节省与谈判要点：因寄售货源存放于合作方位于墨西哥城的既有仓库，CLG 在墨城无需自建大型仓库，仅保留 800㎡ 展厅与总部办公——相较自租 5,000㎡ 仓库每年直接节省约 700 万比索，这是寄售模式的第二重成本红利。蒙特雷工业地产 2026 年一季度空置率 7.5%、报价 7.00 美元/㎡/月（Colliers），应争取 3–5 年期、3 个月免租期并将年涨幅锁定于美元 CPI 或 3%；展厅须取 flex／工业型空间而非甲级写字楼（甲级报价达 18.88 美元/㎡/月，Solili 2026年6月），选错每年多支出约 19.5 万美元。首年实付租金 635 万比索（占收入 12.8%），第二年约 9.2%、第三年约 6.3%。</w:t>
      </w:r>
    </w:p>
    <w:p>
      <w:pPr>
        <w:spacing w:before="0" w:after="0" w:line="1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07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首年季度财务预测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FY1 QUARTERLY FORECAST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417"/>
        <w:gridCol w:w="1417"/>
        <w:gridCol w:w="1417"/>
        <w:gridCol w:w="1417"/>
        <w:gridCol w:w="1814"/>
      </w:tblGrid>
      <w:tr>
        <w:trPr>
          <w:tblHeader w:val="true"/>
        </w:trPr>
        <w:tc>
          <w:tcPr>
            <w:tcW w:type="dxa" w:w="2608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项目（百万比索）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第一季度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第二季度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第三季度</w:t>
            </w:r>
          </w:p>
        </w:tc>
        <w:tc>
          <w:tcPr>
            <w:tcW w:type="dxa" w:w="141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第四季度</w:t>
            </w:r>
          </w:p>
        </w:tc>
        <w:tc>
          <w:tcPr>
            <w:tcW w:type="dxa" w:w="181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第一年合计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营业收入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10.5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14.0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19.0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49.5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毛利润（毛利率 50%）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3.0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5.25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7.0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9.5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24.75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营业费用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5.2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5.8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6.3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6.8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24.1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EBITDA（EBITDA 率）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(2.20)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(0.55)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0.70（5.0%）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2.70（14.2%）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0.65（1.3%）</w:t>
            </w:r>
          </w:p>
        </w:tc>
      </w:tr>
      <w:tr>
        <w:tc>
          <w:tcPr>
            <w:tcW w:type="dxa" w:w="260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净利润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(2.55)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(0.95)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0.20</w:t>
            </w:r>
          </w:p>
        </w:tc>
        <w:tc>
          <w:tcPr>
            <w:tcW w:type="dxa" w:w="141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2.20</w:t>
            </w:r>
          </w:p>
        </w:tc>
        <w:tc>
          <w:tcPr>
            <w:tcW w:type="dxa" w:w="181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(1.10)</w:t>
            </w:r>
          </w:p>
        </w:tc>
      </w:tr>
      <w:tr>
        <w:tc>
          <w:tcPr>
            <w:tcW w:type="dxa" w:w="2608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经营现金流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启动资金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启动资金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自给</w:t>
            </w:r>
          </w:p>
        </w:tc>
        <w:tc>
          <w:tcPr>
            <w:tcW w:type="dxa" w:w="141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自给并再投资</w:t>
            </w:r>
          </w:p>
        </w:tc>
        <w:tc>
          <w:tcPr>
            <w:tcW w:type="dxa" w:w="181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 4 个月起内生</w:t>
            </w:r>
          </w:p>
        </w:tc>
      </w:tr>
    </w:tbl>
    <w:p>
      <w:pPr>
        <w:spacing w:before="0" w:after="0" w:line="4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0" w:lineRule="auto" w:line="269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首年小幅净亏损 110 万比索源于蒙特雷场地建设与团队先行投入；第三季度单季 EBITDA 转正，第四季度 EBITDA 率达 14.2%，经营现金流自第 4 个月起自给并开始承担扩张性再投资。</w:t>
      </w:r>
    </w:p>
    <w:p>
      <w:pPr>
        <w:spacing w:before="0" w:after="0"/>
      </w:pPr>
      <w:r>
        <w:br w:type="page"/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08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三年扩张计划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THREE-YEAR EXPANSION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65"/>
        <w:gridCol w:w="3997"/>
        <w:gridCol w:w="652"/>
        <w:gridCol w:w="992"/>
        <w:gridCol w:w="765"/>
        <w:gridCol w:w="1049"/>
        <w:gridCol w:w="1049"/>
        <w:gridCol w:w="822"/>
      </w:tblGrid>
      <w:tr>
        <w:trPr>
          <w:tblHeader w:val="true"/>
        </w:trPr>
        <w:tc>
          <w:tcPr>
            <w:tcW w:type="dxa" w:w="76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年度</w:t>
            </w:r>
          </w:p>
        </w:tc>
        <w:tc>
          <w:tcPr>
            <w:tcW w:type="dxa" w:w="399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新增城市（选址逻辑）</w:t>
            </w:r>
          </w:p>
        </w:tc>
        <w:tc>
          <w:tcPr>
            <w:tcW w:type="dxa" w:w="65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自建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城市</w:t>
            </w:r>
          </w:p>
        </w:tc>
        <w:tc>
          <w:tcPr>
            <w:tcW w:type="dxa" w:w="99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展厅/仓库</w:t>
            </w:r>
          </w:p>
        </w:tc>
        <w:tc>
          <w:tcPr>
            <w:tcW w:type="dxa" w:w="76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代理商</w:t>
            </w:r>
          </w:p>
        </w:tc>
        <w:tc>
          <w:tcPr>
            <w:tcW w:type="dxa" w:w="104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收入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1049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EBITDA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  <w:tc>
          <w:tcPr>
            <w:tcW w:type="dxa" w:w="822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净利润</w:t>
            </w:r>
            <w:r>
              <w:br/>
            </w: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百万比索</w:t>
            </w:r>
          </w:p>
        </w:tc>
      </w:tr>
      <w:tr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第一年</w:t>
            </w:r>
          </w:p>
        </w:tc>
        <w:tc>
          <w:tcPr>
            <w:tcW w:type="dxa" w:w="399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墨西哥城（集团总部＋展厅）、蒙特雷（展厅＋仓库）——量与利的组合</w:t>
            </w:r>
          </w:p>
        </w:tc>
        <w:tc>
          <w:tcPr>
            <w:tcW w:type="dxa" w:w="65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99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 / 1</w:t>
            </w:r>
          </w:p>
        </w:tc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49.5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0.65</w:t>
            </w:r>
          </w:p>
        </w:tc>
        <w:tc>
          <w:tcPr>
            <w:tcW w:type="dxa" w:w="82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(1.10)</w:t>
            </w:r>
          </w:p>
        </w:tc>
      </w:tr>
      <w:tr>
        <w:tc>
          <w:tcPr>
            <w:tcW w:type="dxa" w:w="76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第二年</w:t>
            </w:r>
          </w:p>
        </w:tc>
        <w:tc>
          <w:tcPr>
            <w:tcW w:type="dxa" w:w="399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瓜达拉哈拉（第二大经济体、礼品零售密集）、蒂华纳（边境保税加工厂劳保、美墨跨境试点，与自有美国通道天然衔接）</w:t>
            </w:r>
          </w:p>
        </w:tc>
        <w:tc>
          <w:tcPr>
            <w:tcW w:type="dxa" w:w="65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99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4 / 2</w:t>
            </w:r>
          </w:p>
        </w:tc>
        <w:tc>
          <w:tcPr>
            <w:tcW w:type="dxa" w:w="76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90</w:t>
            </w:r>
          </w:p>
        </w:tc>
        <w:tc>
          <w:tcPr>
            <w:tcW w:type="dxa" w:w="104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126.0</w:t>
            </w:r>
          </w:p>
        </w:tc>
        <w:tc>
          <w:tcPr>
            <w:tcW w:type="dxa" w:w="1049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10.0</w:t>
            </w:r>
          </w:p>
        </w:tc>
        <w:tc>
          <w:tcPr>
            <w:tcW w:type="dxa" w:w="822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5.4</w:t>
            </w:r>
          </w:p>
        </w:tc>
      </w:tr>
      <w:tr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第三年</w:t>
            </w:r>
          </w:p>
        </w:tc>
        <w:tc>
          <w:tcPr>
            <w:tcW w:type="dxa" w:w="399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莱昂／巴希奥（制鞋皮革与工业劳保）、克雷塔罗（物流枢纽）、普埃布拉（纺织服装集群）；其余各州由代理商网络与越库配送覆盖，实现全国 32 州触达</w:t>
            </w:r>
          </w:p>
        </w:tc>
        <w:tc>
          <w:tcPr>
            <w:tcW w:type="dxa" w:w="65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</w:t>
            </w:r>
          </w:p>
        </w:tc>
        <w:tc>
          <w:tcPr>
            <w:tcW w:type="dxa" w:w="99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7 / 4</w:t>
            </w:r>
          </w:p>
        </w:tc>
        <w:tc>
          <w:tcPr>
            <w:tcW w:type="dxa" w:w="7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220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255.0</w:t>
            </w:r>
          </w:p>
        </w:tc>
        <w:tc>
          <w:tcPr>
            <w:tcW w:type="dxa" w:w="104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39.6</w:t>
            </w:r>
          </w:p>
        </w:tc>
        <w:tc>
          <w:tcPr>
            <w:tcW w:type="dxa" w:w="82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24.8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0" w:after="80" w:lineRule="auto" w:line="269"/>
        <w:jc w:val="both"/>
      </w:pPr>
      <w:r>
        <w:rPr>
          <w:rFonts w:ascii="Calibri" w:hAnsi="Calibri" w:eastAsia="Microsoft YaHei"/>
          <w:b w:val="0"/>
          <w:i w:val="0"/>
          <w:color w:val="5A6472"/>
          <w:sz w:val="14"/>
        </w:rPr>
        <w:t>轻资产纪律：第三年自建 7 城但仅设 4 个仓库，其余由 220 家代理商与越库配送覆盖全国——这正是第三年 EBITDA 利润率得以达到 15.5% 的原因。全部扩张资金自第 4 个月起由经营收入承担。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09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五年纳斯达克上市路径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THE NASDAQ PATH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4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4"/>
        </w:rPr>
        <w:t>（1）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>按本版保守口径，第五年 CLG 目标营业收入约 4,220 万美元（7.8 亿比索）、净利率约 11%（净利润约 464 万美元）、自有品牌占收入 50% 以上——税前利润远超纳斯达克全球市场（Nasdaq Global Market）收益标准所要求的 100 万美元，并可同时满足股东权益 1,500 万美元、公众持股市值 800 万美元、400 名整手股东与股价 4 美元等各项门槛；若届时市值达 7,500 万美元以上，亦可选择市值标准申报。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4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4"/>
        </w:rPr>
        <w:t>（2）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>可比公司框架：拉美及新兴市场纯分销企业的交易倍数约为 0.4–0.9 倍 EV/Revenue 与 14–20 倍 P/E，而拥有自有渠道的品牌消费品公司为 1.5–3.0 倍 EV/Revenue 与 20–28 倍 P/E；鉴于 CLG 届时自有品牌占比约 50%、毛利率 45% 左右、三年复合增速约 45%，可辩护的定价基准为 1.8 倍 EV/Revenue 或 22 倍 P/E（PEG 显著低于 1.0）。</w:t>
      </w:r>
    </w:p>
    <w:p>
      <w:pPr>
        <w:spacing w:before="10" w:after="44" w:line="278" w:lineRule="auto"/>
        <w:ind w:left="181" w:hanging="181"/>
      </w:pPr>
      <w:r>
        <w:rPr>
          <w:rFonts w:ascii="Calibri" w:hAnsi="Calibri" w:eastAsia="Microsoft YaHei"/>
          <w:b/>
          <w:i w:val="0"/>
          <w:color w:val="B08D3F"/>
          <w:sz w:val="14"/>
        </w:rPr>
        <w:t xml:space="preserve">▪ </w:t>
      </w:r>
      <w:r>
        <w:rPr>
          <w:rFonts w:ascii="Calibri" w:hAnsi="Calibri" w:eastAsia="Microsoft YaHei"/>
          <w:b/>
          <w:i w:val="0"/>
          <w:color w:val="0B2545"/>
          <w:sz w:val="14"/>
        </w:rPr>
        <w:t>（3）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 xml:space="preserve">  </w:t>
      </w:r>
      <w:r>
        <w:rPr>
          <w:rFonts w:ascii="Calibri" w:hAnsi="Calibri" w:eastAsia="Microsoft YaHei"/>
          <w:b w:val="0"/>
          <w:i w:val="0"/>
          <w:color w:val="1A1A1A"/>
          <w:sz w:val="14"/>
        </w:rPr>
        <w:t>据此隐含企业价值按收入倍数约 7,600 万美元、按盈利倍数约 1.02 亿美元，即 7,500 万–1 亿美元（14–18.5 亿比索）的可信上市区间，相当于对首年 140 万美元启动资金 50–70 倍的回报；三项不可妥协的前提：自第一年起由四大或 PCAOB 注册所出具 US GAAP／IFRS 审计报告、即刻搭建开曼或特拉华控股公司之于墨西哥 S.A. de C.V. 的离岸架构、自第一天建立符合 SOX 的内控与常设资料室。</w:t>
      </w:r>
    </w:p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10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主要风险与对策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KEY RISKS &amp; MITIGANTS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1361"/>
        <w:gridCol w:w="5556"/>
      </w:tblGrid>
      <w:tr>
        <w:trPr>
          <w:tblHeader w:val="true"/>
        </w:trPr>
        <w:tc>
          <w:tcPr>
            <w:tcW w:type="dxa" w:w="3175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136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敞口</w:t>
            </w:r>
          </w:p>
        </w:tc>
        <w:tc>
          <w:tcPr>
            <w:tcW w:type="dxa" w:w="5556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对策（与 CLG 实际结构挂钩）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合作方供货依赖　2 亿比索寄售货源由合作方单一供给，若供货中断或结算条件变更，将直接影响 74% 的首年收入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首年收入 3,660 万比索</w:t>
            </w:r>
          </w:p>
        </w:tc>
        <w:tc>
          <w:tcPr>
            <w:tcW w:type="dxa" w:w="555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以合同而非资金对冲：签署书面寄售协议，明确墨西哥独家经销权、最低供货承诺与品类清单、结算价与调价机制、账期与对账规则、不少于 3 年期限及终止过渡安排；ERP 与合作方仓库实时对账；保留中国直采备份通道与集团自有物流，可在 45 天内以正常进口补位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库存资金与滞销风险　在自购模式下本为最大风险项（2 亿比索资本占用与跌价）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已基本消除</w:t>
            </w:r>
          </w:p>
        </w:tc>
        <w:tc>
          <w:tcPr>
            <w:tcW w:type="dxa" w:w="5556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寄售模式下 CLG 不垫付采购款、不持有库存所有权：资金占用为零、滞销跌价由合作方承担、进口汇率波动不影响 CLG 成本。CLG 仅承担销售与保管责任（投保保管人责任险，年费约 15–25 万比索）。此为本计划最显著的结构性优势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物流与海关风险　亚洲原产消费品在墨西哥太平洋港口查验趋严，归类或估价失当可致货物扣押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已大幅降低</w:t>
            </w:r>
          </w:p>
        </w:tc>
        <w:tc>
          <w:tcPr>
            <w:tcW w:type="dxa" w:w="555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货物经「中国→美国→墨西哥」路径，由集团自有物流公司全程承运：在美国完成集拼、分批与文件预审，再经新拉雷多陆路口岸入墨、2 小时直达蒙特雷仓库。相较亚洲直航至曼萨尼约，该路径规避了对亚洲直航货的最严查验与港口拥堵，文件与实物链条均由集团掌控；陆运段短、路线固定，货损与失窃风险同步下降，并带来 8–12% 的永久性到岸成本优势</w:t>
            </w:r>
          </w:p>
        </w:tc>
      </w:tr>
      <w:tr>
        <w:tc>
          <w:tcPr>
            <w:tcW w:type="dxa" w:w="3175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B2B 应收账款风险　正规客户要求 30–60 天账期，墨西哥中小批发商坏账率 3–6%</w:t>
            </w:r>
          </w:p>
        </w:tc>
        <w:tc>
          <w:tcPr>
            <w:tcW w:type="dxa" w:w="136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首年计提 60 万；第三年敞口约 780 万</w:t>
            </w:r>
          </w:p>
        </w:tc>
        <w:tc>
          <w:tcPr>
            <w:tcW w:type="dxa" w:w="5556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分层授信：一级客户（墨城高周转买家，约占 B2B 收入 55%）一律现金／SPEI，零信用风险；二级正规中小企业 30 天并取本票＋个人担保；三级工业大客户 60 天并投保信用险或反向保理；10 万比索以上强制征信；大额应收经 NAFIN 无追索保理 48 小时变现</w:t>
            </w:r>
          </w:p>
        </w:tc>
      </w:tr>
      <w:tr>
        <w:tc>
          <w:tcPr>
            <w:tcW w:type="dxa" w:w="317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关键人与竞争风险　总经理一人统管两城并全责 IT，单点依赖显著；寄售货源的价格优势窗口约 18–24 个月</w:t>
            </w:r>
          </w:p>
        </w:tc>
        <w:tc>
          <w:tcPr>
            <w:tcW w:type="dxa" w:w="136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执行高度集中；第三年贸易毛利率递减 10 个百分点（已计入模型）</w:t>
            </w:r>
          </w:p>
        </w:tc>
        <w:tc>
          <w:tcPr>
            <w:tcW w:type="dxa" w:w="555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3"/>
              </w:rPr>
              <w:t>窗口即战略：用 18 个月锁定 220 家带独家条款与最低采购量的代理商，渠道关系在价格优势消失后依然存续；自有品牌为永久护城河，第三年 39% 毛利来自自有知识产权；关键人风险以书面接班安排、期权池、关键人寿险与第 12 个月视业绩增设副手缓释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524"/>
      </w:tblGrid>
      <w:tr>
        <w:tc>
          <w:tcPr>
            <w:tcW w:type="dxa" w:w="567"/>
            <w:shd w:val="clear" w:color="auto" w:fill="0B2545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>
            <w:pPr>
              <w:spacing w:before="10" w:after="1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4"/>
              </w:rPr>
              <w:t>11</w:t>
            </w:r>
          </w:p>
        </w:tc>
        <w:tc>
          <w:tcPr>
            <w:tcW w:type="dxa" w:w="9524"/>
            <w:shd w:val="clear" w:color="auto" w:fill="F2F4F7"/>
            <w:tcMar>
              <w:top w:w="20" w:type="dxa"/>
              <w:left w:w="120" w:type="dxa"/>
              <w:bottom w:w="20" w:type="dxa"/>
              <w:right w:w="60" w:type="dxa"/>
            </w:tcMar>
            <w:vAlign w:val="center"/>
          </w:tcPr>
          <w:p>
            <w:pPr>
              <w:spacing w:before="10" w:after="1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23"/>
              </w:rPr>
              <w:t>投资人监控看板（KPI）与合规前置事项</w:t>
            </w:r>
            <w:r>
              <w:rPr>
                <w:rFonts w:ascii="Calibri" w:hAnsi="Calibri" w:eastAsia="Microsoft YaHei"/>
                <w:b w:val="0"/>
                <w:i w:val="0"/>
                <w:color w:val="5A6472"/>
                <w:sz w:val="15"/>
              </w:rPr>
              <w:t xml:space="preserve">   KPI DASHBOARD &amp; COMPLIANCE</w:t>
            </w:r>
          </w:p>
        </w:tc>
      </w:tr>
    </w:tbl>
    <w:p>
      <w:pPr>
        <w:spacing w:before="0" w:after="0" w:line="5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single" w:sz="8" w:space="0" w:color="0B2545"/>
          <w:left w:val="nil"/>
          <w:bottom w:val="single" w:sz="8" w:space="0" w:color="0B2545"/>
          <w:right w:val="nil"/>
          <w:insideH w:val="single" w:sz="2" w:space="0" w:color="C9D1DA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794"/>
        <w:gridCol w:w="794"/>
        <w:gridCol w:w="794"/>
        <w:gridCol w:w="2041"/>
        <w:gridCol w:w="850"/>
        <w:gridCol w:w="907"/>
        <w:gridCol w:w="907"/>
      </w:tblGrid>
      <w:tr>
        <w:trPr>
          <w:tblHeader w:val="true"/>
        </w:trPr>
        <w:tc>
          <w:tcPr>
            <w:tcW w:type="dxa" w:w="187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794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  <w:tc>
          <w:tcPr>
            <w:tcW w:type="dxa" w:w="2041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850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第一年</w:t>
            </w:r>
          </w:p>
        </w:tc>
        <w:tc>
          <w:tcPr>
            <w:tcW w:type="dxa" w:w="90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第二年</w:t>
            </w:r>
          </w:p>
        </w:tc>
        <w:tc>
          <w:tcPr>
            <w:tcW w:type="dxa" w:w="907"/>
            <w:shd w:val="clear" w:color="auto" w:fill="0B254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30" w:after="30" w:lineRule="auto" w:line="264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第三年</w:t>
            </w:r>
          </w:p>
        </w:tc>
      </w:tr>
      <w:tr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活跃 B2B 客户数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180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520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1,150</w:t>
            </w:r>
          </w:p>
        </w:tc>
        <w:tc>
          <w:tcPr>
            <w:tcW w:type="dxa" w:w="204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寄售货源累计去化率</w:t>
            </w:r>
          </w:p>
        </w:tc>
        <w:tc>
          <w:tcPr>
            <w:tcW w:type="dxa" w:w="85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11%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38%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88%</w:t>
            </w:r>
          </w:p>
        </w:tc>
      </w:tr>
      <w:tr>
        <w:tc>
          <w:tcPr>
            <w:tcW w:type="dxa" w:w="187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代理商数量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90</w:t>
            </w:r>
          </w:p>
        </w:tc>
        <w:tc>
          <w:tcPr>
            <w:tcW w:type="dxa" w:w="794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220</w:t>
            </w:r>
          </w:p>
        </w:tc>
        <w:tc>
          <w:tcPr>
            <w:tcW w:type="dxa" w:w="2041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库存资金占用（比索）</w:t>
            </w:r>
          </w:p>
        </w:tc>
        <w:tc>
          <w:tcPr>
            <w:tcW w:type="dxa" w:w="850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</w:t>
            </w:r>
          </w:p>
        </w:tc>
        <w:tc>
          <w:tcPr>
            <w:tcW w:type="dxa" w:w="90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</w:t>
            </w:r>
          </w:p>
        </w:tc>
        <w:tc>
          <w:tcPr>
            <w:tcW w:type="dxa" w:w="907"/>
            <w:shd w:val="clear" w:color="auto" w:fill="F2F4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0</w:t>
            </w:r>
          </w:p>
        </w:tc>
      </w:tr>
      <w:tr>
        <w:tc>
          <w:tcPr>
            <w:tcW w:type="dxa" w:w="187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应收账款周转天数 DSO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≤42 天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≤50 天</w:t>
            </w:r>
          </w:p>
        </w:tc>
        <w:tc>
          <w:tcPr>
            <w:tcW w:type="dxa" w:w="79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≤55 天</w:t>
            </w:r>
          </w:p>
        </w:tc>
        <w:tc>
          <w:tcPr>
            <w:tcW w:type="dxa" w:w="204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人均产出（百万比索）</w:t>
            </w:r>
          </w:p>
        </w:tc>
        <w:tc>
          <w:tcPr>
            <w:tcW w:type="dxa" w:w="85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1.71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2.42</w:t>
            </w:r>
          </w:p>
        </w:tc>
        <w:tc>
          <w:tcPr>
            <w:tcW w:type="dxa" w:w="90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4" w:after="24" w:lineRule="auto" w:line="264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A1A1A"/>
                <w:sz w:val="14"/>
              </w:rPr>
              <w:t>2.68</w:t>
            </w:r>
          </w:p>
        </w:tc>
      </w:tr>
    </w:tbl>
    <w:p>
      <w:pPr>
        <w:spacing w:before="0" w:after="0" w:line="60" w:lineRule="exact"/>
      </w:pPr>
      <w:r>
        <w:rPr>
          <w:rFonts w:ascii="Calibri" w:hAnsi="Calibri" w:eastAsia="Microsoft YaHei"/>
          <w:b w:val="0"/>
          <w:i w:val="0"/>
          <w:color w:val="1A1A1A"/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top w:val="single" w:sz="2" w:space="0" w:color="C9D1DA"/>
              <w:left w:val="single" w:sz="18" w:space="0" w:color="B08D3F"/>
              <w:bottom w:val="single" w:sz="2" w:space="0" w:color="C9D1DA"/>
              <w:right w:val="single" w:sz="2" w:space="0" w:color="C9D1DA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80" w:type="dxa"/>
            </w:tcMar>
          </w:tcPr>
          <w:p>
            <w:pPr>
              <w:spacing w:before="40" w:after="20"/>
            </w:pPr>
            <w:r/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开业前必须完成的五项前置事项（缺一即无法营业）</w:t>
            </w:r>
          </w:p>
          <w:p>
            <w:pPr>
              <w:spacing w:before="0" w:after="24" w:line="25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① 寄售合作协议（首要）：墨西哥独家经销、最低供货承诺与品类清单、结算价与调价机制、账期与对账规则、保管责任与保险归属、不少于 3 年期限及终止过渡安排。此协议是全部财务预测的法律基础，须先于一切支出完成签署。</w:t>
            </w:r>
          </w:p>
          <w:p>
            <w:pPr>
              <w:spacing w:before="0" w:after="24" w:line="25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② S.A. de C.V. 实体、外资登记 RNIE、RFC、e.firma、数字签章 CSD 及 PAC 对接，并具备开具 CFDI 4.0 与货运 Carta Porte 附件的能力——否则无法向任何正规企业客户销售（买方无法抵扣增值税），蒙特雷工业客户论证即不成立。预留 6–10 周。</w:t>
            </w:r>
          </w:p>
          <w:p>
            <w:pPr>
              <w:spacing w:before="0" w:after="24" w:line="25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③ 进口商名录（Padrón de Importadores）及服装纺织类特定行业名录；自有品牌与补货经美国通道入墨，须同步完成美墨两端报关主体与文件体系；消费品关税 0–35%，另有 16% 增值税形成现金垫付（已计入营运资金）。</w:t>
            </w:r>
          </w:p>
          <w:p>
            <w:pPr>
              <w:spacing w:before="0" w:after="24" w:line="25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④ NOM 强制认证与标签：NOM-050-SCFI（西语标签、原产国、进口商名称／RFC／地址、净含量、保修说明）适用于生活用品、厨房、服装、文具、礼品；服装另需 NOM-004-SCFI；劳保品类风险最高，工业客户采购前必索取符合性证书。须对寄售库存做 NOM-050 合规审计——若无西语标签，返工成本承担方须在寄售协议中事先约定，不得默认由 CLG 承担。</w:t>
            </w:r>
          </w:p>
          <w:p>
            <w:pPr>
              <w:spacing w:before="0" w:after="50" w:line="254" w:lineRule="auto"/>
              <w:ind w:left="147" w:hanging="147"/>
            </w:pPr>
            <w:r>
              <w:rPr>
                <w:rFonts w:ascii="Calibri" w:hAnsi="Calibri" w:eastAsia="Microsoft YaHei"/>
                <w:b w:val="0"/>
                <w:i w:val="0"/>
                <w:color w:val="5A6472"/>
                <w:sz w:val="13"/>
              </w:rPr>
              <w:t>⑤ IMPI 商标先行注册（墨西哥为申请在先制，抢注者可合法阻断 CLG 使用自有品牌，须在首份图册印刷前完成两个品牌全部相关尼斯类别的递交，并同周注册 .com.mx 域名与社媒账号）；ERP／WMS 须先于三大平台上线并与合作方仓库实时对账（寄售模式下为财务与法律双重要求）；关联交易（自有物流与中国采购主体）须按独立交易原则定价并出具转让定价报告，否则美国审计师不予签字。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907" w:bottom="680" w:left="90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single" w:sz="6" w:space="0" w:color="C9D1DA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8504"/>
      <w:gridCol w:w="1587"/>
    </w:tblGrid>
    <w:tr>
      <w:tc>
        <w:tcPr>
          <w:tcW w:type="dxa" w:w="8504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40" w:after="0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4"/>
            </w:rPr>
            <w:t>CLG GROUP · MEXICO  |  商业计划书（保守测算版）  |  本文件含商业机密，未经书面许可不得复制或转发</w:t>
          </w:r>
        </w:p>
      </w:tc>
      <w:tc>
        <w:tcPr>
          <w:tcW w:type="dxa" w:w="1587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40" w:after="0"/>
            <w:jc w:val="right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5"/>
            </w:rPr>
            <w:t xml:space="preserve">第 </w:t>
          </w:r>
          <w:r>
            <w:rPr>
              <w:rFonts w:ascii="Calibri" w:hAnsi="Calibri" w:eastAsia="Microsoft YaHei"/>
              <w:b w:val="0"/>
              <w:i w:val="0"/>
              <w:color w:val="0B2545"/>
              <w:sz w:val="15"/>
            </w:rPr>
            <w:fldChar w:fldCharType="begin"/>
            <w:instrText xml:space="preserve"> PAGE </w:instrText>
            <w:fldChar w:fldCharType="end"/>
          </w:r>
          <w:r>
            <w:rPr>
              <w:rFonts w:ascii="Calibri" w:hAnsi="Calibri" w:eastAsia="Microsoft YaHei"/>
              <w:b w:val="0"/>
              <w:i w:val="0"/>
              <w:color w:val="5A6472"/>
              <w:sz w:val="15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nil"/>
        <w:left w:val="nil"/>
        <w:bottom w:val="single" w:sz="6" w:space="0" w:color="B08D3F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6236"/>
      <w:gridCol w:w="3855"/>
    </w:tblGrid>
    <w:tr>
      <w:tc>
        <w:tcPr>
          <w:tcW w:type="dxa" w:w="6236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30"/>
          </w:pPr>
          <w:r/>
          <w:r>
            <w:rPr>
              <w:rFonts w:ascii="Calibri" w:hAnsi="Calibri" w:eastAsia="Microsoft YaHei"/>
              <w:b/>
              <w:i w:val="0"/>
              <w:color w:val="0B2545"/>
              <w:sz w:val="15"/>
            </w:rPr>
            <w:t>CLG 集团  |  墨西哥市场商业计划书</w:t>
          </w:r>
        </w:p>
      </w:tc>
      <w:tc>
        <w:tcPr>
          <w:tcW w:type="dxa" w:w="385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30"/>
            <w:jc w:val="right"/>
          </w:pPr>
          <w:r/>
          <w:r>
            <w:rPr>
              <w:rFonts w:ascii="Calibri" w:hAnsi="Calibri" w:eastAsia="Microsoft YaHei"/>
              <w:b w:val="0"/>
              <w:i w:val="0"/>
              <w:color w:val="5A6472"/>
              <w:sz w:val="15"/>
            </w:rPr>
            <w:t>2026年9月  ·  严格保密  ·  仅供投资人审阅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