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2119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119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9200" w:h="10800" w:orient="landscape"/>
          <w:pgMar w:top="0" w:right="0" w:bottom="0" w:left="0" w:header="0" w:footer="0" w:gutter="0"/>
          <w:cols w:space="720"/>
          <w:docGrid w:linePitch="360"/>
        </w:sectPr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01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投资要点：三句话看懂这个项目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INVESTMENT HIGHLIGHTS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814"/>
        <w:gridCol w:w="5814"/>
        <w:gridCol w:w="5814"/>
      </w:tblGrid>
      <w:tr>
        <w:trPr>
          <w:cantSplit/>
        </w:trPr>
        <w:tc>
          <w:tcPr>
            <w:tcW w:type="dxa" w:w="5814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30" w:type="dxa"/>
              <w:left w:w="130" w:type="dxa"/>
              <w:bottom w:w="30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5"/>
              </w:rPr>
              <w:t>零库存　不花一分采购款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2 亿比索货源由合作方寄售供货，售出后结算。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CLG 不垫付采购款、不持有库存、不担跌价与汇率风险。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成本极低 → 低于市价 15–20% 仍有 47% 毛利（同业上限 25%）。</w:t>
            </w:r>
          </w:p>
        </w:tc>
        <w:tc>
          <w:tcPr>
            <w:tcW w:type="dxa" w:w="5814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30" w:type="dxa"/>
              <w:left w:w="130" w:type="dxa"/>
              <w:bottom w:w="30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5"/>
              </w:rPr>
              <w:t>轻投入　105 万美元起步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装修压至常规的 20%，设备车辆全部二手。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投资只覆盖前 3 个月人力、双城租金与场地建设。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第 4 个月起全部扩张支出由经营现金流内生，不再追加融资。</w:t>
            </w:r>
          </w:p>
        </w:tc>
        <w:tc>
          <w:tcPr>
            <w:tcW w:type="dxa" w:w="5814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30" w:type="dxa"/>
              <w:left w:w="130" w:type="dxa"/>
              <w:bottom w:w="30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5"/>
              </w:rPr>
              <w:t>高回报　首年即盈利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收入按内部测算的 60% 保守计列，保留 40% 安全边际。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首年净利润 1,028 万比索；第三年 EBITDA 9,690 万比索。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第三年 EBITDA = 总投资的 5.0 倍；三年累计净利 5.4 倍。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440000" cy="3193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319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tbl>
      <w:tblPr>
        <w:tblW w:type="auto" w:w="0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nil"/>
          <w:insideV w:val="single" w:sz="4" w:space="0" w:color="C9D1DA"/>
        </w:tblBorders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  <w:gridCol w:w="3489"/>
        <w:gridCol w:w="3489"/>
      </w:tblGrid>
      <w:tr>
        <w:trPr>
          <w:cantSplit/>
        </w:trPr>
        <w:tc>
          <w:tcPr>
            <w:tcW w:type="dxa" w:w="3489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7"/>
              </w:rPr>
              <w:t>105 万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总投资金额（美元）</w:t>
            </w:r>
          </w:p>
        </w:tc>
        <w:tc>
          <w:tcPr>
            <w:tcW w:type="dxa" w:w="3489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7"/>
              </w:rPr>
              <w:t>1,028 万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首年净利润（比索）</w:t>
            </w:r>
          </w:p>
        </w:tc>
        <w:tc>
          <w:tcPr>
            <w:tcW w:type="dxa" w:w="3489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7"/>
              </w:rPr>
              <w:t>18 人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双城全职编制</w:t>
            </w:r>
          </w:p>
        </w:tc>
        <w:tc>
          <w:tcPr>
            <w:tcW w:type="dxa" w:w="3489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7"/>
              </w:rPr>
              <w:t>1.566 亿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三年累计 EBITDA（比索）</w:t>
            </w:r>
          </w:p>
        </w:tc>
        <w:tc>
          <w:tcPr>
            <w:tcW w:type="dxa" w:w="3489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7"/>
              </w:rPr>
              <w:t>1.5–2.4 亿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五年上市估值（美元）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02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三年核心财务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THREE-YEAR FINANCIALS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3231"/>
        <w:gridCol w:w="3231"/>
        <w:gridCol w:w="3231"/>
        <w:gridCol w:w="3213"/>
      </w:tblGrid>
      <w:tr>
        <w:trPr>
          <w:cantSplit/>
          <w:tblHeader w:val="true"/>
        </w:trPr>
        <w:tc>
          <w:tcPr>
            <w:tcW w:type="dxa" w:w="453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财务指标（百万比索）</w:t>
            </w:r>
          </w:p>
        </w:tc>
        <w:tc>
          <w:tcPr>
            <w:tcW w:type="dxa" w:w="323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第一年</w:t>
            </w:r>
          </w:p>
        </w:tc>
        <w:tc>
          <w:tcPr>
            <w:tcW w:type="dxa" w:w="323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第二年</w:t>
            </w:r>
          </w:p>
        </w:tc>
        <w:tc>
          <w:tcPr>
            <w:tcW w:type="dxa" w:w="323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第三年</w:t>
            </w:r>
          </w:p>
        </w:tc>
        <w:tc>
          <w:tcPr>
            <w:tcW w:type="dxa" w:w="3213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三年累计</w:t>
            </w:r>
          </w:p>
        </w:tc>
      </w:tr>
      <w:tr>
        <w:trPr>
          <w:cantSplit/>
        </w:trPr>
        <w:tc>
          <w:tcPr>
            <w:tcW w:type="dxa" w:w="453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营业收入</w:t>
            </w:r>
          </w:p>
        </w:tc>
        <w:tc>
          <w:tcPr>
            <w:tcW w:type="dxa" w:w="32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99.0</w:t>
            </w:r>
          </w:p>
        </w:tc>
        <w:tc>
          <w:tcPr>
            <w:tcW w:type="dxa" w:w="32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252.0</w:t>
            </w:r>
          </w:p>
        </w:tc>
        <w:tc>
          <w:tcPr>
            <w:tcW w:type="dxa" w:w="32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510.0</w:t>
            </w:r>
          </w:p>
        </w:tc>
        <w:tc>
          <w:tcPr>
            <w:tcW w:type="dxa" w:w="321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861.0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毛利润 / 毛利率</w:t>
            </w:r>
          </w:p>
        </w:tc>
        <w:tc>
          <w:tcPr>
            <w:tcW w:type="dxa" w:w="32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46.5 / 47.0%</w:t>
            </w:r>
          </w:p>
        </w:tc>
        <w:tc>
          <w:tcPr>
            <w:tcW w:type="dxa" w:w="32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113.4 / 45.0%</w:t>
            </w:r>
          </w:p>
        </w:tc>
        <w:tc>
          <w:tcPr>
            <w:tcW w:type="dxa" w:w="32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224.4 / 44.0%</w:t>
            </w:r>
          </w:p>
        </w:tc>
        <w:tc>
          <w:tcPr>
            <w:tcW w:type="dxa" w:w="3213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384.3</w:t>
            </w:r>
          </w:p>
        </w:tc>
      </w:tr>
      <w:tr>
        <w:trPr>
          <w:cantSplit/>
        </w:trPr>
        <w:tc>
          <w:tcPr>
            <w:tcW w:type="dxa" w:w="453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营业费用 / 占收入</w:t>
            </w:r>
          </w:p>
        </w:tc>
        <w:tc>
          <w:tcPr>
            <w:tcW w:type="dxa" w:w="32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30.7 / 31.0%</w:t>
            </w:r>
          </w:p>
        </w:tc>
        <w:tc>
          <w:tcPr>
            <w:tcW w:type="dxa" w:w="32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69.6 / 27.6%</w:t>
            </w:r>
          </w:p>
        </w:tc>
        <w:tc>
          <w:tcPr>
            <w:tcW w:type="dxa" w:w="32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127.5 / 25.0%</w:t>
            </w:r>
          </w:p>
        </w:tc>
        <w:tc>
          <w:tcPr>
            <w:tcW w:type="dxa" w:w="321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227.8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EBITDA / EBITDA 率</w:t>
            </w:r>
          </w:p>
        </w:tc>
        <w:tc>
          <w:tcPr>
            <w:tcW w:type="dxa" w:w="32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15.9 / 16.0%</w:t>
            </w:r>
          </w:p>
        </w:tc>
        <w:tc>
          <w:tcPr>
            <w:tcW w:type="dxa" w:w="32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43.8 / 17.4%</w:t>
            </w:r>
          </w:p>
        </w:tc>
        <w:tc>
          <w:tcPr>
            <w:tcW w:type="dxa" w:w="32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96.9 / 19.0%</w:t>
            </w:r>
          </w:p>
        </w:tc>
        <w:tc>
          <w:tcPr>
            <w:tcW w:type="dxa" w:w="3213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156.6</w:t>
            </w:r>
          </w:p>
        </w:tc>
      </w:tr>
      <w:tr>
        <w:trPr>
          <w:cantSplit/>
        </w:trPr>
        <w:tc>
          <w:tcPr>
            <w:tcW w:type="dxa" w:w="453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净利润 / 净利率</w:t>
            </w:r>
          </w:p>
        </w:tc>
        <w:tc>
          <w:tcPr>
            <w:tcW w:type="dxa" w:w="32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10.3 / 10.4%</w:t>
            </w:r>
          </w:p>
        </w:tc>
        <w:tc>
          <w:tcPr>
            <w:tcW w:type="dxa" w:w="32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29.1 / 11.6%</w:t>
            </w:r>
          </w:p>
        </w:tc>
        <w:tc>
          <w:tcPr>
            <w:tcW w:type="dxa" w:w="32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65.3 / 12.8%</w:t>
            </w:r>
          </w:p>
        </w:tc>
        <w:tc>
          <w:tcPr>
            <w:tcW w:type="dxa" w:w="321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104.7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2" w:after="52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自建城市 / 代理商 / 全职人员</w:t>
            </w:r>
          </w:p>
        </w:tc>
        <w:tc>
          <w:tcPr>
            <w:tcW w:type="dxa" w:w="32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2 / 60 / 18</w:t>
            </w:r>
          </w:p>
        </w:tc>
        <w:tc>
          <w:tcPr>
            <w:tcW w:type="dxa" w:w="32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4 / 180 / 38</w:t>
            </w:r>
          </w:p>
        </w:tc>
        <w:tc>
          <w:tcPr>
            <w:tcW w:type="dxa" w:w="32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7 / 440 / 72</w:t>
            </w:r>
          </w:p>
        </w:tc>
        <w:tc>
          <w:tcPr>
            <w:tcW w:type="dxa" w:w="3213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2" w:after="52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人均产出 550→708 万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709"/>
        <w:gridCol w:w="5648"/>
        <w:gridCol w:w="6442"/>
      </w:tblGrid>
      <w:tr>
        <w:tc>
          <w:tcPr>
            <w:tcW w:type="dxa" w:w="570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9100" cy="26385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_mi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100" cy="2638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70183" cy="26385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gin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183" cy="2638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4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74668" cy="26385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l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668" cy="2638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0" w:after="0" w:line="288" w:lineRule="auto"/>
        <w:jc w:val="center"/>
      </w:pPr>
      <w:r>
        <w:rPr>
          <w:rFonts w:ascii="Calibri" w:hAnsi="Calibri" w:eastAsia="Microsoft YaHei"/>
          <w:b w:val="0"/>
          <w:i w:val="0"/>
          <w:color w:val="5A6472"/>
          <w:sz w:val="18"/>
        </w:rPr>
        <w:t>汇率 1 美元 = 18.50 比索　·　收入按内部测算的 60% 保守计列　·　第 4 个月起经营现金流自给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03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双城起步：墨西哥城做量，蒙特雷做利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TWO-CITY STRATEGY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216000" cy="41076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4107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8721"/>
        <w:gridCol w:w="8721"/>
      </w:tblGrid>
      <w:tr>
        <w:trPr>
          <w:cantSplit/>
        </w:trPr>
        <w:tc>
          <w:tcPr>
            <w:tcW w:type="dxa" w:w="8721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6" w:type="dxa"/>
              <w:left w:w="130" w:type="dxa"/>
              <w:bottom w:w="26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4"/>
              </w:rPr>
              <w:t>墨西哥城 CDMX　—　量 · 现金引擎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美洲最大批发市场 Central de Abastos（328 公顷 / 日均 9 万人次）与 Tepito 商圈即客户群。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寄售货源就在合作方墨城仓库 → 只需 800㎡ 展厅＋总部，不自建大仓，年省约 700 万比索。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大批量、现金结算 → 回款快、应收风险低。</w:t>
            </w:r>
          </w:p>
        </w:tc>
        <w:tc>
          <w:tcPr>
            <w:tcW w:type="dxa" w:w="8721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6" w:type="dxa"/>
              <w:left w:w="130" w:type="dxa"/>
              <w:bottom w:w="26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4"/>
              </w:rPr>
              <w:t>蒙特雷 MONTERREY　—　利 · 品质引擎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新莱昂州 1.4 万家工业企业，劳保与工装属刚性重复采购。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人均 GDP 为全国 1.6 倍，同一 SKU 毛利率高 3–6 个百分点。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距新拉雷多陆港 2 小时 —— 中国→美国→墨西哥自有物流通道的落地终点。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04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2 亿比索库存：四条通路同时去化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LIQUIDATION CHANNELS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302"/>
        <w:gridCol w:w="6780"/>
      </w:tblGrid>
      <w:tr>
        <w:tc>
          <w:tcPr>
            <w:tcW w:type="dxa" w:w="530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06992" cy="25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nnel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992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45111" cy="25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nchis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111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38"/>
        <w:gridCol w:w="4762"/>
        <w:gridCol w:w="1304"/>
        <w:gridCol w:w="1304"/>
        <w:gridCol w:w="1304"/>
        <w:gridCol w:w="6331"/>
      </w:tblGrid>
      <w:tr>
        <w:trPr>
          <w:cantSplit/>
          <w:tblHeader w:val="true"/>
        </w:trPr>
        <w:tc>
          <w:tcPr>
            <w:tcW w:type="dxa" w:w="243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通路</w:t>
            </w:r>
          </w:p>
        </w:tc>
        <w:tc>
          <w:tcPr>
            <w:tcW w:type="dxa" w:w="476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客户与场景</w:t>
            </w:r>
          </w:p>
        </w:tc>
        <w:tc>
          <w:tcPr>
            <w:tcW w:type="dxa" w:w="130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首年</w:t>
            </w:r>
          </w:p>
        </w:tc>
        <w:tc>
          <w:tcPr>
            <w:tcW w:type="dxa" w:w="130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第二年</w:t>
            </w:r>
          </w:p>
        </w:tc>
        <w:tc>
          <w:tcPr>
            <w:tcW w:type="dxa" w:w="130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第三年</w:t>
            </w:r>
          </w:p>
        </w:tc>
        <w:tc>
          <w:tcPr>
            <w:tcW w:type="dxa" w:w="633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去化逻辑</w:t>
            </w:r>
          </w:p>
        </w:tc>
      </w:tr>
      <w:tr>
        <w:trPr>
          <w:cantSplit/>
        </w:trPr>
        <w:tc>
          <w:tcPr>
            <w:tcW w:type="dxa" w:w="243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① 批发市场档口</w:t>
            </w:r>
          </w:p>
        </w:tc>
        <w:tc>
          <w:tcPr>
            <w:tcW w:type="dxa" w:w="476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墨城 Central de Abastos／Tepito、蒙特雷批发商圈设档口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48.0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105.0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178.5</w:t>
            </w:r>
          </w:p>
        </w:tc>
        <w:tc>
          <w:tcPr>
            <w:tcW w:type="dxa" w:w="63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按柜按箱走量、现金结算，价格最低、周转最快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② 小商品连锁加盟</w:t>
            </w:r>
          </w:p>
        </w:tc>
        <w:tc>
          <w:tcPr>
            <w:tcW w:type="dxa" w:w="476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对标名创优品的 8–12 元价位带小商品店，面向个体投资人招商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13.0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55.0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158.0</w:t>
            </w:r>
          </w:p>
        </w:tc>
        <w:tc>
          <w:tcPr>
            <w:tcW w:type="dxa" w:w="63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加盟商全额出资开店，CLG 零资本占用</w:t>
            </w:r>
          </w:p>
        </w:tc>
      </w:tr>
      <w:tr>
        <w:trPr>
          <w:cantSplit/>
        </w:trPr>
        <w:tc>
          <w:tcPr>
            <w:tcW w:type="dxa" w:w="243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③ B2B 在线批发平台</w:t>
            </w:r>
          </w:p>
        </w:tc>
        <w:tc>
          <w:tcPr>
            <w:tcW w:type="dxa" w:w="476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全国中小批发商、代理商、酒店餐饮与政企采购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27.2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68.0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132.0</w:t>
            </w:r>
          </w:p>
        </w:tc>
        <w:tc>
          <w:tcPr>
            <w:tcW w:type="dxa" w:w="63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分级阶梯价＋授信账期，边际获客成本最低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④ 电商与品牌 D2C</w:t>
            </w:r>
          </w:p>
        </w:tc>
        <w:tc>
          <w:tcPr>
            <w:tcW w:type="dxa" w:w="476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美客多／亚马逊官方店与自有品牌独立站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10.8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24.0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41.5</w:t>
            </w:r>
          </w:p>
        </w:tc>
        <w:tc>
          <w:tcPr>
            <w:tcW w:type="dxa" w:w="63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价格最高、毛利最厚，并回传选品数据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合计（百万比索）</w:t>
            </w:r>
          </w:p>
        </w:tc>
        <w:tc>
          <w:tcPr>
            <w:tcW w:type="dxa" w:w="4762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—</w:t>
            </w:r>
          </w:p>
        </w:tc>
        <w:tc>
          <w:tcPr>
            <w:tcW w:type="dxa" w:w="130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99.0</w:t>
            </w:r>
          </w:p>
        </w:tc>
        <w:tc>
          <w:tcPr>
            <w:tcW w:type="dxa" w:w="130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252.0</w:t>
            </w:r>
          </w:p>
        </w:tc>
        <w:tc>
          <w:tcPr>
            <w:tcW w:type="dxa" w:w="130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8" w:after="38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510.0</w:t>
            </w:r>
          </w:p>
        </w:tc>
        <w:tc>
          <w:tcPr>
            <w:tcW w:type="dxa" w:w="633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8" w:after="38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即集团全部营业收入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05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小商品连锁加盟：零资本占用的去化引擎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FRANCHISE CHAIN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nil"/>
          <w:insideV w:val="single" w:sz="4" w:space="0" w:color="C9D1DA"/>
        </w:tblBorders>
        <w:tblLayout w:type="fixed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  <w:gridCol w:w="2907"/>
      </w:tblGrid>
      <w:tr>
        <w:trPr>
          <w:cantSplit/>
        </w:trPr>
        <w:tc>
          <w:tcPr>
            <w:tcW w:type="dxa" w:w="2907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8"/>
              </w:rPr>
              <w:t>8 → 35 → 90 家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6"/>
              </w:rPr>
              <w:t>三年门店数</w:t>
            </w:r>
          </w:p>
        </w:tc>
        <w:tc>
          <w:tcPr>
            <w:tcW w:type="dxa" w:w="2907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8"/>
              </w:rPr>
              <w:t>0 比索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6"/>
              </w:rPr>
              <w:t>CLG 开店出资</w:t>
            </w:r>
          </w:p>
        </w:tc>
        <w:tc>
          <w:tcPr>
            <w:tcW w:type="dxa" w:w="2907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8"/>
              </w:rPr>
              <w:t>10 万比索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6"/>
              </w:rPr>
              <w:t>单店首期加盟费</w:t>
            </w:r>
          </w:p>
        </w:tc>
        <w:tc>
          <w:tcPr>
            <w:tcW w:type="dxa" w:w="2907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8"/>
              </w:rPr>
              <w:t>175 万比索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6"/>
              </w:rPr>
              <w:t>成熟单店年供货收入</w:t>
            </w:r>
          </w:p>
        </w:tc>
        <w:tc>
          <w:tcPr>
            <w:tcW w:type="dxa" w:w="2907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8"/>
              </w:rPr>
              <w:t>14–18 个月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6"/>
              </w:rPr>
              <w:t>加盟商回本周期</w:t>
            </w:r>
          </w:p>
        </w:tc>
        <w:tc>
          <w:tcPr>
            <w:tcW w:type="dxa" w:w="2907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8"/>
              </w:rPr>
              <w:t>45%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6"/>
              </w:rPr>
              <w:t>第三年消化自有品牌产量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76120" cy="31925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76120" cy="319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443"/>
      </w:tblGrid>
      <w:tr>
        <w:trPr>
          <w:cantSplit/>
        </w:trPr>
        <w:tc>
          <w:tcPr>
            <w:tcW w:type="dxa" w:w="17443"/>
            <w:shd w:val="clear" w:color="auto" w:fill="F3EBD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>
            <w:pPr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加盟连锁一条通路，同时解决两件事：寄售库存去化　+　自有品牌铺货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06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展会招商：一次参展，两个展位，两条业务线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TRADE-SHOW STRATEGY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440000" cy="3428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3428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814"/>
        <w:gridCol w:w="5814"/>
        <w:gridCol w:w="5814"/>
      </w:tblGrid>
      <w:tr>
        <w:trPr>
          <w:cantSplit/>
        </w:trPr>
        <w:tc>
          <w:tcPr>
            <w:tcW w:type="dxa" w:w="5814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6" w:type="dxa"/>
              <w:left w:w="130" w:type="dxa"/>
              <w:bottom w:w="26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4"/>
              </w:rPr>
              <w:t>每年 3 场专业展会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Expo ANTAD　零售与消费品（3 月）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Expo Seguridad　劳保与工业安全（5 月）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Expo Nacional Ferretera　五金与家居（9 月）</w:t>
            </w:r>
          </w:p>
        </w:tc>
        <w:tc>
          <w:tcPr>
            <w:tcW w:type="dxa" w:w="5814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6" w:type="dxa"/>
              <w:left w:w="130" w:type="dxa"/>
              <w:bottom w:w="26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4"/>
              </w:rPr>
              <w:t>双展位打法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展位 A：自有品牌形象与批发招商 —— 负责吸引人流。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展位 B：加盟招商，1:1 搭建样板店实景 —— 负责承接转化。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同一笔展会费用，为两条业务线同时获客。</w:t>
            </w:r>
          </w:p>
        </w:tc>
        <w:tc>
          <w:tcPr>
            <w:tcW w:type="dxa" w:w="5814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6" w:type="dxa"/>
              <w:left w:w="130" w:type="dxa"/>
              <w:bottom w:w="26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4"/>
              </w:rPr>
              <w:t>全年获客目标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代理商签约　24–45 家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加盟意向　9–18 家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B2B 客户线索并入在线平台统一跟进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07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六大品类批发　→　自有品牌长期化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CATEGORIES &amp; OWN BRAND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0" cy="24426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b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244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009"/>
        <w:gridCol w:w="11433"/>
      </w:tblGrid>
      <w:tr>
        <w:trPr>
          <w:cantSplit/>
        </w:trPr>
        <w:tc>
          <w:tcPr>
            <w:tcW w:type="dxa" w:w="600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71999" cy="230576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wnbran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999" cy="2305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33"/>
            <w:tcMar>
              <w:top w:w="0" w:type="dxa"/>
              <w:left w:w="200" w:type="dxa"/>
              <w:bottom w:w="0" w:type="dxa"/>
              <w:right w:w="0" w:type="dxa"/>
            </w:tcMar>
            <w:vAlign w:val="center"/>
          </w:tcPr>
          <w:p>
            <w:pPr>
              <w:spacing w:before="20" w:after="110"/>
            </w:pPr>
            <w:r>
              <w:rPr>
                <w:rFonts w:ascii="Calibri" w:hAnsi="Calibri" w:eastAsia="Microsoft YaHei"/>
                <w:b/>
                <w:i w:val="0"/>
                <w:color w:val="B08D3F"/>
                <w:sz w:val="19"/>
              </w:rPr>
              <w:t xml:space="preserve">▪ </w:t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 xml:space="preserve">自有品牌收入（百万比索）　</w:t>
            </w:r>
            <w:r>
              <w:rPr>
                <w:rFonts w:ascii="Calibri" w:hAnsi="Calibri" w:eastAsia="Microsoft YaHei"/>
                <w:b w:val="0"/>
                <w:i w:val="0"/>
                <w:color w:val="33404F"/>
                <w:sz w:val="19"/>
              </w:rPr>
              <w:t>9.0　→　50.4　→　163.2　→　约 780（Y5）</w:t>
            </w:r>
          </w:p>
          <w:p>
            <w:pPr>
              <w:spacing w:before="20" w:after="110"/>
            </w:pPr>
            <w:r>
              <w:rPr>
                <w:rFonts w:ascii="Calibri" w:hAnsi="Calibri" w:eastAsia="Microsoft YaHei"/>
                <w:b/>
                <w:i w:val="0"/>
                <w:color w:val="B08D3F"/>
                <w:sz w:val="19"/>
              </w:rPr>
              <w:t xml:space="preserve">▪ </w:t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 xml:space="preserve">占集团总收入　</w:t>
            </w:r>
            <w:r>
              <w:rPr>
                <w:rFonts w:ascii="Calibri" w:hAnsi="Calibri" w:eastAsia="Microsoft YaHei"/>
                <w:b w:val="0"/>
                <w:i w:val="0"/>
                <w:color w:val="33404F"/>
                <w:sz w:val="19"/>
              </w:rPr>
              <w:t>9%　→　20%　→　32%　→　50%+</w:t>
            </w:r>
          </w:p>
          <w:p>
            <w:pPr>
              <w:spacing w:before="20" w:after="110"/>
            </w:pPr>
            <w:r>
              <w:rPr>
                <w:rFonts w:ascii="Calibri" w:hAnsi="Calibri" w:eastAsia="Microsoft YaHei"/>
                <w:b/>
                <w:i w:val="0"/>
                <w:color w:val="B08D3F"/>
                <w:sz w:val="19"/>
              </w:rPr>
              <w:t xml:space="preserve">▪ </w:t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 xml:space="preserve">自有品牌毛利率　</w:t>
            </w:r>
            <w:r>
              <w:rPr>
                <w:rFonts w:ascii="Calibri" w:hAnsi="Calibri" w:eastAsia="Microsoft YaHei"/>
                <w:b w:val="0"/>
                <w:i w:val="0"/>
                <w:color w:val="33404F"/>
                <w:sz w:val="19"/>
              </w:rPr>
              <w:t>38%　→　52%　→　58%　→　62%</w:t>
            </w:r>
          </w:p>
          <w:p>
            <w:pPr>
              <w:spacing w:before="20" w:after="110"/>
            </w:pPr>
            <w:r>
              <w:rPr>
                <w:rFonts w:ascii="Calibri" w:hAnsi="Calibri" w:eastAsia="Microsoft YaHei"/>
                <w:b/>
                <w:i w:val="0"/>
                <w:color w:val="B08D3F"/>
                <w:sz w:val="19"/>
              </w:rPr>
              <w:t xml:space="preserve">▪ </w:t>
            </w: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 xml:space="preserve">占集团毛利总额　</w:t>
            </w:r>
            <w:r>
              <w:rPr>
                <w:rFonts w:ascii="Calibri" w:hAnsi="Calibri" w:eastAsia="Microsoft YaHei"/>
                <w:b w:val="0"/>
                <w:i w:val="0"/>
                <w:color w:val="33404F"/>
                <w:sz w:val="19"/>
              </w:rPr>
              <w:t>7%　→　23%　→　42%　→　约 58%</w:t>
            </w:r>
          </w:p>
          <w:p>
            <w:pPr>
              <w:spacing w:before="60" w:after="0" w:line="283" w:lineRule="auto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8"/>
              </w:rPr>
              <w:t>前两年，寄售货源以零资金占用供养建设；第三至五年，自有品牌供养估值。纯分销商国际可比估值 0.3–0.6 倍 EV/Revenue，拥有自有渠道的品牌消费品公司为 1.5–3.0 倍。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08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执行路线图：90 天攻坚，12 个月放量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EXECUTION ROADMAP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76120" cy="36486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76120" cy="364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tbl>
      <w:tblPr>
        <w:tblW w:type="auto" w:w="0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nil"/>
          <w:insideV w:val="single" w:sz="4" w:space="0" w:color="C9D1DA"/>
        </w:tblBorders>
        <w:tblLayout w:type="fixed"/>
        <w:tblLook w:firstColumn="1" w:firstRow="1" w:lastColumn="0" w:lastRow="0" w:noHBand="0" w:noVBand="1" w:val="04A0"/>
      </w:tblPr>
      <w:tblGrid>
        <w:gridCol w:w="5814"/>
        <w:gridCol w:w="5814"/>
        <w:gridCol w:w="5814"/>
      </w:tblGrid>
      <w:tr>
        <w:trPr>
          <w:cantSplit/>
        </w:trPr>
        <w:tc>
          <w:tcPr>
            <w:tcW w:type="dxa" w:w="5814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0"/>
              </w:rPr>
              <w:t>第 1–8 周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攻坚期：协议 · 合规 · ERP · 蒙特雷交付</w:t>
            </w:r>
          </w:p>
        </w:tc>
        <w:tc>
          <w:tcPr>
            <w:tcW w:type="dxa" w:w="5814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0"/>
              </w:rPr>
              <w:t>第 9–14 周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上线期：三大平台 · 手册与加盟体系</w:t>
            </w:r>
          </w:p>
        </w:tc>
        <w:tc>
          <w:tcPr>
            <w:tcW w:type="dxa" w:w="5814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0"/>
              </w:rPr>
              <w:t>第 15–52 周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放量期：档口 · 加盟 8 家 · 展会 · 自有品牌上市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09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组织架构：18 人全职＋兼职提成队伍＋外包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ORGANIZATION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76120" cy="42349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76120" cy="423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2"/>
        </w:rPr>
      </w:r>
    </w:p>
    <w:p>
      <w:pPr>
        <w:keepNext/>
        <w:spacing w:before="0" w:after="0" w:line="288" w:lineRule="auto"/>
      </w:pPr>
      <w:r>
        <w:rPr>
          <w:rFonts w:ascii="Calibri" w:hAnsi="Calibri" w:eastAsia="Microsoft YaHei"/>
          <w:b w:val="0"/>
          <w:i w:val="0"/>
          <w:color w:val="5A6472"/>
          <w:sz w:val="18"/>
        </w:rPr>
        <w:t>两地团队承担同一套经营目标与考核指标，共用一套 ERP／WMS 与统一价盘 —— 每一项业务均由墨西哥城与蒙特雷团队共同执行。全负荷成本＝税前月薪 × 1.35；满编月成本 81.5 万比索，首年人力总成本 928 万比索，仅占收入 9.4%。「全职精兵 + 兼职提成大军 + 代理商网络」三层结构，是 18 人编制支撑 9,900 万比索首年收入的根本原因。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10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总投资金额约 105 万美元：钱花在哪里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USE OF FUNDS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143"/>
        <w:gridCol w:w="10299"/>
      </w:tblGrid>
      <w:tr>
        <w:trPr>
          <w:cantSplit/>
        </w:trPr>
        <w:tc>
          <w:tcPr>
            <w:tcW w:type="dxa" w:w="714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92000" cy="25425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d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254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99"/>
            <w:tcMar>
              <w:top w:w="0" w:type="dxa"/>
              <w:left w:w="160" w:type="dxa"/>
              <w:bottom w:w="0" w:type="dxa"/>
              <w:right w:w="0" w:type="dxa"/>
            </w:tcMar>
            <w:vAlign w:val="center"/>
          </w:tcPr>
          <w:tbl>
            <w:tblPr>
              <w:tblW w:type="auto" w:w="0"/>
              <w:jc w:val="center"/>
              <w:tblBorders>
                <w:top w:val="single" w:sz="8" w:space="0" w:color="0B2545"/>
                <w:left w:val="nil"/>
                <w:bottom w:val="single" w:sz="8" w:space="0" w:color="0B2545"/>
                <w:right w:val="nil"/>
                <w:insideH w:val="single" w:sz="2" w:space="0" w:color="C9D1DA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69"/>
              <w:gridCol w:w="2438"/>
              <w:gridCol w:w="2192"/>
            </w:tblGrid>
            <w:tr>
              <w:trPr>
                <w:cantSplit/>
                <w:tblHeader w:val="true"/>
              </w:trPr>
              <w:tc>
                <w:tcPr>
                  <w:tcW w:type="dxa" w:w="5669"/>
                  <w:shd w:val="clear" w:color="auto" w:fill="0B2545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50" w:after="50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/>
                      <w:i w:val="0"/>
                      <w:color w:val="FFFFFF"/>
                      <w:sz w:val="17"/>
                    </w:rPr>
                    <w:t>投资项目（前 3 个月一次性投入）</w:t>
                  </w:r>
                </w:p>
              </w:tc>
              <w:tc>
                <w:tcPr>
                  <w:tcW w:type="dxa" w:w="2438"/>
                  <w:shd w:val="clear" w:color="auto" w:fill="0B2545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50" w:after="50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/>
                      <w:i w:val="0"/>
                      <w:color w:val="FFFFFF"/>
                      <w:sz w:val="17"/>
                    </w:rPr>
                    <w:t>比索</w:t>
                  </w:r>
                </w:p>
              </w:tc>
              <w:tc>
                <w:tcPr>
                  <w:tcW w:type="dxa" w:w="2192"/>
                  <w:shd w:val="clear" w:color="auto" w:fill="0B2545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50" w:after="50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/>
                      <w:i w:val="0"/>
                      <w:color w:val="FFFFFF"/>
                      <w:sz w:val="17"/>
                    </w:rPr>
                    <w:t>美元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蒙特雷展厅装修（模块化，仅常规预算 20%）</w:t>
                  </w:r>
                </w:p>
              </w:tc>
              <w:tc>
                <w:tcPr>
                  <w:tcW w:type="dxa" w:w="2438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728,000</w:t>
                  </w:r>
                </w:p>
              </w:tc>
              <w:tc>
                <w:tcPr>
                  <w:tcW w:type="dxa" w:w="2192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39,351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蒙特雷仓库货架与设备（全部二手）</w:t>
                  </w:r>
                </w:p>
              </w:tc>
              <w:tc>
                <w:tcPr>
                  <w:tcW w:type="dxa" w:w="2438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700,000</w:t>
                  </w:r>
                </w:p>
              </w:tc>
              <w:tc>
                <w:tcPr>
                  <w:tcW w:type="dxa" w:w="2192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37,838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ERP＋WMS 云端订阅</w:t>
                  </w:r>
                </w:p>
              </w:tc>
              <w:tc>
                <w:tcPr>
                  <w:tcW w:type="dxa" w:w="2438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700,000</w:t>
                  </w:r>
                </w:p>
              </w:tc>
              <w:tc>
                <w:tcPr>
                  <w:tcW w:type="dxa" w:w="2192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37,838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三大平台开发（官网／B2B／D2C）</w:t>
                  </w:r>
                </w:p>
              </w:tc>
              <w:tc>
                <w:tcPr>
                  <w:tcW w:type="dxa" w:w="2438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1,300,000</w:t>
                  </w:r>
                </w:p>
              </w:tc>
              <w:tc>
                <w:tcPr>
                  <w:tcW w:type="dxa" w:w="2192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70,270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品牌与产品设计、IMPI 商标注册</w:t>
                  </w:r>
                </w:p>
              </w:tc>
              <w:tc>
                <w:tcPr>
                  <w:tcW w:type="dxa" w:w="2438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900,000</w:t>
                  </w:r>
                </w:p>
              </w:tc>
              <w:tc>
                <w:tcPr>
                  <w:tcW w:type="dxa" w:w="2192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48,649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公司手册、产品图册＋价目表、代理商资料包</w:t>
                  </w:r>
                </w:p>
              </w:tc>
              <w:tc>
                <w:tcPr>
                  <w:tcW w:type="dxa" w:w="2438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450,000</w:t>
                  </w:r>
                </w:p>
              </w:tc>
              <w:tc>
                <w:tcPr>
                  <w:tcW w:type="dxa" w:w="2192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24,324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二手配送车 2 台＋二手办公 IT 设备</w:t>
                  </w:r>
                </w:p>
              </w:tc>
              <w:tc>
                <w:tcPr>
                  <w:tcW w:type="dxa" w:w="2438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500,000</w:t>
                  </w:r>
                </w:p>
              </w:tc>
              <w:tc>
                <w:tcPr>
                  <w:tcW w:type="dxa" w:w="2192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27,027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前 3 个月人力（18 人分批到岗）</w:t>
                  </w:r>
                </w:p>
              </w:tc>
              <w:tc>
                <w:tcPr>
                  <w:tcW w:type="dxa" w:w="2438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1,700,000</w:t>
                  </w:r>
                </w:p>
              </w:tc>
              <w:tc>
                <w:tcPr>
                  <w:tcW w:type="dxa" w:w="2192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91,892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前 3 个月双城租金＋运营费用</w:t>
                  </w:r>
                </w:p>
              </w:tc>
              <w:tc>
                <w:tcPr>
                  <w:tcW w:type="dxa" w:w="2438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2,300,000</w:t>
                  </w:r>
                </w:p>
              </w:tc>
              <w:tc>
                <w:tcPr>
                  <w:tcW w:type="dxa" w:w="2192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124,324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租赁押金与保证金（可回收）</w:t>
                  </w:r>
                </w:p>
              </w:tc>
              <w:tc>
                <w:tcPr>
                  <w:tcW w:type="dxa" w:w="2438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2,900,000</w:t>
                  </w:r>
                </w:p>
              </w:tc>
              <w:tc>
                <w:tcPr>
                  <w:tcW w:type="dxa" w:w="2192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156,757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营运资金（应收账款周转，无备货资金）</w:t>
                  </w:r>
                </w:p>
              </w:tc>
              <w:tc>
                <w:tcPr>
                  <w:tcW w:type="dxa" w:w="2438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5,000,000</w:t>
                  </w:r>
                </w:p>
              </w:tc>
              <w:tc>
                <w:tcPr>
                  <w:tcW w:type="dxa" w:w="2192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270,270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不可预见费（10%）</w:t>
                  </w:r>
                </w:p>
              </w:tc>
              <w:tc>
                <w:tcPr>
                  <w:tcW w:type="dxa" w:w="2438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1,717,800</w:t>
                  </w:r>
                </w:p>
              </w:tc>
              <w:tc>
                <w:tcPr>
                  <w:tcW w:type="dxa" w:w="2192"/>
                  <w:shd w:val="clear" w:color="auto" w:fill="F2F4F7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keepNext/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 w:val="0"/>
                      <w:i w:val="0"/>
                      <w:color w:val="1A1A1A"/>
                      <w:sz w:val="16"/>
                    </w:rPr>
                    <w:t>92,854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669"/>
                  <w:tcBorders>
                    <w:top w:val="single" w:sz="8" w:space="0" w:color="B08D3F"/>
                  </w:tcBorders>
                  <w:shd w:val="clear" w:color="auto" w:fill="F3EBDA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spacing w:before="24" w:after="24" w:lineRule="auto" w:line="264"/>
                  </w:pPr>
                  <w:r/>
                  <w:r>
                    <w:rPr>
                      <w:rFonts w:ascii="Calibri" w:hAnsi="Calibri" w:eastAsia="Microsoft YaHei"/>
                      <w:b/>
                      <w:i w:val="0"/>
                      <w:color w:val="0B2545"/>
                      <w:sz w:val="16"/>
                    </w:rPr>
                    <w:t>总投资金额 · 取整</w:t>
                  </w:r>
                </w:p>
              </w:tc>
              <w:tc>
                <w:tcPr>
                  <w:tcW w:type="dxa" w:w="2438"/>
                  <w:tcBorders>
                    <w:top w:val="single" w:sz="8" w:space="0" w:color="B08D3F"/>
                  </w:tcBorders>
                  <w:shd w:val="clear" w:color="auto" w:fill="F3EBDA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/>
                      <w:i w:val="0"/>
                      <w:color w:val="0B2545"/>
                      <w:sz w:val="16"/>
                    </w:rPr>
                    <w:t>19,500,000</w:t>
                  </w:r>
                </w:p>
              </w:tc>
              <w:tc>
                <w:tcPr>
                  <w:tcW w:type="dxa" w:w="2192"/>
                  <w:tcBorders>
                    <w:top w:val="single" w:sz="8" w:space="0" w:color="B08D3F"/>
                  </w:tcBorders>
                  <w:shd w:val="clear" w:color="auto" w:fill="F3EBDA"/>
                  <w:tcMar>
                    <w:top w:w="40" w:type="dxa"/>
                    <w:left w:w="90" w:type="dxa"/>
                    <w:bottom w:w="40" w:type="dxa"/>
                    <w:right w:w="90" w:type="dxa"/>
                  </w:tcMar>
                  <w:vAlign w:val="center"/>
                </w:tcPr>
                <w:p>
                  <w:pPr>
                    <w:spacing w:before="24" w:after="24" w:lineRule="auto" w:line="264"/>
                    <w:jc w:val="center"/>
                  </w:pPr>
                  <w:r/>
                  <w:r>
                    <w:rPr>
                      <w:rFonts w:ascii="Calibri" w:hAnsi="Calibri" w:eastAsia="Microsoft YaHei"/>
                      <w:b/>
                      <w:i w:val="0"/>
                      <w:color w:val="0B2545"/>
                      <w:sz w:val="16"/>
                    </w:rPr>
                    <w:t>1,054,054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443"/>
      </w:tblGrid>
      <w:tr>
        <w:trPr>
          <w:cantSplit/>
        </w:trPr>
        <w:tc>
          <w:tcPr>
            <w:tcW w:type="dxa" w:w="17443"/>
            <w:shd w:val="clear" w:color="auto" w:fill="F3EBD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>
            <w:pPr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寄售模式下不存在采购备货资金需求　·　第 4 个月起全部扩张支出由经营现金流内生，三年内不再追加股权融资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20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9732"/>
        <w:gridCol w:w="2608"/>
        <w:gridCol w:w="2608"/>
      </w:tblGrid>
      <w:tr>
        <w:trPr>
          <w:cantSplit/>
          <w:tblHeader w:val="true"/>
        </w:trPr>
        <w:tc>
          <w:tcPr>
            <w:tcW w:type="dxa" w:w="24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期间</w:t>
            </w:r>
          </w:p>
        </w:tc>
        <w:tc>
          <w:tcPr>
            <w:tcW w:type="dxa" w:w="973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 4 个月起的内生再投资（不再需要追加股权融资）</w:t>
            </w:r>
          </w:p>
        </w:tc>
        <w:tc>
          <w:tcPr>
            <w:tcW w:type="dxa" w:w="260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金额（比索）</w:t>
            </w:r>
          </w:p>
        </w:tc>
        <w:tc>
          <w:tcPr>
            <w:tcW w:type="dxa" w:w="260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资金来源</w:t>
            </w:r>
          </w:p>
        </w:tc>
      </w:tr>
      <w:tr>
        <w:trPr>
          <w:cantSplit/>
        </w:trPr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第 4–6 个月</w:t>
            </w:r>
          </w:p>
        </w:tc>
        <w:tc>
          <w:tcPr>
            <w:tcW w:type="dxa" w:w="973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自有品牌首批量产订金、平台 V1.0 迭代、SKU 摄影与素材库</w:t>
            </w:r>
          </w:p>
        </w:tc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约 3,500,000</w:t>
            </w:r>
          </w:p>
        </w:tc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经营现金流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第 7–12 个月</w:t>
            </w:r>
          </w:p>
        </w:tc>
        <w:tc>
          <w:tcPr>
            <w:tcW w:type="dxa" w:w="973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SKU 品类扩展、市场推广加码、代理商体系铺开（60 家）、第三城前置筹备、平台 V2.0</w:t>
            </w:r>
          </w:p>
        </w:tc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约 9,000,000</w:t>
            </w:r>
          </w:p>
        </w:tc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经营现金流</w:t>
            </w:r>
          </w:p>
        </w:tc>
      </w:tr>
      <w:tr>
        <w:trPr>
          <w:cantSplit/>
        </w:trPr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0" w:after="6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第二年全年</w:t>
            </w:r>
          </w:p>
        </w:tc>
        <w:tc>
          <w:tcPr>
            <w:tcW w:type="dxa" w:w="973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0" w:after="6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两座新城铺设、自有品牌品类扩展、代理商扩至 180 家、团队扩编至 38 人</w:t>
            </w:r>
          </w:p>
        </w:tc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约 25,000,000</w:t>
            </w:r>
          </w:p>
        </w:tc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经营现金流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11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双城租金模型：首年实付仅占收入 6.4%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RENT MODEL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89"/>
        <w:gridCol w:w="2268"/>
        <w:gridCol w:w="2494"/>
        <w:gridCol w:w="2494"/>
        <w:gridCol w:w="2494"/>
        <w:gridCol w:w="2703"/>
      </w:tblGrid>
      <w:tr>
        <w:trPr>
          <w:cantSplit/>
          <w:tblHeader w:val="true"/>
        </w:trPr>
        <w:tc>
          <w:tcPr>
            <w:tcW w:type="dxa" w:w="498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场地</w:t>
            </w:r>
          </w:p>
        </w:tc>
        <w:tc>
          <w:tcPr>
            <w:tcW w:type="dxa" w:w="226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面积（㎡）</w:t>
            </w:r>
          </w:p>
        </w:tc>
        <w:tc>
          <w:tcPr>
            <w:tcW w:type="dxa" w:w="24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美元/㎡/月</w:t>
            </w:r>
          </w:p>
        </w:tc>
        <w:tc>
          <w:tcPr>
            <w:tcW w:type="dxa" w:w="24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月租（美元）</w:t>
            </w:r>
          </w:p>
        </w:tc>
        <w:tc>
          <w:tcPr>
            <w:tcW w:type="dxa" w:w="24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月租（比索）</w:t>
            </w:r>
          </w:p>
        </w:tc>
        <w:tc>
          <w:tcPr>
            <w:tcW w:type="dxa" w:w="2703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年租（比索）</w:t>
            </w:r>
          </w:p>
        </w:tc>
      </w:tr>
      <w:tr>
        <w:trPr>
          <w:cantSplit/>
        </w:trPr>
        <w:tc>
          <w:tcPr>
            <w:tcW w:type="dxa" w:w="498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墨西哥城：展厅＋集团总部办公</w:t>
            </w:r>
          </w:p>
        </w:tc>
        <w:tc>
          <w:tcPr>
            <w:tcW w:type="dxa" w:w="226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800</w:t>
            </w:r>
          </w:p>
        </w:tc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14.00＋CAM</w:t>
            </w:r>
          </w:p>
        </w:tc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11,600</w:t>
            </w:r>
          </w:p>
        </w:tc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214,600</w:t>
            </w:r>
          </w:p>
        </w:tc>
        <w:tc>
          <w:tcPr>
            <w:tcW w:type="dxa" w:w="270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2,575,200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蒙特雷：展厅＋办公（500 坪）</w:t>
            </w:r>
          </w:p>
        </w:tc>
        <w:tc>
          <w:tcPr>
            <w:tcW w:type="dxa" w:w="226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1,653</w:t>
            </w:r>
          </w:p>
        </w:tc>
        <w:tc>
          <w:tcPr>
            <w:tcW w:type="dxa" w:w="24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9.00</w:t>
            </w:r>
          </w:p>
        </w:tc>
        <w:tc>
          <w:tcPr>
            <w:tcW w:type="dxa" w:w="24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14,877</w:t>
            </w:r>
          </w:p>
        </w:tc>
        <w:tc>
          <w:tcPr>
            <w:tcW w:type="dxa" w:w="24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275,225</w:t>
            </w:r>
          </w:p>
        </w:tc>
        <w:tc>
          <w:tcPr>
            <w:tcW w:type="dxa" w:w="2703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3,302,694</w:t>
            </w:r>
          </w:p>
        </w:tc>
      </w:tr>
      <w:tr>
        <w:trPr>
          <w:cantSplit/>
        </w:trPr>
        <w:tc>
          <w:tcPr>
            <w:tcW w:type="dxa" w:w="498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蒙特雷：仓库（1,000 坪）＋物业费 CAM</w:t>
            </w:r>
          </w:p>
        </w:tc>
        <w:tc>
          <w:tcPr>
            <w:tcW w:type="dxa" w:w="226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3,306</w:t>
            </w:r>
          </w:p>
        </w:tc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7.00＋0.55</w:t>
            </w:r>
          </w:p>
        </w:tc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25,869</w:t>
            </w:r>
          </w:p>
        </w:tc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478,582</w:t>
            </w:r>
          </w:p>
        </w:tc>
        <w:tc>
          <w:tcPr>
            <w:tcW w:type="dxa" w:w="270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8"/>
              </w:rPr>
              <w:t>5,742,979</w:t>
            </w:r>
          </w:p>
        </w:tc>
      </w:tr>
      <w:tr>
        <w:trPr>
          <w:cantSplit/>
        </w:trPr>
        <w:tc>
          <w:tcPr>
            <w:tcW w:type="dxa" w:w="4989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0" w:after="60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双城满编运行合计</w:t>
            </w:r>
          </w:p>
        </w:tc>
        <w:tc>
          <w:tcPr>
            <w:tcW w:type="dxa" w:w="2268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5,759</w:t>
            </w:r>
          </w:p>
        </w:tc>
        <w:tc>
          <w:tcPr>
            <w:tcW w:type="dxa" w:w="249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—</w:t>
            </w:r>
          </w:p>
        </w:tc>
        <w:tc>
          <w:tcPr>
            <w:tcW w:type="dxa" w:w="249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52,346</w:t>
            </w:r>
          </w:p>
        </w:tc>
        <w:tc>
          <w:tcPr>
            <w:tcW w:type="dxa" w:w="249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968,407</w:t>
            </w:r>
          </w:p>
        </w:tc>
        <w:tc>
          <w:tcPr>
            <w:tcW w:type="dxa" w:w="2703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11,620,873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20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814"/>
        <w:gridCol w:w="5814"/>
        <w:gridCol w:w="5814"/>
      </w:tblGrid>
      <w:tr>
        <w:trPr>
          <w:cantSplit/>
        </w:trPr>
        <w:tc>
          <w:tcPr>
            <w:tcW w:type="dxa" w:w="5814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6" w:type="dxa"/>
              <w:left w:w="130" w:type="dxa"/>
              <w:bottom w:w="26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4"/>
              </w:rPr>
              <w:t>墨城不自建大仓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寄售货源存放于合作方既有仓库。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CLG 仅保留 800㎡ 展厅＋总部办公。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相较自租 5,000㎡ 仓库，每年直接节省约 700 万比索。</w:t>
            </w:r>
          </w:p>
        </w:tc>
        <w:tc>
          <w:tcPr>
            <w:tcW w:type="dxa" w:w="5814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6" w:type="dxa"/>
              <w:left w:w="130" w:type="dxa"/>
              <w:bottom w:w="26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4"/>
              </w:rPr>
              <w:t>蒙特雷谈判要点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工业地产空置率 7.5%、报价 7.00 美元/㎡/月（Colliers）。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争取 3–5 年期、3 个月免租期，涨幅锁定美元 CPI 或 3%。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须取 flex／工业型空间，不取甲级写字楼。</w:t>
            </w:r>
          </w:p>
        </w:tc>
        <w:tc>
          <w:tcPr>
            <w:tcW w:type="dxa" w:w="5814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6" w:type="dxa"/>
              <w:left w:w="130" w:type="dxa"/>
              <w:bottom w:w="26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4"/>
              </w:rPr>
              <w:t>选错的代价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甲级写字楼报价达 18.88 美元/㎡/月（Solili）。</w:t>
            </w:r>
          </w:p>
          <w:p>
            <w:pPr>
              <w:spacing w:before="0" w:after="5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选错每年多支出约 19.5 万美元。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首年租金占收入 6.4%，第三年降至约 3.3%。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20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460000" cy="24384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43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12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三年全国扩张路径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THREE-YEAR EXPANSION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361"/>
        <w:gridCol w:w="7125"/>
        <w:gridCol w:w="1191"/>
        <w:gridCol w:w="1644"/>
        <w:gridCol w:w="1304"/>
        <w:gridCol w:w="1644"/>
        <w:gridCol w:w="1644"/>
        <w:gridCol w:w="1531"/>
      </w:tblGrid>
      <w:tr>
        <w:trPr>
          <w:cantSplit/>
          <w:tblHeader w:val="true"/>
        </w:trPr>
        <w:tc>
          <w:tcPr>
            <w:tcW w:type="dxa" w:w="136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年度</w:t>
            </w:r>
          </w:p>
        </w:tc>
        <w:tc>
          <w:tcPr>
            <w:tcW w:type="dxa" w:w="712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新增城市与选址逻辑</w:t>
            </w:r>
          </w:p>
        </w:tc>
        <w:tc>
          <w:tcPr>
            <w:tcW w:type="dxa" w:w="119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自建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城市</w:t>
            </w:r>
          </w:p>
        </w:tc>
        <w:tc>
          <w:tcPr>
            <w:tcW w:type="dxa" w:w="164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展厅/仓库</w:t>
            </w:r>
          </w:p>
        </w:tc>
        <w:tc>
          <w:tcPr>
            <w:tcW w:type="dxa" w:w="130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代理商</w:t>
            </w:r>
          </w:p>
        </w:tc>
        <w:tc>
          <w:tcPr>
            <w:tcW w:type="dxa" w:w="164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收入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百万比索</w:t>
            </w:r>
          </w:p>
        </w:tc>
        <w:tc>
          <w:tcPr>
            <w:tcW w:type="dxa" w:w="164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EBITDA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百万比索</w:t>
            </w:r>
          </w:p>
        </w:tc>
        <w:tc>
          <w:tcPr>
            <w:tcW w:type="dxa" w:w="153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净利润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百万比索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第一年</w:t>
            </w:r>
          </w:p>
        </w:tc>
        <w:tc>
          <w:tcPr>
            <w:tcW w:type="dxa" w:w="712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墨西哥城（集团总部＋展厅）、蒙特雷（展厅＋仓库）—— 量与利的组合</w:t>
            </w:r>
          </w:p>
        </w:tc>
        <w:tc>
          <w:tcPr>
            <w:tcW w:type="dxa" w:w="11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2 / 1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60</w:t>
            </w:r>
          </w:p>
        </w:tc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99.0</w:t>
            </w:r>
          </w:p>
        </w:tc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15.9</w:t>
            </w:r>
          </w:p>
        </w:tc>
        <w:tc>
          <w:tcPr>
            <w:tcW w:type="dxa" w:w="15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10.3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第二年</w:t>
            </w:r>
          </w:p>
        </w:tc>
        <w:tc>
          <w:tcPr>
            <w:tcW w:type="dxa" w:w="712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瓜达拉哈拉（第二大经济体、礼品零售密集）、蒂华纳（边境保税加工厂劳保、美墨跨境试点）</w:t>
            </w:r>
          </w:p>
        </w:tc>
        <w:tc>
          <w:tcPr>
            <w:tcW w:type="dxa" w:w="119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4</w:t>
            </w:r>
          </w:p>
        </w:tc>
        <w:tc>
          <w:tcPr>
            <w:tcW w:type="dxa" w:w="164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4 / 2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180</w:t>
            </w:r>
          </w:p>
        </w:tc>
        <w:tc>
          <w:tcPr>
            <w:tcW w:type="dxa" w:w="164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252.0</w:t>
            </w:r>
          </w:p>
        </w:tc>
        <w:tc>
          <w:tcPr>
            <w:tcW w:type="dxa" w:w="164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43.8</w:t>
            </w:r>
          </w:p>
        </w:tc>
        <w:tc>
          <w:tcPr>
            <w:tcW w:type="dxa" w:w="15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29.1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第三年</w:t>
            </w:r>
          </w:p>
        </w:tc>
        <w:tc>
          <w:tcPr>
            <w:tcW w:type="dxa" w:w="712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4" w:after="6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莱昂／巴希奥（制鞋皮革与工业劳保）、克雷塔罗（物流枢纽）、普埃布拉（纺织服装集群）；其余各州由代理商与越库配送覆盖</w:t>
            </w:r>
          </w:p>
        </w:tc>
        <w:tc>
          <w:tcPr>
            <w:tcW w:type="dxa" w:w="11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7</w:t>
            </w:r>
          </w:p>
        </w:tc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7 / 4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440</w:t>
            </w:r>
          </w:p>
        </w:tc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510.0</w:t>
            </w:r>
          </w:p>
        </w:tc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96.9</w:t>
            </w:r>
          </w:p>
        </w:tc>
        <w:tc>
          <w:tcPr>
            <w:tcW w:type="dxa" w:w="15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64" w:after="6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65.3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20"/>
        </w:rPr>
      </w:r>
    </w:p>
    <w:tbl>
      <w:tblPr>
        <w:tblW w:type="auto" w:w="0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nil"/>
          <w:insideV w:val="single" w:sz="4" w:space="0" w:color="C9D1DA"/>
        </w:tblBorders>
        <w:tblLayout w:type="fixed"/>
        <w:tblLook w:firstColumn="1" w:firstRow="1" w:lastColumn="0" w:lastRow="0" w:noHBand="0" w:noVBand="1" w:val="04A0"/>
      </w:tblPr>
      <w:tblGrid>
        <w:gridCol w:w="4361"/>
        <w:gridCol w:w="4361"/>
        <w:gridCol w:w="4361"/>
        <w:gridCol w:w="4361"/>
      </w:tblGrid>
      <w:tr>
        <w:trPr>
          <w:cantSplit/>
        </w:trPr>
        <w:tc>
          <w:tcPr>
            <w:tcW w:type="dxa" w:w="4361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2"/>
              </w:rPr>
              <w:t>5,200 亿比索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TAM　全国六大品类批发总值</w:t>
            </w:r>
          </w:p>
        </w:tc>
        <w:tc>
          <w:tcPr>
            <w:tcW w:type="dxa" w:w="4361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2"/>
              </w:rPr>
              <w:t>583 亿比索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SAM　双城都会区可服务市场</w:t>
            </w:r>
          </w:p>
        </w:tc>
        <w:tc>
          <w:tcPr>
            <w:tcW w:type="dxa" w:w="4361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2"/>
              </w:rPr>
              <w:t>5.10 亿比索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SOM　第三年可获得收入</w:t>
            </w:r>
          </w:p>
        </w:tc>
        <w:tc>
          <w:tcPr>
            <w:tcW w:type="dxa" w:w="4361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2"/>
              </w:rPr>
              <w:t>0.17% → 0.54%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CLG 市场份额（Y1 → Y3）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20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080000" cy="26682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ans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0" cy="266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13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五年纳斯达克上市路径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THE NASDAQ PATH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nil"/>
          <w:insideV w:val="single" w:sz="4" w:space="0" w:color="C9D1DA"/>
        </w:tblBorders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  <w:gridCol w:w="3489"/>
        <w:gridCol w:w="3489"/>
      </w:tblGrid>
      <w:tr>
        <w:trPr>
          <w:cantSplit/>
        </w:trPr>
        <w:tc>
          <w:tcPr>
            <w:tcW w:type="dxa" w:w="3489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1"/>
              </w:rPr>
              <w:t>8,430 万美元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第五年营业收入</w:t>
            </w:r>
          </w:p>
        </w:tc>
        <w:tc>
          <w:tcPr>
            <w:tcW w:type="dxa" w:w="3489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1"/>
              </w:rPr>
              <w:t>1,096 万美元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第五年净利润（净利率 13%）</w:t>
            </w:r>
          </w:p>
        </w:tc>
        <w:tc>
          <w:tcPr>
            <w:tcW w:type="dxa" w:w="3489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1"/>
              </w:rPr>
              <w:t>50%+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自有品牌占收入比重</w:t>
            </w:r>
          </w:p>
        </w:tc>
        <w:tc>
          <w:tcPr>
            <w:tcW w:type="dxa" w:w="3489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1"/>
              </w:rPr>
              <w:t>1.5–2.4 亿美元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可信上市估值区间</w:t>
            </w:r>
          </w:p>
        </w:tc>
        <w:tc>
          <w:tcPr>
            <w:tcW w:type="dxa" w:w="3489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1"/>
              </w:rPr>
              <w:t>145–230 倍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对总投资的回报倍数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76120" cy="31925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076120" cy="319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8721"/>
        <w:gridCol w:w="8721"/>
      </w:tblGrid>
      <w:tr>
        <w:trPr>
          <w:cantSplit/>
        </w:trPr>
        <w:tc>
          <w:tcPr>
            <w:tcW w:type="dxa" w:w="8721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2" w:type="dxa"/>
              <w:left w:w="130" w:type="dxa"/>
              <w:bottom w:w="22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上市门槛：已达标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税前利润远超纳斯达克全球市场收益标准所需的 100 万美元；同时满足股东权益 1,500 万、公众持股市值 800 万、400 名整手股东与股价 4 美元。</w:t>
            </w:r>
          </w:p>
        </w:tc>
        <w:tc>
          <w:tcPr>
            <w:tcW w:type="dxa" w:w="8721"/>
            <w:tcBorders>
              <w:top w:val="single" w:sz="2" w:space="0" w:color="C9D1DA"/>
              <w:left w:val="single" w:sz="22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2" w:type="dxa"/>
              <w:left w:w="130" w:type="dxa"/>
              <w:bottom w:w="22" w:type="dxa"/>
              <w:right w:w="90" w:type="dxa"/>
            </w:tcMar>
          </w:tcPr>
          <w:p>
            <w:pPr>
              <w:spacing w:before="60" w:after="5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三项不可妥协的前提</w:t>
            </w:r>
          </w:p>
          <w:p>
            <w:pPr>
              <w:spacing w:before="0" w:after="80" w:line="283" w:lineRule="auto"/>
              <w:ind w:left="193" w:hanging="193"/>
            </w:pPr>
            <w:r>
              <w:rPr>
                <w:rFonts w:ascii="Calibri" w:hAnsi="Calibri" w:eastAsia="Microsoft YaHei"/>
                <w:b w:val="0"/>
                <w:i w:val="0"/>
                <w:color w:val="33404F"/>
                <w:sz w:val="18"/>
              </w:rPr>
              <w:t>① 自第一年起由四大或 PCAOB 注册所出具 US GAAP／IFRS 审计报告　② 即刻搭建开曼／特拉华控股 → 墨西哥 S.A. de C.V. 离岸架构　③ 自第一天建立符合 SOX 的内控与常设资料室。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14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主要风险与对策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RISKS &amp; MITIGATION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082"/>
        <w:gridCol w:w="2948"/>
        <w:gridCol w:w="10413"/>
      </w:tblGrid>
      <w:tr>
        <w:trPr>
          <w:cantSplit/>
          <w:tblHeader w:val="true"/>
        </w:trPr>
        <w:tc>
          <w:tcPr>
            <w:tcW w:type="dxa" w:w="408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294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敞口</w:t>
            </w:r>
          </w:p>
        </w:tc>
        <w:tc>
          <w:tcPr>
            <w:tcW w:type="dxa" w:w="10413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对策</w:t>
            </w:r>
          </w:p>
        </w:tc>
      </w:tr>
      <w:tr>
        <w:trPr>
          <w:cantSplit/>
        </w:trPr>
        <w:tc>
          <w:tcPr>
            <w:tcW w:type="dxa" w:w="408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合作方供货依赖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2 亿比索寄售货源单一供给</w:t>
            </w:r>
          </w:p>
        </w:tc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首年收入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7,920 万比索</w:t>
            </w:r>
          </w:p>
        </w:tc>
        <w:tc>
          <w:tcPr>
            <w:tcW w:type="dxa" w:w="1041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以合同而非资金对冲：墨西哥独家经销权、最低供货承诺、结算价与调价机制、不少于 3 年期限；ERP 与合作方仓库实时对账；保留中国直采备份通道，可在 45 天内以正常进口补位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库存资金与滞销风险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自购模式下本为最大风险项</w:t>
            </w:r>
          </w:p>
        </w:tc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已基本消除</w:t>
            </w:r>
          </w:p>
        </w:tc>
        <w:tc>
          <w:tcPr>
            <w:tcW w:type="dxa" w:w="10413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寄售模式下 CLG 不垫付采购款、不持有库存所有权：资金占用为零、滞销跌价由合作方承担、汇率波动不影响成本；仅承担保管责任（已投保）</w:t>
            </w:r>
          </w:p>
        </w:tc>
      </w:tr>
      <w:tr>
        <w:trPr>
          <w:cantSplit/>
        </w:trPr>
        <w:tc>
          <w:tcPr>
            <w:tcW w:type="dxa" w:w="408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物流与海关风险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太平洋港口对亚洲货查验趋严</w:t>
            </w:r>
          </w:p>
        </w:tc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已大幅降低</w:t>
            </w:r>
          </w:p>
        </w:tc>
        <w:tc>
          <w:tcPr>
            <w:tcW w:type="dxa" w:w="1041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货经「中国→美国→墨西哥」由集团自有物流公司全程承运：美国集拼与文件预审，新拉雷多陆路入墨、2 小时直达蒙特雷仓库；并带来 8–12% 的永久性到岸成本优势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B2B 应收账款风险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正规客户要求 30–60 天账期</w:t>
            </w:r>
          </w:p>
        </w:tc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首年计提 120 万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第三年敞口约 1,560 万</w:t>
            </w:r>
          </w:p>
        </w:tc>
        <w:tc>
          <w:tcPr>
            <w:tcW w:type="dxa" w:w="10413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36" w:after="3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分层授信：一级客户（约 55% B2B 收入）现金／SPEI；二级 30 天＋本票与个人担保；三级 60 天＋信用险或反向保理；大额应收经 NAFIN 无追索保理 48 小时变现</w:t>
            </w:r>
          </w:p>
        </w:tc>
      </w:tr>
      <w:tr>
        <w:trPr>
          <w:cantSplit/>
        </w:trPr>
        <w:tc>
          <w:tcPr>
            <w:tcW w:type="dxa" w:w="408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6" w:after="3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关键岗位依赖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管理团队精简且横跨两城</w:t>
            </w:r>
          </w:p>
        </w:tc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6" w:after="3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执行集中于精简团队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第三年贸易毛利率递减</w:t>
            </w:r>
          </w:p>
        </w:tc>
        <w:tc>
          <w:tcPr>
            <w:tcW w:type="dxa" w:w="1041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6" w:after="3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18 个月内锁定 440 家带独家条款的代理商；自有品牌为永久护城河（第三年 42% 毛利来自自有知识产权）；流程固化于 ERP 与书面 SOP、两地管理岗互为备份、期权池与人身保险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20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000000" cy="28058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80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62"/>
        <w:gridCol w:w="16281"/>
      </w:tblGrid>
      <w:tr>
        <w:trPr>
          <w:cantSplit/>
        </w:trPr>
        <w:tc>
          <w:tcPr>
            <w:tcW w:type="dxa" w:w="1162"/>
            <w:shd w:val="clear" w:color="auto" w:fill="0B254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0" w:after="10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34"/>
              </w:rPr>
              <w:t>15</w:t>
            </w:r>
          </w:p>
        </w:tc>
        <w:tc>
          <w:tcPr>
            <w:tcW w:type="dxa" w:w="16281"/>
            <w:tcMar>
              <w:top w:w="10" w:type="dxa"/>
              <w:left w:w="190" w:type="dxa"/>
              <w:bottom w:w="10" w:type="dxa"/>
              <w:right w:w="0" w:type="dxa"/>
            </w:tcMar>
            <w:vAlign w:val="center"/>
          </w:tcPr>
          <w:p>
            <w:pPr>
              <w:spacing w:before="40" w:after="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5"/>
              </w:rPr>
              <w:t>投资人监控看板与开业前置事项</w:t>
            </w:r>
          </w:p>
          <w:p>
            <w:pPr>
              <w:spacing w:before="10" w:after="2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5"/>
              </w:rPr>
              <w:t>KPI DASHBOARD &amp; PRE-LAUNCH</w:t>
            </w:r>
          </w:p>
        </w:tc>
      </w:tr>
    </w:tbl>
    <w:p>
      <w:pPr>
        <w:keepNext/>
        <w:pBdr>
          <w:bottom w:val="single" w:sz="14" w:space="2" w:color="B08D3F"/>
        </w:pBdr>
        <w:spacing w:before="20" w:after="10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005"/>
        <w:gridCol w:w="1417"/>
        <w:gridCol w:w="1417"/>
        <w:gridCol w:w="1417"/>
        <w:gridCol w:w="3553"/>
        <w:gridCol w:w="1417"/>
        <w:gridCol w:w="1474"/>
        <w:gridCol w:w="1474"/>
      </w:tblGrid>
      <w:tr>
        <w:trPr>
          <w:cantSplit/>
          <w:tblHeader w:val="true"/>
        </w:trPr>
        <w:tc>
          <w:tcPr>
            <w:tcW w:type="dxa" w:w="300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第一年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第二年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第三年</w:t>
            </w:r>
          </w:p>
        </w:tc>
        <w:tc>
          <w:tcPr>
            <w:tcW w:type="dxa" w:w="3553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第一年</w:t>
            </w:r>
          </w:p>
        </w:tc>
        <w:tc>
          <w:tcPr>
            <w:tcW w:type="dxa" w:w="147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第二年</w:t>
            </w:r>
          </w:p>
        </w:tc>
        <w:tc>
          <w:tcPr>
            <w:tcW w:type="dxa" w:w="147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0" w:after="5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第三年</w:t>
            </w:r>
          </w:p>
        </w:tc>
      </w:tr>
      <w:tr>
        <w:trPr>
          <w:cantSplit/>
        </w:trPr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活跃 B2B 客户数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360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1,040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2,300</w:t>
            </w:r>
          </w:p>
        </w:tc>
        <w:tc>
          <w:tcPr>
            <w:tcW w:type="dxa" w:w="355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寄售货源累计去化率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23%</w:t>
            </w:r>
          </w:p>
        </w:tc>
        <w:tc>
          <w:tcPr>
            <w:tcW w:type="dxa" w:w="147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81%</w:t>
            </w:r>
          </w:p>
        </w:tc>
        <w:tc>
          <w:tcPr>
            <w:tcW w:type="dxa" w:w="147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代理商 / 兼职销售代表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60 / 80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180 / 220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440 / 500</w:t>
            </w:r>
          </w:p>
        </w:tc>
        <w:tc>
          <w:tcPr>
            <w:tcW w:type="dxa" w:w="3553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小商品连锁门店数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8</w:t>
            </w:r>
          </w:p>
        </w:tc>
        <w:tc>
          <w:tcPr>
            <w:tcW w:type="dxa" w:w="147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35</w:t>
            </w:r>
          </w:p>
        </w:tc>
        <w:tc>
          <w:tcPr>
            <w:tcW w:type="dxa" w:w="147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keepNext/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90</w:t>
            </w:r>
          </w:p>
        </w:tc>
      </w:tr>
      <w:tr>
        <w:trPr>
          <w:cantSplit/>
        </w:trPr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6" w:after="5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应收账款周转天数 DSO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≤42 天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≤50 天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≤55 天</w:t>
            </w:r>
          </w:p>
        </w:tc>
        <w:tc>
          <w:tcPr>
            <w:tcW w:type="dxa" w:w="355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6" w:after="56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全职编制 / 人均产出（百万）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18 / 5.50</w:t>
            </w:r>
          </w:p>
        </w:tc>
        <w:tc>
          <w:tcPr>
            <w:tcW w:type="dxa" w:w="147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38 / 6.63</w:t>
            </w:r>
          </w:p>
        </w:tc>
        <w:tc>
          <w:tcPr>
            <w:tcW w:type="dxa" w:w="147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56" w:after="56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7"/>
              </w:rPr>
              <w:t>72 / 7.08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20"/>
        </w:rPr>
      </w:r>
    </w:p>
    <w:p>
      <w:pPr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76120" cy="20197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laun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76120" cy="201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20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443"/>
      </w:tblGrid>
      <w:tr>
        <w:trPr>
          <w:cantSplit/>
        </w:trPr>
        <w:tc>
          <w:tcPr>
            <w:tcW w:type="dxa" w:w="17443"/>
            <w:shd w:val="clear" w:color="auto" w:fill="F3EBD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>
            <w:pPr>
              <w:spacing w:before="60" w:after="6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寄售合作协议是全部财务预测的法律基础　——　须先于一切支出完成签署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b w:val="0"/>
          <w:i w:val="0"/>
          <w:color w:val="1A1A1A"/>
          <w:sz w:val="16"/>
        </w:rPr>
      </w:r>
    </w:p>
    <w:tbl>
      <w:tblPr>
        <w:tblW w:type="auto" w:w="0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nil"/>
          <w:insideV w:val="single" w:sz="4" w:space="0" w:color="C9D1DA"/>
        </w:tblBorders>
        <w:tblLayout w:type="fixed"/>
        <w:tblLook w:firstColumn="1" w:firstRow="1" w:lastColumn="0" w:lastRow="0" w:noHBand="0" w:noVBand="1" w:val="04A0"/>
      </w:tblPr>
      <w:tblGrid>
        <w:gridCol w:w="4361"/>
        <w:gridCol w:w="4361"/>
        <w:gridCol w:w="4361"/>
        <w:gridCol w:w="4361"/>
      </w:tblGrid>
      <w:tr>
        <w:trPr>
          <w:cantSplit/>
        </w:trPr>
        <w:tc>
          <w:tcPr>
            <w:tcW w:type="dxa" w:w="4361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2"/>
              </w:rPr>
              <w:t>105 万美元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总投资金额</w:t>
            </w:r>
          </w:p>
        </w:tc>
        <w:tc>
          <w:tcPr>
            <w:tcW w:type="dxa" w:w="4361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2"/>
              </w:rPr>
              <w:t>1,028 万比索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首年净利润</w:t>
            </w:r>
          </w:p>
        </w:tc>
        <w:tc>
          <w:tcPr>
            <w:tcW w:type="dxa" w:w="4361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2"/>
              </w:rPr>
              <w:t>9,690 万比索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第三年 EBITDA</w:t>
            </w:r>
          </w:p>
        </w:tc>
        <w:tc>
          <w:tcPr>
            <w:tcW w:type="dxa" w:w="4361"/>
            <w:shd w:val="clear" w:color="auto" w:fill="F2F4F7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10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32"/>
              </w:rPr>
              <w:t>1.5–2.4 亿美元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7"/>
              </w:rPr>
              <w:t>五年上市估值</w:t>
            </w:r>
          </w:p>
        </w:tc>
      </w:tr>
    </w:tbl>
    <w:sectPr w:rsidR="00FC693F" w:rsidRPr="0006063C" w:rsidSect="00034616">
      <w:footerReference w:type="default" r:id="rId10"/>
      <w:pgSz w:w="19200" w:h="10800" w:orient="landscape"/>
      <w:pgMar w:top="539" w:right="879" w:bottom="454" w:left="879" w:header="312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Borders>
        <w:top w:val="single" w:sz="6" w:space="0" w:color="B08D3F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5629"/>
      <w:gridCol w:w="1814"/>
    </w:tblGrid>
    <w:tr>
      <w:tc>
        <w:tcPr>
          <w:tcW w:type="dxa" w:w="15629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50" w:after="0"/>
          </w:pPr>
          <w:r/>
          <w:r>
            <w:rPr>
              <w:rFonts w:ascii="Calibri" w:hAnsi="Calibri" w:eastAsia="Microsoft YaHei"/>
              <w:b w:val="0"/>
              <w:i w:val="0"/>
              <w:color w:val="5A6472"/>
              <w:sz w:val="14"/>
            </w:rPr>
            <w:t>CLG GROUP · MEXICO  |  墨西哥商业计划书  |  编制人：John Kim  ·  2026年9月  ·  严格保密</w:t>
          </w:r>
        </w:p>
      </w:tc>
      <w:tc>
        <w:tcPr>
          <w:tcW w:type="dxa" w:w="1814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50" w:after="0"/>
            <w:jc w:val="right"/>
          </w:pPr>
          <w:r>
            <w:rPr>
              <w:rFonts w:ascii="Calibri" w:hAnsi="Calibri" w:eastAsia="Microsoft YaHei"/>
              <w:b w:val="0"/>
              <w:i w:val="0"/>
              <w:color w:val="5A6472"/>
              <w:sz w:val="16"/>
            </w:rPr>
          </w:r>
          <w:r>
            <w:rPr>
              <w:rFonts w:ascii="Calibri" w:hAnsi="Calibri" w:eastAsia="Microsoft YaHei"/>
              <w:b w:val="0"/>
              <w:i w:val="0"/>
              <w:color w:val="5A6472"/>
              <w:sz w:val="16"/>
            </w:rPr>
            <w:fldChar w:fldCharType="begin"/>
          </w:r>
          <w:r>
            <w:rPr>
              <w:rFonts w:ascii="Calibri" w:hAnsi="Calibri" w:eastAsia="Microsoft YaHei"/>
              <w:b w:val="0"/>
              <w:i w:val="0"/>
              <w:color w:val="5A6472"/>
              <w:sz w:val="16"/>
            </w:rPr>
            <w:instrText xml:space="preserve">PAGE  \* Arabic</w:instrText>
          </w:r>
          <w:r>
            <w:rPr>
              <w:rFonts w:ascii="Calibri" w:hAnsi="Calibri" w:eastAsia="Microsoft YaHei"/>
              <w:b w:val="0"/>
              <w:i w:val="0"/>
              <w:color w:val="5A6472"/>
              <w:sz w:val="16"/>
            </w:rPr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CLG 集团 · 墨西哥商业计划书（演示版）</dc:title>
  <dc:subject>极致轻资产 · 寄售零库存 · 三大去化通路 · 小商品连锁加盟</dc:subject>
  <dc:creator>John Kim</dc:creator>
  <cp:keywords/>
  <dc:description>编制人：John Kim</dc:description>
  <cp:lastModifiedBy>John Kim</cp:lastModifiedBy>
  <cp:revision>1</cp:revision>
  <dcterms:created xsi:type="dcterms:W3CDTF">2013-12-23T23:15:00Z</dcterms:created>
  <dcterms:modified xsi:type="dcterms:W3CDTF">2013-12-23T23:15:00Z</dcterms:modified>
  <cp:category/>
</cp:coreProperties>
</file>