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60000" cy="10692000"/>
                    </a:xfrm>
                    <a:prstGeom prst="rect"/>
                  </pic:spPr>
                </pic:pic>
              </a:graphicData>
            </a:graphic>
          </wp:inline>
        </w:drawing>
      </w:r>
    </w:p>
    <w:p>
      <w:pPr>
        <w:sectPr>
          <w:pgSz w:w="11906" w:h="16838"/>
          <w:pgMar w:top="0" w:right="0" w:bottom="0" w:left="0" w:header="0" w:footer="0" w:gutter="0"/>
          <w:cols w:space="720"/>
          <w:docGrid w:linePitch="360"/>
        </w:sectPr>
      </w:pP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01</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投资要点与核心财务</w:t>
            </w:r>
            <w:r>
              <w:rPr>
                <w:rFonts w:ascii="Calibri" w:hAnsi="Calibri" w:eastAsia="Microsoft YaHei"/>
                <w:b w:val="0"/>
                <w:i w:val="0"/>
                <w:color w:val="5A6472"/>
                <w:sz w:val="15"/>
              </w:rPr>
              <w:t xml:space="preserve">   INVESTMENT HIGHLIGHTS &amp; FINANCIALS</w:t>
            </w:r>
          </w:p>
        </w:tc>
      </w:tr>
    </w:tbl>
    <w:p>
      <w:pPr>
        <w:keepNext/>
        <w:spacing w:before="0" w:after="0" w:line="50" w:lineRule="exact"/>
      </w:pPr>
      <w:r>
        <w:rPr>
          <w:rFonts w:ascii="Calibri" w:hAnsi="Calibri" w:eastAsia="Microsoft YaHei"/>
          <w:b w:val="0"/>
          <w:i w:val="0"/>
          <w:color w:val="1A1A1A"/>
          <w:sz w:val="2"/>
        </w:rPr>
      </w:r>
    </w:p>
    <w:p>
      <w:pPr>
        <w:spacing w:before="10" w:after="44" w:line="278" w:lineRule="auto"/>
        <w:ind w:left="181" w:hanging="181"/>
      </w:pPr>
      <w:r>
        <w:rPr>
          <w:rFonts w:ascii="Calibri" w:hAnsi="Calibri" w:eastAsia="Microsoft YaHei"/>
          <w:b/>
          <w:i w:val="0"/>
          <w:color w:val="B08D3F"/>
          <w:sz w:val="17"/>
        </w:rPr>
        <w:t xml:space="preserve">▪ </w:t>
      </w:r>
      <w:r>
        <w:rPr>
          <w:rFonts w:ascii="Calibri" w:hAnsi="Calibri" w:eastAsia="Microsoft YaHei"/>
          <w:b/>
          <w:i w:val="0"/>
          <w:color w:val="0B2545"/>
          <w:sz w:val="17"/>
        </w:rPr>
        <w:t>01  零库存资本占用：2 亿比索货源以寄售方式无偿供货</w:t>
      </w:r>
      <w:r>
        <w:rPr>
          <w:rFonts w:ascii="Calibri" w:hAnsi="Calibri" w:eastAsia="Microsoft YaHei"/>
          <w:b w:val="0"/>
          <w:i w:val="0"/>
          <w:color w:val="1A1A1A"/>
          <w:sz w:val="17"/>
        </w:rPr>
        <w:t xml:space="preserve">  </w:t>
      </w:r>
      <w:r>
        <w:rPr>
          <w:rFonts w:ascii="Calibri" w:hAnsi="Calibri" w:eastAsia="Microsoft YaHei"/>
          <w:b w:val="0"/>
          <w:i w:val="0"/>
          <w:color w:val="1A1A1A"/>
          <w:sz w:val="17"/>
        </w:rPr>
      </w:r>
    </w:p>
    <w:p>
      <w:pPr>
        <w:spacing w:before="0" w:after="60" w:lineRule="auto" w:line="262"/>
        <w:ind w:left="181"/>
        <w:jc w:val="both"/>
      </w:pPr>
      <w:r>
        <w:rPr>
          <w:rFonts w:ascii="Calibri" w:hAnsi="Calibri" w:eastAsia="Microsoft YaHei"/>
          <w:b w:val="0"/>
          <w:i w:val="0"/>
          <w:color w:val="33404F"/>
          <w:sz w:val="15"/>
        </w:rPr>
        <w:t>合作方将其位于墨西哥城仓库的约 2 亿比索（1,080 万美元）低价实物库存，以寄售（consignación）方式无偿交由 CLG 销售，售出后按约定结算价付款。CLG 不垫付一分钱采购款，不承担库存资金占用、滞销跌价与进口汇率风险——本项目的资产负债表上没有最容易出问题的那一项。因货源成本极低，售价可定在市场价以下 15–20% 仍实现 47% 综合毛利率，本地同业毛利率天花板仅 20–25%。货源通过三条互补通路同时去化——各城市批发市场档口、对标名创优品的小商品连锁加盟店、B2B 在线批发平台（第 05 节）。</w:t>
      </w:r>
    </w:p>
    <w:p>
      <w:pPr>
        <w:spacing w:before="10" w:after="44" w:line="278" w:lineRule="auto"/>
        <w:ind w:left="181" w:hanging="181"/>
      </w:pPr>
      <w:r>
        <w:rPr>
          <w:rFonts w:ascii="Calibri" w:hAnsi="Calibri" w:eastAsia="Microsoft YaHei"/>
          <w:b/>
          <w:i w:val="0"/>
          <w:color w:val="B08D3F"/>
          <w:sz w:val="17"/>
        </w:rPr>
        <w:t xml:space="preserve">▪ </w:t>
      </w:r>
      <w:r>
        <w:rPr>
          <w:rFonts w:ascii="Calibri" w:hAnsi="Calibri" w:eastAsia="Microsoft YaHei"/>
          <w:b/>
          <w:i w:val="0"/>
          <w:color w:val="0B2545"/>
          <w:sz w:val="17"/>
        </w:rPr>
        <w:t>02  总投资金额约 105 万美元，且首年净利润即达 1,028 万比索</w:t>
      </w:r>
      <w:r>
        <w:rPr>
          <w:rFonts w:ascii="Calibri" w:hAnsi="Calibri" w:eastAsia="Microsoft YaHei"/>
          <w:b w:val="0"/>
          <w:i w:val="0"/>
          <w:color w:val="1A1A1A"/>
          <w:sz w:val="17"/>
        </w:rPr>
        <w:t xml:space="preserve">  </w:t>
      </w:r>
      <w:r>
        <w:rPr>
          <w:rFonts w:ascii="Calibri" w:hAnsi="Calibri" w:eastAsia="Microsoft YaHei"/>
          <w:b w:val="0"/>
          <w:i w:val="0"/>
          <w:color w:val="1A1A1A"/>
          <w:sz w:val="17"/>
        </w:rPr>
      </w:r>
    </w:p>
    <w:p>
      <w:pPr>
        <w:spacing w:before="0" w:after="60" w:lineRule="auto" w:line="262"/>
        <w:ind w:left="181"/>
        <w:jc w:val="both"/>
      </w:pPr>
      <w:r>
        <w:rPr>
          <w:rFonts w:ascii="Calibri" w:hAnsi="Calibri" w:eastAsia="Microsoft YaHei"/>
          <w:b w:val="0"/>
          <w:i w:val="0"/>
          <w:color w:val="33404F"/>
          <w:sz w:val="15"/>
        </w:rPr>
        <w:t>无需备货资金，投资仅由人力、双城租金、运营费用与蒙特雷场地一次性建设构成。展厅采用模块化陈列，装修预算压缩至常规方案的 20%；货架、叉车、配送车辆与办公设备全部采购二手。总投资 1,950 万比索（约 105 万美元）覆盖前 3 个月全部支出与场地建设；自第 4 个月起，全部扩张性支出均由经营现金流滚动再投资，三年内不再需要追加股权融资。</w:t>
      </w:r>
    </w:p>
    <w:p>
      <w:pPr>
        <w:spacing w:before="10" w:after="44" w:line="278" w:lineRule="auto"/>
        <w:ind w:left="181" w:hanging="181"/>
      </w:pPr>
      <w:r>
        <w:rPr>
          <w:rFonts w:ascii="Calibri" w:hAnsi="Calibri" w:eastAsia="Microsoft YaHei"/>
          <w:b/>
          <w:i w:val="0"/>
          <w:color w:val="B08D3F"/>
          <w:sz w:val="17"/>
        </w:rPr>
        <w:t xml:space="preserve">▪ </w:t>
      </w:r>
      <w:r>
        <w:rPr>
          <w:rFonts w:ascii="Calibri" w:hAnsi="Calibri" w:eastAsia="Microsoft YaHei"/>
          <w:b/>
          <w:i w:val="0"/>
          <w:color w:val="0B2545"/>
          <w:sz w:val="17"/>
        </w:rPr>
        <w:t>03  保守口径：全部年度收入按原始业务测算的 60% 计列</w:t>
      </w:r>
      <w:r>
        <w:rPr>
          <w:rFonts w:ascii="Calibri" w:hAnsi="Calibri" w:eastAsia="Microsoft YaHei"/>
          <w:b w:val="0"/>
          <w:i w:val="0"/>
          <w:color w:val="1A1A1A"/>
          <w:sz w:val="17"/>
        </w:rPr>
        <w:t xml:space="preserve">  </w:t>
      </w:r>
      <w:r>
        <w:rPr>
          <w:rFonts w:ascii="Calibri" w:hAnsi="Calibri" w:eastAsia="Microsoft YaHei"/>
          <w:b w:val="0"/>
          <w:i w:val="0"/>
          <w:color w:val="1A1A1A"/>
          <w:sz w:val="17"/>
        </w:rPr>
      </w:r>
    </w:p>
    <w:p>
      <w:pPr>
        <w:spacing w:before="0" w:after="60" w:lineRule="auto" w:line="262"/>
        <w:ind w:left="181"/>
        <w:jc w:val="both"/>
      </w:pPr>
      <w:r>
        <w:rPr>
          <w:rFonts w:ascii="Calibri" w:hAnsi="Calibri" w:eastAsia="Microsoft YaHei"/>
          <w:b w:val="0"/>
          <w:i w:val="0"/>
          <w:color w:val="33404F"/>
          <w:sz w:val="15"/>
        </w:rPr>
        <w:t>各年度收入按内部测算值的 60% 计列（首年 9,900 万比索、第三年 5.10 亿比索），保留 40% 安全边际。18 人编制由墨西哥城与蒙特雷两地团队共同承担，管理团队横跨双城并行决策、两地共同负责，设计与创意全部外包；增量覆盖由代理商网络（首年 60 家、第三年 440 家）而非自建团队实现。小商品连锁加盟由加盟商全额出资开店，不占用 CLG 资本，第三年贡献 1.58 亿比索收入并消化约 45% 的自有品牌产量。第三年 EBITDA 达 9,690 万比索，为总投资额的 5.0 倍；三年累计 EBITDA 为 8.0 倍、累计净利润为 5.4 倍。</w:t>
      </w:r>
    </w:p>
    <w:p>
      <w:pPr>
        <w:spacing w:before="0" w:after="0" w:line="60" w:lineRule="exact"/>
      </w:pPr>
      <w:r>
        <w:rPr>
          <w:rFonts w:ascii="Calibri" w:hAnsi="Calibri" w:eastAsia="Microsoft YaHei"/>
          <w:b w:val="0"/>
          <w:i w:val="0"/>
          <w:color w:val="1A1A1A"/>
          <w:sz w:val="2"/>
        </w:rPr>
      </w:r>
    </w:p>
    <w:tbl>
      <w:tblPr>
        <w:tblW w:type="auto" w:w="0"/>
        <w:jc w:val="center"/>
        <w:tblBorders>
          <w:top w:val="single" w:sz="4" w:space="0" w:color="C9D1DA"/>
          <w:left w:val="single" w:sz="4" w:space="0" w:color="C9D1DA"/>
          <w:bottom w:val="single" w:sz="4" w:space="0" w:color="C9D1DA"/>
          <w:right w:val="single" w:sz="4" w:space="0" w:color="C9D1DA"/>
          <w:insideH w:val="nil"/>
          <w:insideV w:val="single" w:sz="4" w:space="0" w:color="C9D1DA"/>
        </w:tblBorders>
        <w:tblLayout w:type="fixed"/>
        <w:tblLook w:firstColumn="1" w:firstRow="1" w:lastColumn="0" w:lastRow="0" w:noHBand="0" w:noVBand="1" w:val="04A0"/>
      </w:tblPr>
      <w:tblGrid>
        <w:gridCol w:w="2018"/>
        <w:gridCol w:w="2018"/>
        <w:gridCol w:w="2018"/>
        <w:gridCol w:w="2018"/>
        <w:gridCol w:w="2018"/>
      </w:tblGrid>
      <w:tr>
        <w:tc>
          <w:tcPr>
            <w:tcW w:type="dxa" w:w="2018"/>
            <w:shd w:val="clear" w:color="auto" w:fill="F2F4F7"/>
            <w:tcMar>
              <w:top w:w="10" w:type="dxa"/>
              <w:left w:w="30" w:type="dxa"/>
              <w:bottom w:w="10" w:type="dxa"/>
              <w:right w:w="30" w:type="dxa"/>
            </w:tcMar>
          </w:tcPr>
          <w:p>
            <w:pPr>
              <w:spacing w:before="60" w:after="0"/>
              <w:jc w:val="center"/>
            </w:pPr>
            <w:r/>
            <w:r>
              <w:rPr>
                <w:rFonts w:ascii="Calibri" w:hAnsi="Calibri" w:eastAsia="Microsoft YaHei"/>
                <w:b/>
                <w:i w:val="0"/>
                <w:color w:val="0B2545"/>
                <w:sz w:val="26"/>
              </w:rPr>
              <w:t>105万</w:t>
            </w:r>
          </w:p>
          <w:p>
            <w:pPr>
              <w:spacing w:before="0" w:after="60"/>
              <w:jc w:val="center"/>
            </w:pPr>
            <w:r>
              <w:rPr>
                <w:rFonts w:ascii="Calibri" w:hAnsi="Calibri" w:eastAsia="Microsoft YaHei"/>
                <w:b w:val="0"/>
                <w:i w:val="0"/>
                <w:color w:val="5A6472"/>
                <w:sz w:val="14"/>
              </w:rPr>
              <w:t>总投资金额（美元）</w:t>
            </w:r>
          </w:p>
        </w:tc>
        <w:tc>
          <w:tcPr>
            <w:tcW w:type="dxa" w:w="2018"/>
            <w:shd w:val="clear" w:color="auto" w:fill="F2F4F7"/>
            <w:tcMar>
              <w:top w:w="10" w:type="dxa"/>
              <w:left w:w="30" w:type="dxa"/>
              <w:bottom w:w="10" w:type="dxa"/>
              <w:right w:w="30" w:type="dxa"/>
            </w:tcMar>
          </w:tcPr>
          <w:p>
            <w:pPr>
              <w:spacing w:before="60" w:after="0"/>
              <w:jc w:val="center"/>
            </w:pPr>
            <w:r/>
            <w:r>
              <w:rPr>
                <w:rFonts w:ascii="Calibri" w:hAnsi="Calibri" w:eastAsia="Microsoft YaHei"/>
                <w:b/>
                <w:i w:val="0"/>
                <w:color w:val="0B2545"/>
                <w:sz w:val="26"/>
              </w:rPr>
              <w:t>1,028万</w:t>
            </w:r>
          </w:p>
          <w:p>
            <w:pPr>
              <w:spacing w:before="0" w:after="60"/>
              <w:jc w:val="center"/>
            </w:pPr>
            <w:r>
              <w:rPr>
                <w:rFonts w:ascii="Calibri" w:hAnsi="Calibri" w:eastAsia="Microsoft YaHei"/>
                <w:b w:val="0"/>
                <w:i w:val="0"/>
                <w:color w:val="5A6472"/>
                <w:sz w:val="14"/>
              </w:rPr>
              <w:t>首年净利润（比索）</w:t>
            </w:r>
          </w:p>
        </w:tc>
        <w:tc>
          <w:tcPr>
            <w:tcW w:type="dxa" w:w="2018"/>
            <w:shd w:val="clear" w:color="auto" w:fill="F2F4F7"/>
            <w:tcMar>
              <w:top w:w="10" w:type="dxa"/>
              <w:left w:w="30" w:type="dxa"/>
              <w:bottom w:w="10" w:type="dxa"/>
              <w:right w:w="30" w:type="dxa"/>
            </w:tcMar>
          </w:tcPr>
          <w:p>
            <w:pPr>
              <w:spacing w:before="60" w:after="0"/>
              <w:jc w:val="center"/>
            </w:pPr>
            <w:r/>
            <w:r>
              <w:rPr>
                <w:rFonts w:ascii="Calibri" w:hAnsi="Calibri" w:eastAsia="Microsoft YaHei"/>
                <w:b/>
                <w:i w:val="0"/>
                <w:color w:val="0B2545"/>
                <w:sz w:val="26"/>
              </w:rPr>
              <w:t>18人</w:t>
            </w:r>
          </w:p>
          <w:p>
            <w:pPr>
              <w:spacing w:before="0" w:after="60"/>
              <w:jc w:val="center"/>
            </w:pPr>
            <w:r>
              <w:rPr>
                <w:rFonts w:ascii="Calibri" w:hAnsi="Calibri" w:eastAsia="Microsoft YaHei"/>
                <w:b w:val="0"/>
                <w:i w:val="0"/>
                <w:color w:val="5A6472"/>
                <w:sz w:val="14"/>
              </w:rPr>
              <w:t>双城人员编制</w:t>
            </w:r>
          </w:p>
        </w:tc>
        <w:tc>
          <w:tcPr>
            <w:tcW w:type="dxa" w:w="2018"/>
            <w:shd w:val="clear" w:color="auto" w:fill="F2F4F7"/>
            <w:tcMar>
              <w:top w:w="10" w:type="dxa"/>
              <w:left w:w="30" w:type="dxa"/>
              <w:bottom w:w="10" w:type="dxa"/>
              <w:right w:w="30" w:type="dxa"/>
            </w:tcMar>
          </w:tcPr>
          <w:p>
            <w:pPr>
              <w:spacing w:before="60" w:after="0"/>
              <w:jc w:val="center"/>
            </w:pPr>
            <w:r/>
            <w:r>
              <w:rPr>
                <w:rFonts w:ascii="Calibri" w:hAnsi="Calibri" w:eastAsia="Microsoft YaHei"/>
                <w:b/>
                <w:i w:val="0"/>
                <w:color w:val="0B2545"/>
                <w:sz w:val="26"/>
              </w:rPr>
              <w:t>1.566亿</w:t>
            </w:r>
          </w:p>
          <w:p>
            <w:pPr>
              <w:spacing w:before="0" w:after="60"/>
              <w:jc w:val="center"/>
            </w:pPr>
            <w:r>
              <w:rPr>
                <w:rFonts w:ascii="Calibri" w:hAnsi="Calibri" w:eastAsia="Microsoft YaHei"/>
                <w:b w:val="0"/>
                <w:i w:val="0"/>
                <w:color w:val="5A6472"/>
                <w:sz w:val="14"/>
              </w:rPr>
              <w:t>三年累计 EBITDA（比索）</w:t>
            </w:r>
          </w:p>
        </w:tc>
        <w:tc>
          <w:tcPr>
            <w:tcW w:type="dxa" w:w="2018"/>
            <w:shd w:val="clear" w:color="auto" w:fill="F2F4F7"/>
            <w:tcMar>
              <w:top w:w="10" w:type="dxa"/>
              <w:left w:w="30" w:type="dxa"/>
              <w:bottom w:w="10" w:type="dxa"/>
              <w:right w:w="30" w:type="dxa"/>
            </w:tcMar>
          </w:tcPr>
          <w:p>
            <w:pPr>
              <w:spacing w:before="60" w:after="0"/>
              <w:jc w:val="center"/>
            </w:pPr>
            <w:r/>
            <w:r>
              <w:rPr>
                <w:rFonts w:ascii="Calibri" w:hAnsi="Calibri" w:eastAsia="Microsoft YaHei"/>
                <w:b/>
                <w:i w:val="0"/>
                <w:color w:val="0B2545"/>
                <w:sz w:val="26"/>
              </w:rPr>
              <w:t>1.5–2.4亿</w:t>
            </w:r>
          </w:p>
          <w:p>
            <w:pPr>
              <w:spacing w:before="0" w:after="60"/>
              <w:jc w:val="center"/>
            </w:pPr>
            <w:r>
              <w:rPr>
                <w:rFonts w:ascii="Calibri" w:hAnsi="Calibri" w:eastAsia="Microsoft YaHei"/>
                <w:b w:val="0"/>
                <w:i w:val="0"/>
                <w:color w:val="5A6472"/>
                <w:sz w:val="14"/>
              </w:rPr>
              <w:t>五年上市估值（美元）</w:t>
            </w:r>
          </w:p>
        </w:tc>
      </w:tr>
    </w:tbl>
    <w:p>
      <w:pPr>
        <w:spacing w:before="0" w:after="0" w:line="12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3175"/>
        <w:gridCol w:w="1729"/>
        <w:gridCol w:w="1729"/>
        <w:gridCol w:w="1729"/>
        <w:gridCol w:w="1729"/>
      </w:tblGrid>
      <w:tr>
        <w:trPr>
          <w:tblHeader w:val="true"/>
        </w:trPr>
        <w:tc>
          <w:tcPr>
            <w:tcW w:type="dxa" w:w="317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财务指标（单位：百万比索）</w:t>
            </w:r>
          </w:p>
        </w:tc>
        <w:tc>
          <w:tcPr>
            <w:tcW w:type="dxa" w:w="1729"/>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第一年</w:t>
            </w:r>
          </w:p>
        </w:tc>
        <w:tc>
          <w:tcPr>
            <w:tcW w:type="dxa" w:w="1729"/>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第二年</w:t>
            </w:r>
          </w:p>
        </w:tc>
        <w:tc>
          <w:tcPr>
            <w:tcW w:type="dxa" w:w="1729"/>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第三年</w:t>
            </w:r>
          </w:p>
        </w:tc>
        <w:tc>
          <w:tcPr>
            <w:tcW w:type="dxa" w:w="1729"/>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三年累计</w:t>
            </w:r>
          </w:p>
        </w:tc>
      </w:tr>
      <w:tr>
        <w:tc>
          <w:tcPr>
            <w:tcW w:type="dxa" w:w="3175"/>
            <w:tcMar>
              <w:top w:w="40" w:type="dxa"/>
              <w:left w:w="90" w:type="dxa"/>
              <w:bottom w:w="40" w:type="dxa"/>
              <w:right w:w="90" w:type="dxa"/>
            </w:tcMar>
            <w:vAlign w:val="center"/>
          </w:tcPr>
          <w:p>
            <w:pPr>
              <w:keepNext/>
              <w:spacing w:before="16" w:after="16" w:lineRule="auto" w:line="264"/>
            </w:pPr>
            <w:r/>
            <w:r>
              <w:rPr>
                <w:rFonts w:ascii="Calibri" w:hAnsi="Calibri" w:eastAsia="Microsoft YaHei"/>
                <w:b w:val="0"/>
                <w:i w:val="0"/>
                <w:color w:val="1A1A1A"/>
                <w:sz w:val="15"/>
              </w:rPr>
              <w:t>营业收入</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99.0</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252.0</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510.0</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861.0</w:t>
            </w:r>
          </w:p>
        </w:tc>
      </w:tr>
      <w:tr>
        <w:tc>
          <w:tcPr>
            <w:tcW w:type="dxa" w:w="3175"/>
            <w:shd w:val="clear" w:color="auto" w:fill="F2F4F7"/>
            <w:tcMar>
              <w:top w:w="40" w:type="dxa"/>
              <w:left w:w="90" w:type="dxa"/>
              <w:bottom w:w="40" w:type="dxa"/>
              <w:right w:w="90" w:type="dxa"/>
            </w:tcMar>
            <w:vAlign w:val="center"/>
          </w:tcPr>
          <w:p>
            <w:pPr>
              <w:keepNext/>
              <w:spacing w:before="16" w:after="16" w:lineRule="auto" w:line="264"/>
            </w:pPr>
            <w:r/>
            <w:r>
              <w:rPr>
                <w:rFonts w:ascii="Calibri" w:hAnsi="Calibri" w:eastAsia="Microsoft YaHei"/>
                <w:b w:val="0"/>
                <w:i w:val="0"/>
                <w:color w:val="1A1A1A"/>
                <w:sz w:val="15"/>
              </w:rPr>
              <w:t>毛利润 / 毛利率</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46.5 / 47.0%</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113.4 / 45.0%</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224.4 / 44.0%</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384.3</w:t>
            </w:r>
          </w:p>
        </w:tc>
      </w:tr>
      <w:tr>
        <w:tc>
          <w:tcPr>
            <w:tcW w:type="dxa" w:w="3175"/>
            <w:tcMar>
              <w:top w:w="40" w:type="dxa"/>
              <w:left w:w="90" w:type="dxa"/>
              <w:bottom w:w="40" w:type="dxa"/>
              <w:right w:w="90" w:type="dxa"/>
            </w:tcMar>
            <w:vAlign w:val="center"/>
          </w:tcPr>
          <w:p>
            <w:pPr>
              <w:keepNext/>
              <w:spacing w:before="16" w:after="16" w:lineRule="auto" w:line="264"/>
            </w:pPr>
            <w:r/>
            <w:r>
              <w:rPr>
                <w:rFonts w:ascii="Calibri" w:hAnsi="Calibri" w:eastAsia="Microsoft YaHei"/>
                <w:b w:val="0"/>
                <w:i w:val="0"/>
                <w:color w:val="1A1A1A"/>
                <w:sz w:val="15"/>
              </w:rPr>
              <w:t>营业费用 / 占收入</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30.7 / 31.0%</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69.6 / 27.6%</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127.5 / 25.0%</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227.8</w:t>
            </w:r>
          </w:p>
        </w:tc>
      </w:tr>
      <w:tr>
        <w:tc>
          <w:tcPr>
            <w:tcW w:type="dxa" w:w="3175"/>
            <w:shd w:val="clear" w:color="auto" w:fill="F2F4F7"/>
            <w:tcMar>
              <w:top w:w="40" w:type="dxa"/>
              <w:left w:w="90" w:type="dxa"/>
              <w:bottom w:w="40" w:type="dxa"/>
              <w:right w:w="90" w:type="dxa"/>
            </w:tcMar>
            <w:vAlign w:val="center"/>
          </w:tcPr>
          <w:p>
            <w:pPr>
              <w:keepNext/>
              <w:spacing w:before="16" w:after="16" w:lineRule="auto" w:line="264"/>
            </w:pPr>
            <w:r/>
            <w:r>
              <w:rPr>
                <w:rFonts w:ascii="Calibri" w:hAnsi="Calibri" w:eastAsia="Microsoft YaHei"/>
                <w:b w:val="0"/>
                <w:i w:val="0"/>
                <w:color w:val="1A1A1A"/>
                <w:sz w:val="15"/>
              </w:rPr>
              <w:t>EBITDA / EBITDA 率</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15.9 / 16.0%</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43.8 / 17.4%</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96.9 / 19.0%</w:t>
            </w:r>
          </w:p>
        </w:tc>
        <w:tc>
          <w:tcPr>
            <w:tcW w:type="dxa" w:w="1729"/>
            <w:shd w:val="clear" w:color="auto" w:fill="F2F4F7"/>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156.6</w:t>
            </w:r>
          </w:p>
        </w:tc>
      </w:tr>
      <w:tr>
        <w:tc>
          <w:tcPr>
            <w:tcW w:type="dxa" w:w="3175"/>
            <w:tcMar>
              <w:top w:w="40" w:type="dxa"/>
              <w:left w:w="90" w:type="dxa"/>
              <w:bottom w:w="40" w:type="dxa"/>
              <w:right w:w="90" w:type="dxa"/>
            </w:tcMar>
            <w:vAlign w:val="center"/>
          </w:tcPr>
          <w:p>
            <w:pPr>
              <w:keepNext/>
              <w:spacing w:before="16" w:after="16" w:lineRule="auto" w:line="264"/>
            </w:pPr>
            <w:r/>
            <w:r>
              <w:rPr>
                <w:rFonts w:ascii="Calibri" w:hAnsi="Calibri" w:eastAsia="Microsoft YaHei"/>
                <w:b w:val="0"/>
                <w:i w:val="0"/>
                <w:color w:val="1A1A1A"/>
                <w:sz w:val="15"/>
              </w:rPr>
              <w:t>净利润 / 净利率</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10.3 / 10.4%</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29.1 / 11.6%</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65.3 / 12.8%</w:t>
            </w:r>
          </w:p>
        </w:tc>
        <w:tc>
          <w:tcPr>
            <w:tcW w:type="dxa" w:w="1729"/>
            <w:tcMar>
              <w:top w:w="40" w:type="dxa"/>
              <w:left w:w="90" w:type="dxa"/>
              <w:bottom w:w="40" w:type="dxa"/>
              <w:right w:w="90" w:type="dxa"/>
            </w:tcMar>
            <w:vAlign w:val="center"/>
          </w:tcPr>
          <w:p>
            <w:pPr>
              <w:keepNext/>
              <w:spacing w:before="16" w:after="16" w:lineRule="auto" w:line="264"/>
              <w:jc w:val="center"/>
            </w:pPr>
            <w:r/>
            <w:r>
              <w:rPr>
                <w:rFonts w:ascii="Calibri" w:hAnsi="Calibri" w:eastAsia="Microsoft YaHei"/>
                <w:b w:val="0"/>
                <w:i w:val="0"/>
                <w:color w:val="1A1A1A"/>
                <w:sz w:val="15"/>
              </w:rPr>
              <w:t>104.7</w:t>
            </w:r>
          </w:p>
        </w:tc>
      </w:tr>
      <w:tr>
        <w:tc>
          <w:tcPr>
            <w:tcW w:type="dxa" w:w="3175"/>
            <w:shd w:val="clear" w:color="auto" w:fill="F2F4F7"/>
            <w:tcMar>
              <w:top w:w="40" w:type="dxa"/>
              <w:left w:w="90" w:type="dxa"/>
              <w:bottom w:w="40" w:type="dxa"/>
              <w:right w:w="90" w:type="dxa"/>
            </w:tcMar>
            <w:vAlign w:val="center"/>
          </w:tcPr>
          <w:p>
            <w:pPr>
              <w:spacing w:before="16" w:after="16" w:lineRule="auto" w:line="264"/>
            </w:pPr>
            <w:r/>
            <w:r>
              <w:rPr>
                <w:rFonts w:ascii="Calibri" w:hAnsi="Calibri" w:eastAsia="Microsoft YaHei"/>
                <w:b w:val="0"/>
                <w:i w:val="0"/>
                <w:color w:val="1A1A1A"/>
                <w:sz w:val="15"/>
              </w:rPr>
              <w:t>自建城市 / 代理商 / 人员</w:t>
            </w:r>
          </w:p>
        </w:tc>
        <w:tc>
          <w:tcPr>
            <w:tcW w:type="dxa" w:w="1729"/>
            <w:shd w:val="clear" w:color="auto" w:fill="F2F4F7"/>
            <w:tcMar>
              <w:top w:w="40" w:type="dxa"/>
              <w:left w:w="90" w:type="dxa"/>
              <w:bottom w:w="40" w:type="dxa"/>
              <w:right w:w="90" w:type="dxa"/>
            </w:tcMar>
            <w:vAlign w:val="center"/>
          </w:tcPr>
          <w:p>
            <w:pPr>
              <w:spacing w:before="16" w:after="16" w:lineRule="auto" w:line="264"/>
              <w:jc w:val="center"/>
            </w:pPr>
            <w:r/>
            <w:r>
              <w:rPr>
                <w:rFonts w:ascii="Calibri" w:hAnsi="Calibri" w:eastAsia="Microsoft YaHei"/>
                <w:b w:val="0"/>
                <w:i w:val="0"/>
                <w:color w:val="1A1A1A"/>
                <w:sz w:val="15"/>
              </w:rPr>
              <w:t>2 / 60 / 18</w:t>
            </w:r>
          </w:p>
        </w:tc>
        <w:tc>
          <w:tcPr>
            <w:tcW w:type="dxa" w:w="1729"/>
            <w:shd w:val="clear" w:color="auto" w:fill="F2F4F7"/>
            <w:tcMar>
              <w:top w:w="40" w:type="dxa"/>
              <w:left w:w="90" w:type="dxa"/>
              <w:bottom w:w="40" w:type="dxa"/>
              <w:right w:w="90" w:type="dxa"/>
            </w:tcMar>
            <w:vAlign w:val="center"/>
          </w:tcPr>
          <w:p>
            <w:pPr>
              <w:spacing w:before="16" w:after="16" w:lineRule="auto" w:line="264"/>
              <w:jc w:val="center"/>
            </w:pPr>
            <w:r/>
            <w:r>
              <w:rPr>
                <w:rFonts w:ascii="Calibri" w:hAnsi="Calibri" w:eastAsia="Microsoft YaHei"/>
                <w:b w:val="0"/>
                <w:i w:val="0"/>
                <w:color w:val="1A1A1A"/>
                <w:sz w:val="15"/>
              </w:rPr>
              <w:t>4 / 180 / 38</w:t>
            </w:r>
          </w:p>
        </w:tc>
        <w:tc>
          <w:tcPr>
            <w:tcW w:type="dxa" w:w="1729"/>
            <w:shd w:val="clear" w:color="auto" w:fill="F2F4F7"/>
            <w:tcMar>
              <w:top w:w="40" w:type="dxa"/>
              <w:left w:w="90" w:type="dxa"/>
              <w:bottom w:w="40" w:type="dxa"/>
              <w:right w:w="90" w:type="dxa"/>
            </w:tcMar>
            <w:vAlign w:val="center"/>
          </w:tcPr>
          <w:p>
            <w:pPr>
              <w:spacing w:before="16" w:after="16" w:lineRule="auto" w:line="264"/>
              <w:jc w:val="center"/>
            </w:pPr>
            <w:r/>
            <w:r>
              <w:rPr>
                <w:rFonts w:ascii="Calibri" w:hAnsi="Calibri" w:eastAsia="Microsoft YaHei"/>
                <w:b w:val="0"/>
                <w:i w:val="0"/>
                <w:color w:val="1A1A1A"/>
                <w:sz w:val="15"/>
              </w:rPr>
              <w:t>7 / 440 / 72</w:t>
            </w:r>
          </w:p>
        </w:tc>
        <w:tc>
          <w:tcPr>
            <w:tcW w:type="dxa" w:w="1729"/>
            <w:shd w:val="clear" w:color="auto" w:fill="F2F4F7"/>
            <w:tcMar>
              <w:top w:w="40" w:type="dxa"/>
              <w:left w:w="90" w:type="dxa"/>
              <w:bottom w:w="40" w:type="dxa"/>
              <w:right w:w="90" w:type="dxa"/>
            </w:tcMar>
            <w:vAlign w:val="center"/>
          </w:tcPr>
          <w:p>
            <w:pPr>
              <w:spacing w:before="16" w:after="16" w:lineRule="auto" w:line="264"/>
              <w:jc w:val="center"/>
            </w:pPr>
            <w:r/>
            <w:r>
              <w:rPr>
                <w:rFonts w:ascii="Calibri" w:hAnsi="Calibri" w:eastAsia="Microsoft YaHei"/>
                <w:b w:val="0"/>
                <w:i w:val="0"/>
                <w:color w:val="1A1A1A"/>
                <w:sz w:val="15"/>
              </w:rPr>
              <w:t>人均产出 550→708 万</w:t>
            </w:r>
          </w:p>
        </w:tc>
      </w:tr>
    </w:tbl>
    <w:p>
      <w:pPr>
        <w:spacing w:before="0" w:after="0" w:line="80" w:lineRule="exact"/>
      </w:pPr>
      <w:r>
        <w:rPr>
          <w:rFonts w:ascii="Calibri" w:hAnsi="Calibri" w:eastAsia="Microsoft YaHei"/>
          <w:b w:val="0"/>
          <w:i w:val="0"/>
          <w:color w:val="1A1A1A"/>
          <w:sz w:val="2"/>
        </w:rPr>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c>
          <w:tcPr>
            <w:tcW w:type="dxa" w:w="5046"/>
            <w:tcMar>
              <w:top w:w="0" w:type="dxa"/>
              <w:left w:w="0" w:type="dxa"/>
              <w:bottom w:w="0" w:type="dxa"/>
              <w:right w:w="0" w:type="dxa"/>
            </w:tcMar>
          </w:tcPr>
          <w:p>
            <w:pPr>
              <w:spacing w:before="20" w:after="30" w:line="240" w:lineRule="auto"/>
              <w:jc w:val="center"/>
            </w:pPr>
            <w:r>
              <w:drawing>
                <wp:inline xmlns:a="http://schemas.openxmlformats.org/drawingml/2006/main" xmlns:pic="http://schemas.openxmlformats.org/drawingml/2006/picture">
                  <wp:extent cx="3078000" cy="2382287"/>
                  <wp:docPr id="2" name="Picture 2"/>
                  <wp:cNvGraphicFramePr>
                    <a:graphicFrameLocks noChangeAspect="1"/>
                  </wp:cNvGraphicFramePr>
                  <a:graphic>
                    <a:graphicData uri="http://schemas.openxmlformats.org/drawingml/2006/picture">
                      <pic:pic>
                        <pic:nvPicPr>
                          <pic:cNvPr id="0" name="rev_mix.png"/>
                          <pic:cNvPicPr/>
                        </pic:nvPicPr>
                        <pic:blipFill>
                          <a:blip r:embed="rId12"/>
                          <a:stretch>
                            <a:fillRect/>
                          </a:stretch>
                        </pic:blipFill>
                        <pic:spPr>
                          <a:xfrm>
                            <a:off x="0" y="0"/>
                            <a:ext cx="3078000" cy="2382287"/>
                          </a:xfrm>
                          <a:prstGeom prst="rect"/>
                        </pic:spPr>
                      </pic:pic>
                    </a:graphicData>
                  </a:graphic>
                </wp:inline>
              </w:drawing>
            </w:r>
          </w:p>
        </w:tc>
        <w:tc>
          <w:tcPr>
            <w:tcW w:type="dxa" w:w="5046"/>
            <w:tcMar>
              <w:top w:w="0" w:type="dxa"/>
              <w:left w:w="0" w:type="dxa"/>
              <w:bottom w:w="0" w:type="dxa"/>
              <w:right w:w="0" w:type="dxa"/>
            </w:tcMar>
          </w:tcPr>
          <w:p>
            <w:pPr>
              <w:spacing w:before="20" w:after="30" w:line="240" w:lineRule="auto"/>
              <w:jc w:val="center"/>
            </w:pPr>
            <w:r>
              <w:drawing>
                <wp:inline xmlns:a="http://schemas.openxmlformats.org/drawingml/2006/main" xmlns:pic="http://schemas.openxmlformats.org/drawingml/2006/picture">
                  <wp:extent cx="3078000" cy="2409796"/>
                  <wp:docPr id="3" name="Picture 3"/>
                  <wp:cNvGraphicFramePr>
                    <a:graphicFrameLocks noChangeAspect="1"/>
                  </wp:cNvGraphicFramePr>
                  <a:graphic>
                    <a:graphicData uri="http://schemas.openxmlformats.org/drawingml/2006/picture">
                      <pic:pic>
                        <pic:nvPicPr>
                          <pic:cNvPr id="0" name="margins.png"/>
                          <pic:cNvPicPr/>
                        </pic:nvPicPr>
                        <pic:blipFill>
                          <a:blip r:embed="rId13"/>
                          <a:stretch>
                            <a:fillRect/>
                          </a:stretch>
                        </pic:blipFill>
                        <pic:spPr>
                          <a:xfrm>
                            <a:off x="0" y="0"/>
                            <a:ext cx="3078000" cy="2409796"/>
                          </a:xfrm>
                          <a:prstGeom prst="rect"/>
                        </pic:spPr>
                      </pic:pic>
                    </a:graphicData>
                  </a:graphic>
                </wp:inline>
              </w:drawing>
            </w:r>
          </w:p>
        </w:tc>
      </w:tr>
    </w:tbl>
    <w:p>
      <w:pPr>
        <w:spacing w:before="0" w:after="80" w:lineRule="auto" w:line="264"/>
        <w:jc w:val="both"/>
      </w:pPr>
      <w:r>
        <w:rPr>
          <w:rFonts w:ascii="Calibri" w:hAnsi="Calibri" w:eastAsia="Microsoft YaHei"/>
          <w:b w:val="0"/>
          <w:i w:val="0"/>
          <w:color w:val="5A6472"/>
          <w:sz w:val="14"/>
        </w:rPr>
        <w:t>注：汇率 1 美元 = 18.50 比索。综合毛利率由 50% 调降至 47%（第二、三年 45%／44%），系放量所需的渠道让价与第三年起转入常规补货的共同影响，已如实计入。</w:t>
      </w:r>
    </w:p>
    <w:p>
      <w:pPr>
        <w:keepNext/>
        <w:spacing w:before="0" w:after="60" w:lineRule="auto" w:line="283"/>
      </w:pPr>
      <w:r>
        <w:rPr>
          <w:rFonts w:ascii="Calibri" w:hAnsi="Calibri" w:eastAsia="Microsoft YaHei"/>
          <w:b/>
          <w:i w:val="0"/>
          <w:color w:val="0B2545"/>
          <w:sz w:val="17"/>
        </w:rPr>
        <w:t>首 年 分 季 度 损 益   FY1 QUARTERLY P&amp;L</w:t>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2608"/>
        <w:gridCol w:w="1417"/>
        <w:gridCol w:w="1417"/>
        <w:gridCol w:w="1417"/>
        <w:gridCol w:w="1417"/>
        <w:gridCol w:w="1814"/>
      </w:tblGrid>
      <w:tr>
        <w:trPr>
          <w:tblHeader w:val="true"/>
        </w:trPr>
        <w:tc>
          <w:tcPr>
            <w:tcW w:type="dxa" w:w="2608"/>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项目（百万比索）</w:t>
            </w:r>
          </w:p>
        </w:tc>
        <w:tc>
          <w:tcPr>
            <w:tcW w:type="dxa" w:w="141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第一季度</w:t>
            </w:r>
          </w:p>
        </w:tc>
        <w:tc>
          <w:tcPr>
            <w:tcW w:type="dxa" w:w="141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第二季度</w:t>
            </w:r>
          </w:p>
        </w:tc>
        <w:tc>
          <w:tcPr>
            <w:tcW w:type="dxa" w:w="141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第三季度</w:t>
            </w:r>
          </w:p>
        </w:tc>
        <w:tc>
          <w:tcPr>
            <w:tcW w:type="dxa" w:w="141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第四季度</w:t>
            </w:r>
          </w:p>
        </w:tc>
        <w:tc>
          <w:tcPr>
            <w:tcW w:type="dxa" w:w="181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第一年合计</w:t>
            </w:r>
          </w:p>
        </w:tc>
      </w:tr>
      <w:tr>
        <w:tc>
          <w:tcPr>
            <w:tcW w:type="dxa" w:w="2608"/>
            <w:tcMar>
              <w:top w:w="40" w:type="dxa"/>
              <w:left w:w="90" w:type="dxa"/>
              <w:bottom w:w="40" w:type="dxa"/>
              <w:right w:w="90" w:type="dxa"/>
            </w:tcMar>
            <w:vAlign w:val="center"/>
          </w:tcPr>
          <w:p>
            <w:pPr>
              <w:keepNext/>
              <w:spacing w:before="11" w:after="11" w:lineRule="auto" w:line="264"/>
            </w:pPr>
            <w:r/>
            <w:r>
              <w:rPr>
                <w:rFonts w:ascii="Calibri" w:hAnsi="Calibri" w:eastAsia="Microsoft YaHei"/>
                <w:b w:val="0"/>
                <w:i w:val="0"/>
                <w:color w:val="1A1A1A"/>
                <w:sz w:val="14"/>
              </w:rPr>
              <w:t>营业收入</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12.00</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21.00</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28.00</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38.00</w:t>
            </w:r>
          </w:p>
        </w:tc>
        <w:tc>
          <w:tcPr>
            <w:tcW w:type="dxa" w:w="1814"/>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99.00</w:t>
            </w:r>
          </w:p>
        </w:tc>
      </w:tr>
      <w:tr>
        <w:tc>
          <w:tcPr>
            <w:tcW w:type="dxa" w:w="2608"/>
            <w:shd w:val="clear" w:color="auto" w:fill="F2F4F7"/>
            <w:tcMar>
              <w:top w:w="40" w:type="dxa"/>
              <w:left w:w="90" w:type="dxa"/>
              <w:bottom w:w="40" w:type="dxa"/>
              <w:right w:w="90" w:type="dxa"/>
            </w:tcMar>
            <w:vAlign w:val="center"/>
          </w:tcPr>
          <w:p>
            <w:pPr>
              <w:keepNext/>
              <w:spacing w:before="11" w:after="11" w:lineRule="auto" w:line="264"/>
            </w:pPr>
            <w:r/>
            <w:r>
              <w:rPr>
                <w:rFonts w:ascii="Calibri" w:hAnsi="Calibri" w:eastAsia="Microsoft YaHei"/>
                <w:b w:val="0"/>
                <w:i w:val="0"/>
                <w:color w:val="1A1A1A"/>
                <w:sz w:val="14"/>
              </w:rPr>
              <w:t>毛利润（毛利率 47%）</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5.64</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9.87</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13.16</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17.86</w:t>
            </w:r>
          </w:p>
        </w:tc>
        <w:tc>
          <w:tcPr>
            <w:tcW w:type="dxa" w:w="1814"/>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46.53</w:t>
            </w:r>
          </w:p>
        </w:tc>
      </w:tr>
      <w:tr>
        <w:tc>
          <w:tcPr>
            <w:tcW w:type="dxa" w:w="2608"/>
            <w:tcMar>
              <w:top w:w="40" w:type="dxa"/>
              <w:left w:w="90" w:type="dxa"/>
              <w:bottom w:w="40" w:type="dxa"/>
              <w:right w:w="90" w:type="dxa"/>
            </w:tcMar>
            <w:vAlign w:val="center"/>
          </w:tcPr>
          <w:p>
            <w:pPr>
              <w:keepNext/>
              <w:spacing w:before="11" w:after="11" w:lineRule="auto" w:line="264"/>
            </w:pPr>
            <w:r/>
            <w:r>
              <w:rPr>
                <w:rFonts w:ascii="Calibri" w:hAnsi="Calibri" w:eastAsia="Microsoft YaHei"/>
                <w:b w:val="0"/>
                <w:i w:val="0"/>
                <w:color w:val="1A1A1A"/>
                <w:sz w:val="14"/>
              </w:rPr>
              <w:t>营业费用</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6.40</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7.30</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8.00</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8.95</w:t>
            </w:r>
          </w:p>
        </w:tc>
        <w:tc>
          <w:tcPr>
            <w:tcW w:type="dxa" w:w="1814"/>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30.65</w:t>
            </w:r>
          </w:p>
        </w:tc>
      </w:tr>
      <w:tr>
        <w:tc>
          <w:tcPr>
            <w:tcW w:type="dxa" w:w="2608"/>
            <w:shd w:val="clear" w:color="auto" w:fill="F2F4F7"/>
            <w:tcMar>
              <w:top w:w="40" w:type="dxa"/>
              <w:left w:w="90" w:type="dxa"/>
              <w:bottom w:w="40" w:type="dxa"/>
              <w:right w:w="90" w:type="dxa"/>
            </w:tcMar>
            <w:vAlign w:val="center"/>
          </w:tcPr>
          <w:p>
            <w:pPr>
              <w:keepNext/>
              <w:spacing w:before="11" w:after="11" w:lineRule="auto" w:line="264"/>
            </w:pPr>
            <w:r/>
            <w:r>
              <w:rPr>
                <w:rFonts w:ascii="Calibri" w:hAnsi="Calibri" w:eastAsia="Microsoft YaHei"/>
                <w:b w:val="0"/>
                <w:i w:val="0"/>
                <w:color w:val="1A1A1A"/>
                <w:sz w:val="14"/>
              </w:rPr>
              <w:t>EBITDA（EBITDA 率）</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(0.76)</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2.57（12.2%）</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5.16（18.4%）</w:t>
            </w:r>
          </w:p>
        </w:tc>
        <w:tc>
          <w:tcPr>
            <w:tcW w:type="dxa" w:w="1417"/>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8.91（23.4%）</w:t>
            </w:r>
          </w:p>
        </w:tc>
        <w:tc>
          <w:tcPr>
            <w:tcW w:type="dxa" w:w="1814"/>
            <w:shd w:val="clear" w:color="auto" w:fill="F2F4F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15.88（16.0%）</w:t>
            </w:r>
          </w:p>
        </w:tc>
      </w:tr>
      <w:tr>
        <w:tc>
          <w:tcPr>
            <w:tcW w:type="dxa" w:w="2608"/>
            <w:tcMar>
              <w:top w:w="40" w:type="dxa"/>
              <w:left w:w="90" w:type="dxa"/>
              <w:bottom w:w="40" w:type="dxa"/>
              <w:right w:w="90" w:type="dxa"/>
            </w:tcMar>
            <w:vAlign w:val="center"/>
          </w:tcPr>
          <w:p>
            <w:pPr>
              <w:keepNext/>
              <w:spacing w:before="11" w:after="11" w:lineRule="auto" w:line="264"/>
            </w:pPr>
            <w:r/>
            <w:r>
              <w:rPr>
                <w:rFonts w:ascii="Calibri" w:hAnsi="Calibri" w:eastAsia="Microsoft YaHei"/>
                <w:b w:val="0"/>
                <w:i w:val="0"/>
                <w:color w:val="1A1A1A"/>
                <w:sz w:val="14"/>
              </w:rPr>
              <w:t>净利润</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(1.03)</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1.90</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3.39</w:t>
            </w:r>
          </w:p>
        </w:tc>
        <w:tc>
          <w:tcPr>
            <w:tcW w:type="dxa" w:w="1417"/>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6.02</w:t>
            </w:r>
          </w:p>
        </w:tc>
        <w:tc>
          <w:tcPr>
            <w:tcW w:type="dxa" w:w="1814"/>
            <w:tcMar>
              <w:top w:w="40" w:type="dxa"/>
              <w:left w:w="90" w:type="dxa"/>
              <w:bottom w:w="40" w:type="dxa"/>
              <w:right w:w="90" w:type="dxa"/>
            </w:tcMar>
            <w:vAlign w:val="center"/>
          </w:tcPr>
          <w:p>
            <w:pPr>
              <w:keepNext/>
              <w:spacing w:before="11" w:after="11" w:lineRule="auto" w:line="264"/>
              <w:jc w:val="center"/>
            </w:pPr>
            <w:r/>
            <w:r>
              <w:rPr>
                <w:rFonts w:ascii="Calibri" w:hAnsi="Calibri" w:eastAsia="Microsoft YaHei"/>
                <w:b w:val="0"/>
                <w:i w:val="0"/>
                <w:color w:val="1A1A1A"/>
                <w:sz w:val="14"/>
              </w:rPr>
              <w:t>10.28</w:t>
            </w:r>
          </w:p>
        </w:tc>
      </w:tr>
      <w:tr>
        <w:tc>
          <w:tcPr>
            <w:tcW w:type="dxa" w:w="2608"/>
            <w:shd w:val="clear" w:color="auto" w:fill="F2F4F7"/>
            <w:tcMar>
              <w:top w:w="40" w:type="dxa"/>
              <w:left w:w="90" w:type="dxa"/>
              <w:bottom w:w="40" w:type="dxa"/>
              <w:right w:w="90" w:type="dxa"/>
            </w:tcMar>
            <w:vAlign w:val="center"/>
          </w:tcPr>
          <w:p>
            <w:pPr>
              <w:spacing w:before="11" w:after="11" w:lineRule="auto" w:line="264"/>
            </w:pPr>
            <w:r/>
            <w:r>
              <w:rPr>
                <w:rFonts w:ascii="Calibri" w:hAnsi="Calibri" w:eastAsia="Microsoft YaHei"/>
                <w:b w:val="0"/>
                <w:i w:val="0"/>
                <w:color w:val="1A1A1A"/>
                <w:sz w:val="14"/>
              </w:rPr>
              <w:t>经营现金流</w:t>
            </w:r>
          </w:p>
        </w:tc>
        <w:tc>
          <w:tcPr>
            <w:tcW w:type="dxa" w:w="1417"/>
            <w:shd w:val="clear" w:color="auto" w:fill="F2F4F7"/>
            <w:tcMar>
              <w:top w:w="40" w:type="dxa"/>
              <w:left w:w="90" w:type="dxa"/>
              <w:bottom w:w="40" w:type="dxa"/>
              <w:right w:w="90" w:type="dxa"/>
            </w:tcMar>
            <w:vAlign w:val="center"/>
          </w:tcPr>
          <w:p>
            <w:pPr>
              <w:spacing w:before="11" w:after="11" w:lineRule="auto" w:line="264"/>
              <w:jc w:val="center"/>
            </w:pPr>
            <w:r/>
            <w:r>
              <w:rPr>
                <w:rFonts w:ascii="Calibri" w:hAnsi="Calibri" w:eastAsia="Microsoft YaHei"/>
                <w:b w:val="0"/>
                <w:i w:val="0"/>
                <w:color w:val="1A1A1A"/>
                <w:sz w:val="14"/>
              </w:rPr>
              <w:t>启动投资</w:t>
            </w:r>
          </w:p>
        </w:tc>
        <w:tc>
          <w:tcPr>
            <w:tcW w:type="dxa" w:w="1417"/>
            <w:shd w:val="clear" w:color="auto" w:fill="F2F4F7"/>
            <w:tcMar>
              <w:top w:w="40" w:type="dxa"/>
              <w:left w:w="90" w:type="dxa"/>
              <w:bottom w:w="40" w:type="dxa"/>
              <w:right w:w="90" w:type="dxa"/>
            </w:tcMar>
            <w:vAlign w:val="center"/>
          </w:tcPr>
          <w:p>
            <w:pPr>
              <w:spacing w:before="11" w:after="11" w:lineRule="auto" w:line="264"/>
              <w:jc w:val="center"/>
            </w:pPr>
            <w:r/>
            <w:r>
              <w:rPr>
                <w:rFonts w:ascii="Calibri" w:hAnsi="Calibri" w:eastAsia="Microsoft YaHei"/>
                <w:b w:val="0"/>
                <w:i w:val="0"/>
                <w:color w:val="1A1A1A"/>
                <w:sz w:val="14"/>
              </w:rPr>
              <w:t>自给</w:t>
            </w:r>
          </w:p>
        </w:tc>
        <w:tc>
          <w:tcPr>
            <w:tcW w:type="dxa" w:w="1417"/>
            <w:shd w:val="clear" w:color="auto" w:fill="F2F4F7"/>
            <w:tcMar>
              <w:top w:w="40" w:type="dxa"/>
              <w:left w:w="90" w:type="dxa"/>
              <w:bottom w:w="40" w:type="dxa"/>
              <w:right w:w="90" w:type="dxa"/>
            </w:tcMar>
            <w:vAlign w:val="center"/>
          </w:tcPr>
          <w:p>
            <w:pPr>
              <w:spacing w:before="11" w:after="11" w:lineRule="auto" w:line="264"/>
              <w:jc w:val="center"/>
            </w:pPr>
            <w:r/>
            <w:r>
              <w:rPr>
                <w:rFonts w:ascii="Calibri" w:hAnsi="Calibri" w:eastAsia="Microsoft YaHei"/>
                <w:b w:val="0"/>
                <w:i w:val="0"/>
                <w:color w:val="1A1A1A"/>
                <w:sz w:val="14"/>
              </w:rPr>
              <w:t>自给并再投资</w:t>
            </w:r>
          </w:p>
        </w:tc>
        <w:tc>
          <w:tcPr>
            <w:tcW w:type="dxa" w:w="1417"/>
            <w:shd w:val="clear" w:color="auto" w:fill="F2F4F7"/>
            <w:tcMar>
              <w:top w:w="40" w:type="dxa"/>
              <w:left w:w="90" w:type="dxa"/>
              <w:bottom w:w="40" w:type="dxa"/>
              <w:right w:w="90" w:type="dxa"/>
            </w:tcMar>
            <w:vAlign w:val="center"/>
          </w:tcPr>
          <w:p>
            <w:pPr>
              <w:spacing w:before="11" w:after="11" w:lineRule="auto" w:line="264"/>
              <w:jc w:val="center"/>
            </w:pPr>
            <w:r/>
            <w:r>
              <w:rPr>
                <w:rFonts w:ascii="Calibri" w:hAnsi="Calibri" w:eastAsia="Microsoft YaHei"/>
                <w:b w:val="0"/>
                <w:i w:val="0"/>
                <w:color w:val="1A1A1A"/>
                <w:sz w:val="14"/>
              </w:rPr>
              <w:t>自给并再投资</w:t>
            </w:r>
          </w:p>
        </w:tc>
        <w:tc>
          <w:tcPr>
            <w:tcW w:type="dxa" w:w="1814"/>
            <w:shd w:val="clear" w:color="auto" w:fill="F2F4F7"/>
            <w:tcMar>
              <w:top w:w="40" w:type="dxa"/>
              <w:left w:w="90" w:type="dxa"/>
              <w:bottom w:w="40" w:type="dxa"/>
              <w:right w:w="90" w:type="dxa"/>
            </w:tcMar>
            <w:vAlign w:val="center"/>
          </w:tcPr>
          <w:p>
            <w:pPr>
              <w:spacing w:before="11" w:after="11" w:lineRule="auto" w:line="264"/>
              <w:jc w:val="center"/>
            </w:pPr>
            <w:r/>
            <w:r>
              <w:rPr>
                <w:rFonts w:ascii="Calibri" w:hAnsi="Calibri" w:eastAsia="Microsoft YaHei"/>
                <w:b w:val="0"/>
                <w:i w:val="0"/>
                <w:color w:val="1A1A1A"/>
                <w:sz w:val="14"/>
              </w:rPr>
              <w:t>第 4 个月起内生</w:t>
            </w:r>
          </w:p>
        </w:tc>
      </w:tr>
    </w:tbl>
    <w:p>
      <w:pPr>
        <w:spacing w:before="0" w:after="0" w:line="80" w:lineRule="exact"/>
      </w:pPr>
      <w:r>
        <w:rPr>
          <w:rFonts w:ascii="Calibri" w:hAnsi="Calibri" w:eastAsia="Microsoft YaHei"/>
          <w:b w:val="0"/>
          <w:i w:val="0"/>
          <w:color w:val="1A1A1A"/>
          <w:sz w:val="2"/>
        </w:rPr>
      </w:r>
    </w:p>
    <w:p>
      <w:pPr>
        <w:spacing w:before="0" w:after="0" w:line="140" w:lineRule="exact"/>
      </w:pPr>
      <w:r>
        <w:rPr>
          <w:rFonts w:ascii="Calibri" w:hAnsi="Calibri" w:eastAsia="Microsoft YaHei"/>
          <w:b w:val="0"/>
          <w:i w:val="0"/>
          <w:color w:val="1A1A1A"/>
          <w:sz w:val="2"/>
        </w:rPr>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02</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市场机会、双城战略与三年扩张</w:t>
            </w:r>
            <w:r>
              <w:rPr>
                <w:rFonts w:ascii="Calibri" w:hAnsi="Calibri" w:eastAsia="Microsoft YaHei"/>
                <w:b w:val="0"/>
                <w:i w:val="0"/>
                <w:color w:val="5A6472"/>
                <w:sz w:val="15"/>
              </w:rPr>
              <w:t xml:space="preserve">   MARKET &amp; EXPANSION</w:t>
            </w:r>
          </w:p>
        </w:tc>
      </w:tr>
    </w:tbl>
    <w:p>
      <w:pPr>
        <w:keepNext/>
        <w:spacing w:before="0" w:after="0" w:line="50" w:lineRule="exact"/>
      </w:pPr>
      <w:r>
        <w:rPr>
          <w:rFonts w:ascii="Calibri" w:hAnsi="Calibri" w:eastAsia="Microsoft YaHei"/>
          <w:b w:val="0"/>
          <w:i w:val="0"/>
          <w:color w:val="1A1A1A"/>
          <w:sz w:val="2"/>
        </w:rPr>
      </w:r>
    </w:p>
    <w:p>
      <w:pPr>
        <w:spacing w:before="20" w:after="30" w:line="240" w:lineRule="auto"/>
        <w:jc w:val="center"/>
      </w:pPr>
      <w:r>
        <w:drawing>
          <wp:inline xmlns:a="http://schemas.openxmlformats.org/drawingml/2006/main" xmlns:pic="http://schemas.openxmlformats.org/drawingml/2006/picture">
            <wp:extent cx="6263999" cy="2791930"/>
            <wp:docPr id="4" name="Picture 4"/>
            <wp:cNvGraphicFramePr>
              <a:graphicFrameLocks noChangeAspect="1"/>
            </wp:cNvGraphicFramePr>
            <a:graphic>
              <a:graphicData uri="http://schemas.openxmlformats.org/drawingml/2006/picture">
                <pic:pic>
                  <pic:nvPicPr>
                    <pic:cNvPr id="0" name="map.png"/>
                    <pic:cNvPicPr/>
                  </pic:nvPicPr>
                  <pic:blipFill>
                    <a:blip r:embed="rId14"/>
                    <a:stretch>
                      <a:fillRect/>
                    </a:stretch>
                  </pic:blipFill>
                  <pic:spPr>
                    <a:xfrm>
                      <a:off x="0" y="0"/>
                      <a:ext cx="6263999" cy="2791930"/>
                    </a:xfrm>
                    <a:prstGeom prst="rect"/>
                  </pic:spPr>
                </pic:pic>
              </a:graphicData>
            </a:graphic>
          </wp:inline>
        </w:drawing>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1361"/>
        <w:gridCol w:w="4365"/>
        <w:gridCol w:w="1531"/>
        <w:gridCol w:w="1417"/>
        <w:gridCol w:w="1417"/>
      </w:tblGrid>
      <w:tr>
        <w:trPr>
          <w:tblHeader w:val="true"/>
        </w:trPr>
        <w:tc>
          <w:tcPr>
            <w:tcW w:type="dxa" w:w="136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市场层级</w:t>
            </w:r>
          </w:p>
        </w:tc>
        <w:tc>
          <w:tcPr>
            <w:tcW w:type="dxa" w:w="436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口径定义</w:t>
            </w:r>
          </w:p>
        </w:tc>
        <w:tc>
          <w:tcPr>
            <w:tcW w:type="dxa" w:w="153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规模（比索）</w:t>
            </w:r>
          </w:p>
        </w:tc>
        <w:tc>
          <w:tcPr>
            <w:tcW w:type="dxa" w:w="141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规模（美元）</w:t>
            </w:r>
          </w:p>
        </w:tc>
        <w:tc>
          <w:tcPr>
            <w:tcW w:type="dxa" w:w="141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CLG 份额</w:t>
            </w:r>
          </w:p>
        </w:tc>
      </w:tr>
      <w:tr>
        <w:tc>
          <w:tcPr>
            <w:tcW w:type="dxa" w:w="1361"/>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4"/>
              </w:rPr>
              <w:t>TAM 总体市场</w:t>
            </w:r>
          </w:p>
        </w:tc>
        <w:tc>
          <w:tcPr>
            <w:tcW w:type="dxa" w:w="4365"/>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4"/>
              </w:rPr>
              <w:t>全国六大品类批发总值（估算，基于 INEGI 分行业收入与进口统计三角测算）</w:t>
            </w:r>
          </w:p>
        </w:tc>
        <w:tc>
          <w:tcPr>
            <w:tcW w:type="dxa" w:w="1531"/>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4"/>
              </w:rPr>
              <w:t>5,200 亿</w:t>
            </w:r>
          </w:p>
        </w:tc>
        <w:tc>
          <w:tcPr>
            <w:tcW w:type="dxa" w:w="141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4"/>
              </w:rPr>
              <w:t>281 亿</w:t>
            </w:r>
          </w:p>
        </w:tc>
        <w:tc>
          <w:tcPr>
            <w:tcW w:type="dxa" w:w="141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4"/>
              </w:rPr>
              <w:t>—</w:t>
            </w:r>
          </w:p>
        </w:tc>
      </w:tr>
      <w:tr>
        <w:tc>
          <w:tcPr>
            <w:tcW w:type="dxa" w:w="1361"/>
            <w:shd w:val="clear" w:color="auto" w:fill="F2F4F7"/>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4"/>
              </w:rPr>
              <w:t>SAM 可服务市场</w:t>
            </w:r>
          </w:p>
        </w:tc>
        <w:tc>
          <w:tcPr>
            <w:tcW w:type="dxa" w:w="4365"/>
            <w:shd w:val="clear" w:color="auto" w:fill="F2F4F7"/>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4"/>
              </w:rPr>
              <w:t>双城都会区（墨城 2,200万人 + 蒙特雷 550万人）占全国批发吞吐约 32%，其中亚洲进口高性价比细分约 35%</w:t>
            </w:r>
          </w:p>
        </w:tc>
        <w:tc>
          <w:tcPr>
            <w:tcW w:type="dxa" w:w="1531"/>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4"/>
              </w:rPr>
              <w:t>583 亿</w:t>
            </w:r>
          </w:p>
        </w:tc>
        <w:tc>
          <w:tcPr>
            <w:tcW w:type="dxa" w:w="1417"/>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4"/>
              </w:rPr>
              <w:t>31.5 亿</w:t>
            </w:r>
          </w:p>
        </w:tc>
        <w:tc>
          <w:tcPr>
            <w:tcW w:type="dxa" w:w="1417"/>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4"/>
              </w:rPr>
              <w:t>—</w:t>
            </w:r>
          </w:p>
        </w:tc>
      </w:tr>
      <w:tr>
        <w:tc>
          <w:tcPr>
            <w:tcW w:type="dxa" w:w="1361"/>
            <w:tcMar>
              <w:top w:w="40" w:type="dxa"/>
              <w:left w:w="90" w:type="dxa"/>
              <w:bottom w:w="40" w:type="dxa"/>
              <w:right w:w="90" w:type="dxa"/>
            </w:tcMar>
            <w:vAlign w:val="center"/>
          </w:tcPr>
          <w:p>
            <w:pPr>
              <w:spacing w:before="14" w:after="14" w:lineRule="auto" w:line="264"/>
            </w:pPr>
            <w:r/>
            <w:r>
              <w:rPr>
                <w:rFonts w:ascii="Calibri" w:hAnsi="Calibri" w:eastAsia="Microsoft YaHei"/>
                <w:b w:val="0"/>
                <w:i w:val="0"/>
                <w:color w:val="1A1A1A"/>
                <w:sz w:val="14"/>
              </w:rPr>
              <w:t>SOM 可获得份额</w:t>
            </w:r>
          </w:p>
        </w:tc>
        <w:tc>
          <w:tcPr>
            <w:tcW w:type="dxa" w:w="4365"/>
            <w:tcMar>
              <w:top w:w="40" w:type="dxa"/>
              <w:left w:w="90" w:type="dxa"/>
              <w:bottom w:w="40" w:type="dxa"/>
              <w:right w:w="90" w:type="dxa"/>
            </w:tcMar>
            <w:vAlign w:val="center"/>
          </w:tcPr>
          <w:p>
            <w:pPr>
              <w:spacing w:before="14" w:after="14" w:lineRule="auto" w:line="264"/>
            </w:pPr>
            <w:r/>
            <w:r>
              <w:rPr>
                <w:rFonts w:ascii="Calibri" w:hAnsi="Calibri" w:eastAsia="Microsoft YaHei"/>
                <w:b w:val="0"/>
                <w:i w:val="0"/>
                <w:color w:val="1A1A1A"/>
                <w:sz w:val="14"/>
              </w:rPr>
              <w:t>第一年 0.99 亿 / 第二年 2.52 亿 / 第三年 5.10 亿比索</w:t>
            </w:r>
          </w:p>
        </w:tc>
        <w:tc>
          <w:tcPr>
            <w:tcW w:type="dxa" w:w="1531"/>
            <w:tcMar>
              <w:top w:w="40" w:type="dxa"/>
              <w:left w:w="90" w:type="dxa"/>
              <w:bottom w:w="40" w:type="dxa"/>
              <w:right w:w="90" w:type="dxa"/>
            </w:tcMar>
            <w:vAlign w:val="center"/>
          </w:tcPr>
          <w:p>
            <w:pPr>
              <w:spacing w:before="14" w:after="14" w:lineRule="auto" w:line="264"/>
              <w:jc w:val="center"/>
            </w:pPr>
            <w:r/>
            <w:r>
              <w:rPr>
                <w:rFonts w:ascii="Calibri" w:hAnsi="Calibri" w:eastAsia="Microsoft YaHei"/>
                <w:b w:val="0"/>
                <w:i w:val="0"/>
                <w:color w:val="1A1A1A"/>
                <w:sz w:val="14"/>
              </w:rPr>
              <w:t>5.10 亿（Y3）</w:t>
            </w:r>
          </w:p>
        </w:tc>
        <w:tc>
          <w:tcPr>
            <w:tcW w:type="dxa" w:w="1417"/>
            <w:tcMar>
              <w:top w:w="40" w:type="dxa"/>
              <w:left w:w="90" w:type="dxa"/>
              <w:bottom w:w="40" w:type="dxa"/>
              <w:right w:w="90" w:type="dxa"/>
            </w:tcMar>
            <w:vAlign w:val="center"/>
          </w:tcPr>
          <w:p>
            <w:pPr>
              <w:spacing w:before="14" w:after="14" w:lineRule="auto" w:line="264"/>
              <w:jc w:val="center"/>
            </w:pPr>
            <w:r/>
            <w:r>
              <w:rPr>
                <w:rFonts w:ascii="Calibri" w:hAnsi="Calibri" w:eastAsia="Microsoft YaHei"/>
                <w:b w:val="0"/>
                <w:i w:val="0"/>
                <w:color w:val="1A1A1A"/>
                <w:sz w:val="14"/>
              </w:rPr>
              <w:t>0.28 亿</w:t>
            </w:r>
          </w:p>
        </w:tc>
        <w:tc>
          <w:tcPr>
            <w:tcW w:type="dxa" w:w="1417"/>
            <w:tcMar>
              <w:top w:w="40" w:type="dxa"/>
              <w:left w:w="90" w:type="dxa"/>
              <w:bottom w:w="40" w:type="dxa"/>
              <w:right w:w="90" w:type="dxa"/>
            </w:tcMar>
            <w:vAlign w:val="center"/>
          </w:tcPr>
          <w:p>
            <w:pPr>
              <w:spacing w:before="14" w:after="14" w:lineRule="auto" w:line="264"/>
              <w:jc w:val="center"/>
            </w:pPr>
            <w:r/>
            <w:r>
              <w:rPr>
                <w:rFonts w:ascii="Calibri" w:hAnsi="Calibri" w:eastAsia="Microsoft YaHei"/>
                <w:b w:val="0"/>
                <w:i w:val="0"/>
                <w:color w:val="1A1A1A"/>
                <w:sz w:val="14"/>
              </w:rPr>
              <w:t>Y1 0.17% → Y3 0.54%</w:t>
            </w:r>
          </w:p>
        </w:tc>
      </w:tr>
    </w:tbl>
    <w:p>
      <w:pPr>
        <w:spacing w:before="0" w:after="0" w:line="80" w:lineRule="exact"/>
      </w:pPr>
      <w:r>
        <w:rPr>
          <w:rFonts w:ascii="Calibri" w:hAnsi="Calibri" w:eastAsia="Microsoft YaHei"/>
          <w:b w:val="0"/>
          <w:i w:val="0"/>
          <w:color w:val="1A1A1A"/>
          <w:sz w:val="2"/>
        </w:rPr>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c>
          <w:tcPr>
            <w:tcW w:type="dxa" w:w="5046"/>
            <w:tcBorders>
              <w:top w:val="single" w:sz="2" w:space="0" w:color="C9D1DA"/>
              <w:left w:val="single" w:sz="18" w:space="0" w:color="B08D3F"/>
              <w:bottom w:val="single" w:sz="2" w:space="0" w:color="C9D1DA"/>
              <w:right w:val="single" w:sz="2" w:space="0" w:color="C9D1DA"/>
            </w:tcBorders>
            <w:shd w:val="clear" w:color="auto" w:fill="FFFFFF"/>
            <w:tcMar>
              <w:top w:w="20" w:type="dxa"/>
              <w:left w:w="120" w:type="dxa"/>
              <w:bottom w:w="20" w:type="dxa"/>
              <w:right w:w="80" w:type="dxa"/>
            </w:tcMar>
          </w:tcPr>
          <w:p>
            <w:pPr>
              <w:spacing w:before="40" w:after="20"/>
            </w:pPr>
            <w:r/>
            <w:r>
              <w:rPr>
                <w:rFonts w:ascii="Calibri" w:hAnsi="Calibri" w:eastAsia="Microsoft YaHei"/>
                <w:b/>
                <w:i w:val="0"/>
                <w:color w:val="0B2545"/>
                <w:sz w:val="17"/>
              </w:rPr>
              <w:t>墨西哥城 CDMX —— 量 ( 现金引擎 )</w:t>
            </w:r>
          </w:p>
          <w:p>
            <w:pPr>
              <w:spacing w:before="0" w:after="24" w:line="264" w:lineRule="auto"/>
              <w:ind w:left="147" w:hanging="147"/>
            </w:pPr>
            <w:r>
              <w:rPr>
                <w:rFonts w:ascii="Calibri" w:hAnsi="Calibri" w:eastAsia="Microsoft YaHei"/>
                <w:b w:val="0"/>
                <w:i w:val="0"/>
                <w:color w:val="5A6472"/>
                <w:sz w:val="14"/>
              </w:rPr>
              <w:t>· 伊斯塔帕拉帕 Central de Abastos：美洲最大批发市场，占地约 328 公顷、日均人流 9 万人次，为全国价格定价节点。</w:t>
            </w:r>
          </w:p>
          <w:p>
            <w:pPr>
              <w:spacing w:before="0" w:after="24" w:line="264" w:lineRule="auto"/>
              <w:ind w:left="147" w:hanging="147"/>
            </w:pPr>
            <w:r>
              <w:rPr>
                <w:rFonts w:ascii="Calibri" w:hAnsi="Calibri" w:eastAsia="Microsoft YaHei"/>
                <w:b w:val="0"/>
                <w:i w:val="0"/>
                <w:color w:val="5A6472"/>
                <w:sz w:val="14"/>
              </w:rPr>
              <w:t>· Tepito / La Merced 商圈数千家进口再批发商，是 CLG 的直接客户而非竞争者——按柜采购、全国分拨。</w:t>
            </w:r>
          </w:p>
          <w:p>
            <w:pPr>
              <w:spacing w:before="0" w:after="24" w:line="264" w:lineRule="auto"/>
              <w:ind w:left="147" w:hanging="147"/>
            </w:pPr>
            <w:r>
              <w:rPr>
                <w:rFonts w:ascii="Calibri" w:hAnsi="Calibri" w:eastAsia="Microsoft YaHei"/>
                <w:b w:val="0"/>
                <w:i w:val="0"/>
                <w:color w:val="5A6472"/>
                <w:sz w:val="14"/>
              </w:rPr>
              <w:t>· 寄售货源就在合作方墨西哥城仓库，CLG 只需 800㎡ 展厅与总部办公，无需自建大仓。</w:t>
            </w:r>
          </w:p>
          <w:p>
            <w:pPr>
              <w:spacing w:before="0" w:after="50" w:line="264" w:lineRule="auto"/>
              <w:ind w:left="147" w:hanging="147"/>
            </w:pPr>
            <w:r>
              <w:rPr>
                <w:rFonts w:ascii="Calibri" w:hAnsi="Calibri" w:eastAsia="Microsoft YaHei"/>
                <w:b w:val="0"/>
                <w:i w:val="0"/>
                <w:color w:val="5A6472"/>
                <w:sz w:val="14"/>
              </w:rPr>
              <w:t>· 客户特征：大批量、价格敏感、现金结算——回款快、应收风险低。</w:t>
            </w:r>
          </w:p>
        </w:tc>
        <w:tc>
          <w:tcPr>
            <w:tcW w:type="dxa" w:w="5046"/>
            <w:tcBorders>
              <w:top w:val="single" w:sz="2" w:space="0" w:color="C9D1DA"/>
              <w:left w:val="single" w:sz="18" w:space="0" w:color="B08D3F"/>
              <w:bottom w:val="single" w:sz="2" w:space="0" w:color="C9D1DA"/>
              <w:right w:val="single" w:sz="2" w:space="0" w:color="C9D1DA"/>
            </w:tcBorders>
            <w:shd w:val="clear" w:color="auto" w:fill="FFFFFF"/>
            <w:tcMar>
              <w:top w:w="20" w:type="dxa"/>
              <w:left w:w="120" w:type="dxa"/>
              <w:bottom w:w="20" w:type="dxa"/>
              <w:right w:w="80" w:type="dxa"/>
            </w:tcMar>
          </w:tcPr>
          <w:p>
            <w:pPr>
              <w:spacing w:before="40" w:after="20"/>
            </w:pPr>
            <w:r/>
            <w:r>
              <w:rPr>
                <w:rFonts w:ascii="Calibri" w:hAnsi="Calibri" w:eastAsia="Microsoft YaHei"/>
                <w:b/>
                <w:i w:val="0"/>
                <w:color w:val="0B2545"/>
                <w:sz w:val="17"/>
              </w:rPr>
              <w:t>蒙特雷 MONTERREY —— 利 ( 品质引擎 )</w:t>
            </w:r>
          </w:p>
          <w:p>
            <w:pPr>
              <w:spacing w:before="0" w:after="24" w:line="264" w:lineRule="auto"/>
              <w:ind w:left="147" w:hanging="147"/>
            </w:pPr>
            <w:r>
              <w:rPr>
                <w:rFonts w:ascii="Calibri" w:hAnsi="Calibri" w:eastAsia="Microsoft YaHei"/>
                <w:b w:val="0"/>
                <w:i w:val="0"/>
                <w:color w:val="5A6472"/>
                <w:sz w:val="14"/>
              </w:rPr>
              <w:t>· 新莱昂州 14,000 余家工业企业，劳保与工装属刚性、可续约的重复性采购。</w:t>
            </w:r>
          </w:p>
          <w:p>
            <w:pPr>
              <w:spacing w:before="0" w:after="24" w:line="264" w:lineRule="auto"/>
              <w:ind w:left="147" w:hanging="147"/>
            </w:pPr>
            <w:r>
              <w:rPr>
                <w:rFonts w:ascii="Calibri" w:hAnsi="Calibri" w:eastAsia="Microsoft YaHei"/>
                <w:b w:val="0"/>
                <w:i w:val="0"/>
                <w:color w:val="5A6472"/>
                <w:sz w:val="14"/>
              </w:rPr>
              <w:t>· 人均 GDP 为全国均值约 1.6 倍，同一 SKU 毛利率较墨城高 3–6 个百分点。</w:t>
            </w:r>
          </w:p>
          <w:p>
            <w:pPr>
              <w:spacing w:before="0" w:after="24" w:line="264" w:lineRule="auto"/>
              <w:ind w:left="147" w:hanging="147"/>
            </w:pPr>
            <w:r>
              <w:rPr>
                <w:rFonts w:ascii="Calibri" w:hAnsi="Calibri" w:eastAsia="Microsoft YaHei"/>
                <w:b w:val="0"/>
                <w:i w:val="0"/>
                <w:color w:val="5A6472"/>
                <w:sz w:val="14"/>
              </w:rPr>
              <w:t>· 正规企业客户强制要求 CFDI 4.0 电子发票与账期——非正规同业无法提供的结构性壁垒。</w:t>
            </w:r>
          </w:p>
          <w:p>
            <w:pPr>
              <w:spacing w:before="0" w:after="50" w:line="264" w:lineRule="auto"/>
              <w:ind w:left="147" w:hanging="147"/>
            </w:pPr>
            <w:r>
              <w:rPr>
                <w:rFonts w:ascii="Calibri" w:hAnsi="Calibri" w:eastAsia="Microsoft YaHei"/>
                <w:b w:val="0"/>
                <w:i w:val="0"/>
                <w:color w:val="5A6472"/>
                <w:sz w:val="14"/>
              </w:rPr>
              <w:t>· 距新拉雷多陆港 2 小时，是「中国→美国→墨西哥」自有物流通道的落地终点。</w:t>
            </w:r>
          </w:p>
        </w:tc>
      </w:tr>
    </w:tbl>
    <w:p>
      <w:pPr>
        <w:spacing w:before="0" w:after="0" w:line="10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765"/>
        <w:gridCol w:w="3997"/>
        <w:gridCol w:w="652"/>
        <w:gridCol w:w="992"/>
        <w:gridCol w:w="765"/>
        <w:gridCol w:w="1049"/>
        <w:gridCol w:w="1049"/>
        <w:gridCol w:w="822"/>
      </w:tblGrid>
      <w:tr>
        <w:trPr>
          <w:tblHeader w:val="true"/>
        </w:trPr>
        <w:tc>
          <w:tcPr>
            <w:tcW w:type="dxa" w:w="76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年度</w:t>
            </w:r>
          </w:p>
        </w:tc>
        <w:tc>
          <w:tcPr>
            <w:tcW w:type="dxa" w:w="399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新增城市（选址逻辑）</w:t>
            </w:r>
          </w:p>
        </w:tc>
        <w:tc>
          <w:tcPr>
            <w:tcW w:type="dxa" w:w="652"/>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自建</w:t>
            </w:r>
            <w:r>
              <w:br/>
            </w:r>
            <w:r>
              <w:rPr>
                <w:rFonts w:ascii="Calibri" w:hAnsi="Calibri" w:eastAsia="Microsoft YaHei"/>
                <w:b/>
                <w:i w:val="0"/>
                <w:color w:val="FFFFFF"/>
                <w:sz w:val="16"/>
              </w:rPr>
              <w:t>城市</w:t>
            </w:r>
          </w:p>
        </w:tc>
        <w:tc>
          <w:tcPr>
            <w:tcW w:type="dxa" w:w="992"/>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展厅/仓库</w:t>
            </w:r>
          </w:p>
        </w:tc>
        <w:tc>
          <w:tcPr>
            <w:tcW w:type="dxa" w:w="76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代理商</w:t>
            </w:r>
          </w:p>
        </w:tc>
        <w:tc>
          <w:tcPr>
            <w:tcW w:type="dxa" w:w="1049"/>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收入</w:t>
            </w:r>
            <w:r>
              <w:br/>
            </w:r>
            <w:r>
              <w:rPr>
                <w:rFonts w:ascii="Calibri" w:hAnsi="Calibri" w:eastAsia="Microsoft YaHei"/>
                <w:b/>
                <w:i w:val="0"/>
                <w:color w:val="FFFFFF"/>
                <w:sz w:val="16"/>
              </w:rPr>
              <w:t>百万比索</w:t>
            </w:r>
          </w:p>
        </w:tc>
        <w:tc>
          <w:tcPr>
            <w:tcW w:type="dxa" w:w="1049"/>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EBITDA</w:t>
            </w:r>
            <w:r>
              <w:br/>
            </w:r>
            <w:r>
              <w:rPr>
                <w:rFonts w:ascii="Calibri" w:hAnsi="Calibri" w:eastAsia="Microsoft YaHei"/>
                <w:b/>
                <w:i w:val="0"/>
                <w:color w:val="FFFFFF"/>
                <w:sz w:val="16"/>
              </w:rPr>
              <w:t>百万比索</w:t>
            </w:r>
          </w:p>
        </w:tc>
        <w:tc>
          <w:tcPr>
            <w:tcW w:type="dxa" w:w="822"/>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净利润</w:t>
            </w:r>
            <w:r>
              <w:br/>
            </w:r>
            <w:r>
              <w:rPr>
                <w:rFonts w:ascii="Calibri" w:hAnsi="Calibri" w:eastAsia="Microsoft YaHei"/>
                <w:b/>
                <w:i w:val="0"/>
                <w:color w:val="FFFFFF"/>
                <w:sz w:val="16"/>
              </w:rPr>
              <w:t>百万比索</w:t>
            </w:r>
          </w:p>
        </w:tc>
      </w:tr>
      <w:tr>
        <w:tc>
          <w:tcPr>
            <w:tcW w:type="dxa" w:w="765"/>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第一年</w:t>
            </w:r>
          </w:p>
        </w:tc>
        <w:tc>
          <w:tcPr>
            <w:tcW w:type="dxa" w:w="3997"/>
            <w:tcMar>
              <w:top w:w="40" w:type="dxa"/>
              <w:left w:w="90" w:type="dxa"/>
              <w:bottom w:w="40" w:type="dxa"/>
              <w:right w:w="90" w:type="dxa"/>
            </w:tcMar>
            <w:vAlign w:val="center"/>
          </w:tcPr>
          <w:p>
            <w:pPr>
              <w:keepNext/>
              <w:spacing w:before="10" w:after="10" w:lineRule="auto" w:line="264"/>
            </w:pPr>
            <w:r/>
            <w:r>
              <w:rPr>
                <w:rFonts w:ascii="Calibri" w:hAnsi="Calibri" w:eastAsia="Microsoft YaHei"/>
                <w:b w:val="0"/>
                <w:i w:val="0"/>
                <w:color w:val="1A1A1A"/>
                <w:sz w:val="13"/>
              </w:rPr>
              <w:t>墨西哥城（集团总部＋展厅）、蒙特雷（展厅＋仓库）——量与利的组合</w:t>
            </w:r>
          </w:p>
        </w:tc>
        <w:tc>
          <w:tcPr>
            <w:tcW w:type="dxa" w:w="652"/>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2</w:t>
            </w:r>
          </w:p>
        </w:tc>
        <w:tc>
          <w:tcPr>
            <w:tcW w:type="dxa" w:w="992"/>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2 / 1</w:t>
            </w:r>
          </w:p>
        </w:tc>
        <w:tc>
          <w:tcPr>
            <w:tcW w:type="dxa" w:w="765"/>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60</w:t>
            </w:r>
          </w:p>
        </w:tc>
        <w:tc>
          <w:tcPr>
            <w:tcW w:type="dxa" w:w="1049"/>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99.0</w:t>
            </w:r>
          </w:p>
        </w:tc>
        <w:tc>
          <w:tcPr>
            <w:tcW w:type="dxa" w:w="1049"/>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15.9</w:t>
            </w:r>
          </w:p>
        </w:tc>
        <w:tc>
          <w:tcPr>
            <w:tcW w:type="dxa" w:w="822"/>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10.3</w:t>
            </w:r>
          </w:p>
        </w:tc>
      </w:tr>
      <w:tr>
        <w:tc>
          <w:tcPr>
            <w:tcW w:type="dxa" w:w="765"/>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第二年</w:t>
            </w:r>
          </w:p>
        </w:tc>
        <w:tc>
          <w:tcPr>
            <w:tcW w:type="dxa" w:w="3997"/>
            <w:shd w:val="clear" w:color="auto" w:fill="F2F4F7"/>
            <w:tcMar>
              <w:top w:w="40" w:type="dxa"/>
              <w:left w:w="90" w:type="dxa"/>
              <w:bottom w:w="40" w:type="dxa"/>
              <w:right w:w="90" w:type="dxa"/>
            </w:tcMar>
            <w:vAlign w:val="center"/>
          </w:tcPr>
          <w:p>
            <w:pPr>
              <w:keepNext/>
              <w:spacing w:before="10" w:after="10" w:lineRule="auto" w:line="264"/>
            </w:pPr>
            <w:r/>
            <w:r>
              <w:rPr>
                <w:rFonts w:ascii="Calibri" w:hAnsi="Calibri" w:eastAsia="Microsoft YaHei"/>
                <w:b w:val="0"/>
                <w:i w:val="0"/>
                <w:color w:val="1A1A1A"/>
                <w:sz w:val="13"/>
              </w:rPr>
              <w:t>瓜达拉哈拉（第二大经济体、礼品零售密集）、蒂华纳（边境保税加工厂劳保、美墨跨境试点）</w:t>
            </w:r>
          </w:p>
        </w:tc>
        <w:tc>
          <w:tcPr>
            <w:tcW w:type="dxa" w:w="652"/>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4</w:t>
            </w:r>
          </w:p>
        </w:tc>
        <w:tc>
          <w:tcPr>
            <w:tcW w:type="dxa" w:w="992"/>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4 / 2</w:t>
            </w:r>
          </w:p>
        </w:tc>
        <w:tc>
          <w:tcPr>
            <w:tcW w:type="dxa" w:w="765"/>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180</w:t>
            </w:r>
          </w:p>
        </w:tc>
        <w:tc>
          <w:tcPr>
            <w:tcW w:type="dxa" w:w="1049"/>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252.0</w:t>
            </w:r>
          </w:p>
        </w:tc>
        <w:tc>
          <w:tcPr>
            <w:tcW w:type="dxa" w:w="1049"/>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43.8</w:t>
            </w:r>
          </w:p>
        </w:tc>
        <w:tc>
          <w:tcPr>
            <w:tcW w:type="dxa" w:w="822"/>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3"/>
              </w:rPr>
              <w:t>29.1</w:t>
            </w:r>
          </w:p>
        </w:tc>
      </w:tr>
      <w:tr>
        <w:tc>
          <w:tcPr>
            <w:tcW w:type="dxa" w:w="765"/>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3"/>
              </w:rPr>
              <w:t>第三年</w:t>
            </w:r>
          </w:p>
        </w:tc>
        <w:tc>
          <w:tcPr>
            <w:tcW w:type="dxa" w:w="3997"/>
            <w:tcMar>
              <w:top w:w="40" w:type="dxa"/>
              <w:left w:w="90" w:type="dxa"/>
              <w:bottom w:w="40" w:type="dxa"/>
              <w:right w:w="90" w:type="dxa"/>
            </w:tcMar>
            <w:vAlign w:val="center"/>
          </w:tcPr>
          <w:p>
            <w:pPr>
              <w:spacing w:before="10" w:after="10" w:lineRule="auto" w:line="264"/>
            </w:pPr>
            <w:r/>
            <w:r>
              <w:rPr>
                <w:rFonts w:ascii="Calibri" w:hAnsi="Calibri" w:eastAsia="Microsoft YaHei"/>
                <w:b w:val="0"/>
                <w:i w:val="0"/>
                <w:color w:val="1A1A1A"/>
                <w:sz w:val="13"/>
              </w:rPr>
              <w:t>莱昂／巴希奥（制鞋皮革与工业劳保）、克雷塔罗（物流枢纽）、普埃布拉（纺织服装集群）；其余各州由代理商与越库配送覆盖</w:t>
            </w:r>
          </w:p>
        </w:tc>
        <w:tc>
          <w:tcPr>
            <w:tcW w:type="dxa" w:w="652"/>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3"/>
              </w:rPr>
              <w:t>7</w:t>
            </w:r>
          </w:p>
        </w:tc>
        <w:tc>
          <w:tcPr>
            <w:tcW w:type="dxa" w:w="992"/>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3"/>
              </w:rPr>
              <w:t>7 / 4</w:t>
            </w:r>
          </w:p>
        </w:tc>
        <w:tc>
          <w:tcPr>
            <w:tcW w:type="dxa" w:w="765"/>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3"/>
              </w:rPr>
              <w:t>440</w:t>
            </w:r>
          </w:p>
        </w:tc>
        <w:tc>
          <w:tcPr>
            <w:tcW w:type="dxa" w:w="1049"/>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3"/>
              </w:rPr>
              <w:t>510.0</w:t>
            </w:r>
          </w:p>
        </w:tc>
        <w:tc>
          <w:tcPr>
            <w:tcW w:type="dxa" w:w="1049"/>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3"/>
              </w:rPr>
              <w:t>96.9</w:t>
            </w:r>
          </w:p>
        </w:tc>
        <w:tc>
          <w:tcPr>
            <w:tcW w:type="dxa" w:w="822"/>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3"/>
              </w:rPr>
              <w:t>65.3</w:t>
            </w:r>
          </w:p>
        </w:tc>
      </w:tr>
    </w:tbl>
    <w:p>
      <w:pPr>
        <w:spacing w:before="0" w:after="0" w:line="140" w:lineRule="exact"/>
      </w:pPr>
      <w:r>
        <w:rPr>
          <w:rFonts w:ascii="Calibri" w:hAnsi="Calibri" w:eastAsia="Microsoft YaHei"/>
          <w:b w:val="0"/>
          <w:i w:val="0"/>
          <w:color w:val="1A1A1A"/>
          <w:sz w:val="2"/>
        </w:rPr>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03</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业务板块一：B2B / B2C 批发分销</w:t>
            </w:r>
            <w:r>
              <w:rPr>
                <w:rFonts w:ascii="Calibri" w:hAnsi="Calibri" w:eastAsia="Microsoft YaHei"/>
                <w:b w:val="0"/>
                <w:i w:val="0"/>
                <w:color w:val="5A6472"/>
                <w:sz w:val="15"/>
              </w:rPr>
              <w:t xml:space="preserve">   WHOLESALE DISTRIBUTION</w:t>
            </w:r>
          </w:p>
        </w:tc>
      </w:tr>
    </w:tbl>
    <w:p>
      <w:pPr>
        <w:keepNext/>
        <w:spacing w:before="0" w:after="0" w:line="50" w:lineRule="exact"/>
      </w:pPr>
      <w:r>
        <w:rPr>
          <w:rFonts w:ascii="Calibri" w:hAnsi="Calibri" w:eastAsia="Microsoft YaHei"/>
          <w:b w:val="0"/>
          <w:i w:val="0"/>
          <w:color w:val="1A1A1A"/>
          <w:sz w:val="2"/>
        </w:rPr>
      </w:r>
    </w:p>
    <w:p>
      <w:pPr>
        <w:spacing w:before="20" w:after="30" w:line="240" w:lineRule="auto"/>
        <w:jc w:val="center"/>
      </w:pPr>
      <w:r>
        <w:drawing>
          <wp:inline xmlns:a="http://schemas.openxmlformats.org/drawingml/2006/main" xmlns:pic="http://schemas.openxmlformats.org/drawingml/2006/picture">
            <wp:extent cx="5400000" cy="1831977"/>
            <wp:docPr id="5" name="Picture 5"/>
            <wp:cNvGraphicFramePr>
              <a:graphicFrameLocks noChangeAspect="1"/>
            </wp:cNvGraphicFramePr>
            <a:graphic>
              <a:graphicData uri="http://schemas.openxmlformats.org/drawingml/2006/picture">
                <pic:pic>
                  <pic:nvPicPr>
                    <pic:cNvPr id="0" name="cat_bar.png"/>
                    <pic:cNvPicPr/>
                  </pic:nvPicPr>
                  <pic:blipFill>
                    <a:blip r:embed="rId15"/>
                    <a:stretch>
                      <a:fillRect/>
                    </a:stretch>
                  </pic:blipFill>
                  <pic:spPr>
                    <a:xfrm>
                      <a:off x="0" y="0"/>
                      <a:ext cx="5400000" cy="1831977"/>
                    </a:xfrm>
                    <a:prstGeom prst="rect"/>
                  </pic:spPr>
                </pic:pic>
              </a:graphicData>
            </a:graphic>
          </wp:inline>
        </w:drawing>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04</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业务板块二：自有品牌开发、生产与销售</w:t>
            </w:r>
            <w:r>
              <w:rPr>
                <w:rFonts w:ascii="Calibri" w:hAnsi="Calibri" w:eastAsia="Microsoft YaHei"/>
                <w:b w:val="0"/>
                <w:i w:val="0"/>
                <w:color w:val="5A6472"/>
                <w:sz w:val="15"/>
              </w:rPr>
              <w:t xml:space="preserve">   OWN-BRAND DEVELOPMENT</w:t>
            </w:r>
          </w:p>
        </w:tc>
      </w:tr>
    </w:tbl>
    <w:p>
      <w:pPr>
        <w:keepNext/>
        <w:spacing w:before="0" w:after="0" w:line="5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2268"/>
        <w:gridCol w:w="1134"/>
        <w:gridCol w:w="1134"/>
        <w:gridCol w:w="1134"/>
        <w:gridCol w:w="1247"/>
        <w:gridCol w:w="3175"/>
      </w:tblGrid>
      <w:tr>
        <w:trPr>
          <w:tblHeader w:val="true"/>
        </w:trPr>
        <w:tc>
          <w:tcPr>
            <w:tcW w:type="dxa" w:w="2268"/>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自有品牌指标</w:t>
            </w:r>
          </w:p>
        </w:tc>
        <w:tc>
          <w:tcPr>
            <w:tcW w:type="dxa" w:w="113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第一年</w:t>
            </w:r>
          </w:p>
        </w:tc>
        <w:tc>
          <w:tcPr>
            <w:tcW w:type="dxa" w:w="113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第二年</w:t>
            </w:r>
          </w:p>
        </w:tc>
        <w:tc>
          <w:tcPr>
            <w:tcW w:type="dxa" w:w="113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第三年</w:t>
            </w:r>
          </w:p>
        </w:tc>
        <w:tc>
          <w:tcPr>
            <w:tcW w:type="dxa" w:w="124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第五年目标</w:t>
            </w:r>
          </w:p>
        </w:tc>
        <w:tc>
          <w:tcPr>
            <w:tcW w:type="dxa" w:w="317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战略含义</w:t>
            </w:r>
          </w:p>
        </w:tc>
      </w:tr>
      <w:tr>
        <w:tc>
          <w:tcPr>
            <w:tcW w:type="dxa" w:w="2268"/>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自有品牌收入（百万比索）</w:t>
            </w:r>
          </w:p>
        </w:tc>
        <w:tc>
          <w:tcPr>
            <w:tcW w:type="dxa" w:w="1134"/>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9.0</w:t>
            </w:r>
          </w:p>
        </w:tc>
        <w:tc>
          <w:tcPr>
            <w:tcW w:type="dxa" w:w="1134"/>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50.4</w:t>
            </w:r>
          </w:p>
        </w:tc>
        <w:tc>
          <w:tcPr>
            <w:tcW w:type="dxa" w:w="1134"/>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163.2</w:t>
            </w:r>
          </w:p>
        </w:tc>
        <w:tc>
          <w:tcPr>
            <w:tcW w:type="dxa" w:w="124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约 780</w:t>
            </w:r>
          </w:p>
        </w:tc>
        <w:tc>
          <w:tcPr>
            <w:tcW w:type="dxa" w:w="3175"/>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四年 CAGR 约 205%</w:t>
            </w:r>
          </w:p>
        </w:tc>
      </w:tr>
      <w:tr>
        <w:tc>
          <w:tcPr>
            <w:tcW w:type="dxa" w:w="2268"/>
            <w:shd w:val="clear" w:color="auto" w:fill="F2F4F7"/>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占集团总收入比重</w:t>
            </w:r>
          </w:p>
        </w:tc>
        <w:tc>
          <w:tcPr>
            <w:tcW w:type="dxa" w:w="1134"/>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9%</w:t>
            </w:r>
          </w:p>
        </w:tc>
        <w:tc>
          <w:tcPr>
            <w:tcW w:type="dxa" w:w="1134"/>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20%</w:t>
            </w:r>
          </w:p>
        </w:tc>
        <w:tc>
          <w:tcPr>
            <w:tcW w:type="dxa" w:w="1134"/>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32%</w:t>
            </w:r>
          </w:p>
        </w:tc>
        <w:tc>
          <w:tcPr>
            <w:tcW w:type="dxa" w:w="1247"/>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50%+</w:t>
            </w:r>
          </w:p>
        </w:tc>
        <w:tc>
          <w:tcPr>
            <w:tcW w:type="dxa" w:w="3175"/>
            <w:shd w:val="clear" w:color="auto" w:fill="F2F4F7"/>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估值倍数的首要驱动因子</w:t>
            </w:r>
          </w:p>
        </w:tc>
      </w:tr>
      <w:tr>
        <w:tc>
          <w:tcPr>
            <w:tcW w:type="dxa" w:w="2268"/>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自有品牌毛利率</w:t>
            </w:r>
          </w:p>
        </w:tc>
        <w:tc>
          <w:tcPr>
            <w:tcW w:type="dxa" w:w="1134"/>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38%</w:t>
            </w:r>
          </w:p>
        </w:tc>
        <w:tc>
          <w:tcPr>
            <w:tcW w:type="dxa" w:w="1134"/>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52%</w:t>
            </w:r>
          </w:p>
        </w:tc>
        <w:tc>
          <w:tcPr>
            <w:tcW w:type="dxa" w:w="1134"/>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58%</w:t>
            </w:r>
          </w:p>
        </w:tc>
        <w:tc>
          <w:tcPr>
            <w:tcW w:type="dxa" w:w="124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62%</w:t>
            </w:r>
          </w:p>
        </w:tc>
        <w:tc>
          <w:tcPr>
            <w:tcW w:type="dxa" w:w="3175"/>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模具与认证摊销完毕后爬升</w:t>
            </w:r>
          </w:p>
        </w:tc>
      </w:tr>
      <w:tr>
        <w:tc>
          <w:tcPr>
            <w:tcW w:type="dxa" w:w="2268"/>
            <w:shd w:val="clear" w:color="auto" w:fill="F2F4F7"/>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占集团毛利总额比重</w:t>
            </w:r>
          </w:p>
        </w:tc>
        <w:tc>
          <w:tcPr>
            <w:tcW w:type="dxa" w:w="1134"/>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7%</w:t>
            </w:r>
          </w:p>
        </w:tc>
        <w:tc>
          <w:tcPr>
            <w:tcW w:type="dxa" w:w="1134"/>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23%</w:t>
            </w:r>
          </w:p>
        </w:tc>
        <w:tc>
          <w:tcPr>
            <w:tcW w:type="dxa" w:w="1134"/>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42%</w:t>
            </w:r>
          </w:p>
        </w:tc>
        <w:tc>
          <w:tcPr>
            <w:tcW w:type="dxa" w:w="1247"/>
            <w:shd w:val="clear" w:color="auto" w:fill="F2F4F7"/>
            <w:tcMar>
              <w:top w:w="40" w:type="dxa"/>
              <w:left w:w="90" w:type="dxa"/>
              <w:bottom w:w="40" w:type="dxa"/>
              <w:right w:w="90" w:type="dxa"/>
            </w:tcMar>
            <w:vAlign w:val="center"/>
          </w:tcPr>
          <w:p>
            <w:pPr>
              <w:keepNext/>
              <w:spacing w:before="14" w:after="14" w:lineRule="auto" w:line="264"/>
              <w:jc w:val="center"/>
            </w:pPr>
            <w:r/>
            <w:r>
              <w:rPr>
                <w:rFonts w:ascii="Calibri" w:hAnsi="Calibri" w:eastAsia="Microsoft YaHei"/>
                <w:b w:val="0"/>
                <w:i w:val="0"/>
                <w:color w:val="1A1A1A"/>
                <w:sz w:val="15"/>
              </w:rPr>
              <w:t>约 58%</w:t>
            </w:r>
          </w:p>
        </w:tc>
        <w:tc>
          <w:tcPr>
            <w:tcW w:type="dxa" w:w="3175"/>
            <w:shd w:val="clear" w:color="auto" w:fill="F2F4F7"/>
            <w:tcMar>
              <w:top w:w="40" w:type="dxa"/>
              <w:left w:w="90" w:type="dxa"/>
              <w:bottom w:w="40" w:type="dxa"/>
              <w:right w:w="90" w:type="dxa"/>
            </w:tcMar>
            <w:vAlign w:val="center"/>
          </w:tcPr>
          <w:p>
            <w:pPr>
              <w:keepNext/>
              <w:spacing w:before="14" w:after="14" w:lineRule="auto" w:line="264"/>
            </w:pPr>
            <w:r/>
            <w:r>
              <w:rPr>
                <w:rFonts w:ascii="Calibri" w:hAnsi="Calibri" w:eastAsia="Microsoft YaHei"/>
                <w:b w:val="0"/>
                <w:i w:val="0"/>
                <w:color w:val="1A1A1A"/>
                <w:sz w:val="15"/>
              </w:rPr>
              <w:t>利润结构由贸易转向品牌</w:t>
            </w:r>
          </w:p>
        </w:tc>
      </w:tr>
      <w:tr>
        <w:tc>
          <w:tcPr>
            <w:tcW w:type="dxa" w:w="2268"/>
            <w:tcMar>
              <w:top w:w="40" w:type="dxa"/>
              <w:left w:w="90" w:type="dxa"/>
              <w:bottom w:w="40" w:type="dxa"/>
              <w:right w:w="90" w:type="dxa"/>
            </w:tcMar>
            <w:vAlign w:val="center"/>
          </w:tcPr>
          <w:p>
            <w:pPr>
              <w:spacing w:before="14" w:after="14" w:lineRule="auto" w:line="264"/>
            </w:pPr>
            <w:r/>
            <w:r>
              <w:rPr>
                <w:rFonts w:ascii="Calibri" w:hAnsi="Calibri" w:eastAsia="Microsoft YaHei"/>
                <w:b w:val="0"/>
                <w:i w:val="0"/>
                <w:color w:val="1A1A1A"/>
                <w:sz w:val="15"/>
              </w:rPr>
              <w:t>贸易业务毛利率（递减）</w:t>
            </w:r>
          </w:p>
        </w:tc>
        <w:tc>
          <w:tcPr>
            <w:tcW w:type="dxa" w:w="1134"/>
            <w:tcMar>
              <w:top w:w="40" w:type="dxa"/>
              <w:left w:w="90" w:type="dxa"/>
              <w:bottom w:w="40" w:type="dxa"/>
              <w:right w:w="90" w:type="dxa"/>
            </w:tcMar>
            <w:vAlign w:val="center"/>
          </w:tcPr>
          <w:p>
            <w:pPr>
              <w:spacing w:before="14" w:after="14" w:lineRule="auto" w:line="264"/>
              <w:jc w:val="center"/>
            </w:pPr>
            <w:r/>
            <w:r>
              <w:rPr>
                <w:rFonts w:ascii="Calibri" w:hAnsi="Calibri" w:eastAsia="Microsoft YaHei"/>
                <w:b w:val="0"/>
                <w:i w:val="0"/>
                <w:color w:val="1A1A1A"/>
                <w:sz w:val="15"/>
              </w:rPr>
              <w:t>49%</w:t>
            </w:r>
          </w:p>
        </w:tc>
        <w:tc>
          <w:tcPr>
            <w:tcW w:type="dxa" w:w="1134"/>
            <w:tcMar>
              <w:top w:w="40" w:type="dxa"/>
              <w:left w:w="90" w:type="dxa"/>
              <w:bottom w:w="40" w:type="dxa"/>
              <w:right w:w="90" w:type="dxa"/>
            </w:tcMar>
            <w:vAlign w:val="center"/>
          </w:tcPr>
          <w:p>
            <w:pPr>
              <w:spacing w:before="14" w:after="14" w:lineRule="auto" w:line="264"/>
              <w:jc w:val="center"/>
            </w:pPr>
            <w:r/>
            <w:r>
              <w:rPr>
                <w:rFonts w:ascii="Calibri" w:hAnsi="Calibri" w:eastAsia="Microsoft YaHei"/>
                <w:b w:val="0"/>
                <w:i w:val="0"/>
                <w:color w:val="1A1A1A"/>
                <w:sz w:val="15"/>
              </w:rPr>
              <w:t>44%</w:t>
            </w:r>
          </w:p>
        </w:tc>
        <w:tc>
          <w:tcPr>
            <w:tcW w:type="dxa" w:w="1134"/>
            <w:tcMar>
              <w:top w:w="40" w:type="dxa"/>
              <w:left w:w="90" w:type="dxa"/>
              <w:bottom w:w="40" w:type="dxa"/>
              <w:right w:w="90" w:type="dxa"/>
            </w:tcMar>
            <w:vAlign w:val="center"/>
          </w:tcPr>
          <w:p>
            <w:pPr>
              <w:spacing w:before="14" w:after="14" w:lineRule="auto" w:line="264"/>
              <w:jc w:val="center"/>
            </w:pPr>
            <w:r/>
            <w:r>
              <w:rPr>
                <w:rFonts w:ascii="Calibri" w:hAnsi="Calibri" w:eastAsia="Microsoft YaHei"/>
                <w:b w:val="0"/>
                <w:i w:val="0"/>
                <w:color w:val="1A1A1A"/>
                <w:sz w:val="15"/>
              </w:rPr>
              <w:t>38%</w:t>
            </w:r>
          </w:p>
        </w:tc>
        <w:tc>
          <w:tcPr>
            <w:tcW w:type="dxa" w:w="1247"/>
            <w:tcMar>
              <w:top w:w="40" w:type="dxa"/>
              <w:left w:w="90" w:type="dxa"/>
              <w:bottom w:w="40" w:type="dxa"/>
              <w:right w:w="90" w:type="dxa"/>
            </w:tcMar>
            <w:vAlign w:val="center"/>
          </w:tcPr>
          <w:p>
            <w:pPr>
              <w:spacing w:before="14" w:after="14" w:lineRule="auto" w:line="264"/>
              <w:jc w:val="center"/>
            </w:pPr>
            <w:r/>
            <w:r>
              <w:rPr>
                <w:rFonts w:ascii="Calibri" w:hAnsi="Calibri" w:eastAsia="Microsoft YaHei"/>
                <w:b w:val="0"/>
                <w:i w:val="0"/>
                <w:color w:val="1A1A1A"/>
                <w:sz w:val="15"/>
              </w:rPr>
              <w:t>35%</w:t>
            </w:r>
          </w:p>
        </w:tc>
        <w:tc>
          <w:tcPr>
            <w:tcW w:type="dxa" w:w="3175"/>
            <w:tcMar>
              <w:top w:w="40" w:type="dxa"/>
              <w:left w:w="90" w:type="dxa"/>
              <w:bottom w:w="40" w:type="dxa"/>
              <w:right w:w="90" w:type="dxa"/>
            </w:tcMar>
            <w:vAlign w:val="center"/>
          </w:tcPr>
          <w:p>
            <w:pPr>
              <w:spacing w:before="14" w:after="14" w:lineRule="auto" w:line="264"/>
            </w:pPr>
            <w:r/>
            <w:r>
              <w:rPr>
                <w:rFonts w:ascii="Calibri" w:hAnsi="Calibri" w:eastAsia="Microsoft YaHei"/>
                <w:b w:val="0"/>
                <w:i w:val="0"/>
                <w:color w:val="1A1A1A"/>
                <w:sz w:val="15"/>
              </w:rPr>
              <w:t>寄售货源第二年末去化 81%，第三年转常规补货</w:t>
            </w:r>
          </w:p>
        </w:tc>
      </w:tr>
    </w:tbl>
    <w:p>
      <w:pPr>
        <w:spacing w:before="0" w:after="0" w:line="80" w:lineRule="exact"/>
      </w:pPr>
      <w:r>
        <w:rPr>
          <w:rFonts w:ascii="Calibri" w:hAnsi="Calibri" w:eastAsia="Microsoft YaHei"/>
          <w:b w:val="0"/>
          <w:i w:val="0"/>
          <w:color w:val="1A1A1A"/>
          <w:sz w:val="2"/>
        </w:rPr>
      </w:r>
    </w:p>
    <w:p>
      <w:pPr>
        <w:spacing w:before="20" w:after="30" w:line="240" w:lineRule="auto"/>
        <w:jc w:val="center"/>
      </w:pPr>
      <w:r>
        <w:drawing>
          <wp:inline xmlns:a="http://schemas.openxmlformats.org/drawingml/2006/main" xmlns:pic="http://schemas.openxmlformats.org/drawingml/2006/picture">
            <wp:extent cx="4104000" cy="2577036"/>
            <wp:docPr id="6" name="Picture 6"/>
            <wp:cNvGraphicFramePr>
              <a:graphicFrameLocks noChangeAspect="1"/>
            </wp:cNvGraphicFramePr>
            <a:graphic>
              <a:graphicData uri="http://schemas.openxmlformats.org/drawingml/2006/picture">
                <pic:pic>
                  <pic:nvPicPr>
                    <pic:cNvPr id="0" name="ownbrand.png"/>
                    <pic:cNvPicPr/>
                  </pic:nvPicPr>
                  <pic:blipFill>
                    <a:blip r:embed="rId16"/>
                    <a:stretch>
                      <a:fillRect/>
                    </a:stretch>
                  </pic:blipFill>
                  <pic:spPr>
                    <a:xfrm>
                      <a:off x="0" y="0"/>
                      <a:ext cx="4104000" cy="2577036"/>
                    </a:xfrm>
                    <a:prstGeom prst="rect"/>
                  </pic:spPr>
                </pic:pic>
              </a:graphicData>
            </a:graphic>
          </wp:inline>
        </w:drawing>
      </w:r>
    </w:p>
    <w:p>
      <w:pPr>
        <w:spacing w:before="0" w:after="0" w:lineRule="auto" w:line="271"/>
        <w:jc w:val="both"/>
      </w:pPr>
      <w:r>
        <w:rPr>
          <w:rFonts w:ascii="Calibri" w:hAnsi="Calibri" w:eastAsia="Microsoft YaHei"/>
          <w:b w:val="0"/>
          <w:i w:val="0"/>
          <w:color w:val="5A6472"/>
          <w:sz w:val="14"/>
        </w:rPr>
        <w:t>投资逻辑一句话：「前两年，寄售货源以零资金占用供养建设；第三至五年，自有品牌供养估值。」纯分销商的国际可比估值为 0.3–0.6 倍 EV/Revenue，而拥有自有渠道的品牌消费品公司为 1.5–3.0 倍。CLG 用自身经营现金流完成这一转型：自有品牌首批开发资金仅需 90 万比索（设计＋打样＋商标，设计外包），量产资金自第 4 个月起由经营收入承担。依托集团中国制造资源与墨西哥 NOM 认证能力，为本地大型零售商提供自有品牌 OEM 代工可作为第二增长曲线（第三年潜在 2,400–3,600 万比索），列为上行空间而非基准预测。</w:t>
      </w:r>
    </w:p>
    <w:p>
      <w:pPr>
        <w:spacing w:before="0" w:after="0" w:line="140" w:lineRule="exact"/>
      </w:pPr>
      <w:r>
        <w:rPr>
          <w:rFonts w:ascii="Calibri" w:hAnsi="Calibri" w:eastAsia="Microsoft YaHei"/>
          <w:b w:val="0"/>
          <w:i w:val="0"/>
          <w:color w:val="1A1A1A"/>
          <w:sz w:val="2"/>
        </w:rPr>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05</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库存去化三大通路、小商品连锁与展会招商</w:t>
            </w:r>
            <w:r>
              <w:rPr>
                <w:rFonts w:ascii="Calibri" w:hAnsi="Calibri" w:eastAsia="Microsoft YaHei"/>
                <w:b w:val="0"/>
                <w:i w:val="0"/>
                <w:color w:val="5A6472"/>
                <w:sz w:val="15"/>
              </w:rPr>
              <w:t xml:space="preserve">   THREE LIQUIDATION CHANNELS &amp; FRANCHISE CHAIN</w:t>
            </w:r>
          </w:p>
        </w:tc>
      </w:tr>
    </w:tbl>
    <w:p>
      <w:pPr>
        <w:keepNext/>
        <w:spacing w:before="0" w:after="0" w:line="50" w:lineRule="exact"/>
      </w:pPr>
      <w:r>
        <w:rPr>
          <w:rFonts w:ascii="Calibri" w:hAnsi="Calibri" w:eastAsia="Microsoft YaHei"/>
          <w:b w:val="0"/>
          <w:i w:val="0"/>
          <w:color w:val="1A1A1A"/>
          <w:sz w:val="2"/>
        </w:rPr>
      </w:r>
    </w:p>
    <w:p>
      <w:pPr>
        <w:spacing w:before="0" w:after="80" w:lineRule="auto" w:line="271"/>
        <w:jc w:val="both"/>
      </w:pPr>
      <w:r>
        <w:rPr>
          <w:rFonts w:ascii="Calibri" w:hAnsi="Calibri" w:eastAsia="Microsoft YaHei"/>
          <w:b w:val="0"/>
          <w:i w:val="0"/>
          <w:color w:val="1A1A1A"/>
          <w:sz w:val="15"/>
        </w:rPr>
        <w:t>2 亿比索寄售货源与后续自有品牌产品通过三条互补通路同时去化：① 各城市批发市场档口与地推直销，② 对标名创优品（MINISO）模式的小商品连锁加盟店，③ B2B 在线批发平台。三条通路面向不同客户、批量与价盘，互不蚕食；其中加盟连锁由加盟商全额出资开店，不占用 CLG 一分资本，却同时承担寄售货源去化与自有品牌落地两项任务——这是本计划最具杠杆的一条通路。</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c>
          <w:tcPr>
            <w:tcW w:type="dxa" w:w="4706"/>
            <w:tcMar>
              <w:top w:w="0" w:type="dxa"/>
              <w:left w:w="0" w:type="dxa"/>
              <w:bottom w:w="0" w:type="dxa"/>
              <w:right w:w="0" w:type="dxa"/>
            </w:tcMar>
          </w:tcPr>
          <w:p>
            <w:pPr>
              <w:spacing w:before="20" w:after="30" w:line="240" w:lineRule="auto"/>
              <w:jc w:val="center"/>
            </w:pPr>
            <w:r>
              <w:drawing>
                <wp:inline xmlns:a="http://schemas.openxmlformats.org/drawingml/2006/main" xmlns:pic="http://schemas.openxmlformats.org/drawingml/2006/picture">
                  <wp:extent cx="2862000" cy="2467018"/>
                  <wp:docPr id="7" name="Picture 7"/>
                  <wp:cNvGraphicFramePr>
                    <a:graphicFrameLocks noChangeAspect="1"/>
                  </wp:cNvGraphicFramePr>
                  <a:graphic>
                    <a:graphicData uri="http://schemas.openxmlformats.org/drawingml/2006/picture">
                      <pic:pic>
                        <pic:nvPicPr>
                          <pic:cNvPr id="0" name="channels.png"/>
                          <pic:cNvPicPr/>
                        </pic:nvPicPr>
                        <pic:blipFill>
                          <a:blip r:embed="rId17"/>
                          <a:stretch>
                            <a:fillRect/>
                          </a:stretch>
                        </pic:blipFill>
                        <pic:spPr>
                          <a:xfrm>
                            <a:off x="0" y="0"/>
                            <a:ext cx="2862000" cy="2467018"/>
                          </a:xfrm>
                          <a:prstGeom prst="rect"/>
                        </pic:spPr>
                      </pic:pic>
                    </a:graphicData>
                  </a:graphic>
                </wp:inline>
              </w:drawing>
            </w:r>
          </w:p>
        </w:tc>
        <w:tc>
          <w:tcPr>
            <w:tcW w:type="dxa" w:w="4706"/>
            <w:tcMar>
              <w:top w:w="0" w:type="dxa"/>
              <w:left w:w="0" w:type="dxa"/>
              <w:bottom w:w="0" w:type="dxa"/>
              <w:right w:w="0" w:type="dxa"/>
            </w:tcMar>
          </w:tcPr>
          <w:p>
            <w:pPr>
              <w:spacing w:before="20" w:after="30" w:line="240" w:lineRule="auto"/>
              <w:jc w:val="center"/>
            </w:pPr>
            <w:r>
              <w:drawing>
                <wp:inline xmlns:a="http://schemas.openxmlformats.org/drawingml/2006/main" xmlns:pic="http://schemas.openxmlformats.org/drawingml/2006/picture">
                  <wp:extent cx="2862000" cy="1880378"/>
                  <wp:docPr id="8" name="Picture 8"/>
                  <wp:cNvGraphicFramePr>
                    <a:graphicFrameLocks noChangeAspect="1"/>
                  </wp:cNvGraphicFramePr>
                  <a:graphic>
                    <a:graphicData uri="http://schemas.openxmlformats.org/drawingml/2006/picture">
                      <pic:pic>
                        <pic:nvPicPr>
                          <pic:cNvPr id="0" name="franchise.png"/>
                          <pic:cNvPicPr/>
                        </pic:nvPicPr>
                        <pic:blipFill>
                          <a:blip r:embed="rId18"/>
                          <a:stretch>
                            <a:fillRect/>
                          </a:stretch>
                        </pic:blipFill>
                        <pic:spPr>
                          <a:xfrm>
                            <a:off x="0" y="0"/>
                            <a:ext cx="2862000" cy="1880378"/>
                          </a:xfrm>
                          <a:prstGeom prst="rect"/>
                        </pic:spPr>
                      </pic:pic>
                    </a:graphicData>
                  </a:graphic>
                </wp:inline>
              </w:drawing>
            </w:r>
          </w:p>
        </w:tc>
      </w:tr>
    </w:tbl>
    <w:p>
      <w:pPr>
        <w:spacing w:before="0" w:after="0" w:line="6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1474"/>
        <w:gridCol w:w="2835"/>
        <w:gridCol w:w="992"/>
        <w:gridCol w:w="850"/>
        <w:gridCol w:w="850"/>
        <w:gridCol w:w="3090"/>
      </w:tblGrid>
      <w:tr>
        <w:trPr>
          <w:tblHeader w:val="true"/>
        </w:trPr>
        <w:tc>
          <w:tcPr>
            <w:tcW w:type="dxa" w:w="147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通路</w:t>
            </w:r>
          </w:p>
        </w:tc>
        <w:tc>
          <w:tcPr>
            <w:tcW w:type="dxa" w:w="283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客户与场景</w:t>
            </w:r>
          </w:p>
        </w:tc>
        <w:tc>
          <w:tcPr>
            <w:tcW w:type="dxa" w:w="992"/>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首年</w:t>
            </w:r>
            <w:r>
              <w:br/>
            </w:r>
            <w:r>
              <w:rPr>
                <w:rFonts w:ascii="Calibri" w:hAnsi="Calibri" w:eastAsia="Microsoft YaHei"/>
                <w:b/>
                <w:i w:val="0"/>
                <w:color w:val="FFFFFF"/>
                <w:sz w:val="16"/>
              </w:rPr>
              <w:t>百万比索</w:t>
            </w:r>
          </w:p>
        </w:tc>
        <w:tc>
          <w:tcPr>
            <w:tcW w:type="dxa" w:w="850"/>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第二年</w:t>
            </w:r>
          </w:p>
        </w:tc>
        <w:tc>
          <w:tcPr>
            <w:tcW w:type="dxa" w:w="850"/>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第三年</w:t>
            </w:r>
          </w:p>
        </w:tc>
        <w:tc>
          <w:tcPr>
            <w:tcW w:type="dxa" w:w="3090"/>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去化机制与定价逻辑</w:t>
            </w:r>
          </w:p>
        </w:tc>
      </w:tr>
      <w:tr>
        <w:tc>
          <w:tcPr>
            <w:tcW w:type="dxa" w:w="1474"/>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① 批发市场档口</w:t>
            </w:r>
            <w:r>
              <w:br/>
            </w:r>
            <w:r>
              <w:rPr>
                <w:rFonts w:ascii="Calibri" w:hAnsi="Calibri" w:eastAsia="Microsoft YaHei"/>
                <w:b w:val="0"/>
                <w:i w:val="0"/>
                <w:color w:val="1A1A1A"/>
                <w:sz w:val="13"/>
              </w:rPr>
              <w:t xml:space="preserve">　 与地推直销</w:t>
            </w:r>
          </w:p>
        </w:tc>
        <w:tc>
          <w:tcPr>
            <w:tcW w:type="dxa" w:w="2835"/>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墨西哥城 Central de Abastos／Tepito、蒙特雷及扩张城市的批发商圈设档口；工业与劳保客户由销售代表直访</w:t>
            </w:r>
          </w:p>
        </w:tc>
        <w:tc>
          <w:tcPr>
            <w:tcW w:type="dxa" w:w="992"/>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48.0</w:t>
            </w:r>
          </w:p>
        </w:tc>
        <w:tc>
          <w:tcPr>
            <w:tcW w:type="dxa" w:w="850"/>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105.0</w:t>
            </w:r>
          </w:p>
        </w:tc>
        <w:tc>
          <w:tcPr>
            <w:tcW w:type="dxa" w:w="850"/>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178.5</w:t>
            </w:r>
          </w:p>
        </w:tc>
        <w:tc>
          <w:tcPr>
            <w:tcW w:type="dxa" w:w="3090"/>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按柜／按箱走量，现金或 SPEI 结算；价格最低、周转最快，是寄售货源的主力出口</w:t>
            </w:r>
          </w:p>
        </w:tc>
      </w:tr>
      <w:tr>
        <w:tc>
          <w:tcPr>
            <w:tcW w:type="dxa" w:w="1474"/>
            <w:shd w:val="clear" w:color="auto" w:fill="F2F4F7"/>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② 小商品连锁</w:t>
            </w:r>
            <w:r>
              <w:br/>
            </w:r>
            <w:r>
              <w:rPr>
                <w:rFonts w:ascii="Calibri" w:hAnsi="Calibri" w:eastAsia="Microsoft YaHei"/>
                <w:b w:val="0"/>
                <w:i w:val="0"/>
                <w:color w:val="1A1A1A"/>
                <w:sz w:val="13"/>
              </w:rPr>
              <w:t xml:space="preserve">　 加盟店</w:t>
            </w:r>
          </w:p>
        </w:tc>
        <w:tc>
          <w:tcPr>
            <w:tcW w:type="dxa" w:w="2835"/>
            <w:shd w:val="clear" w:color="auto" w:fill="F2F4F7"/>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对标名创优品模式的 8–12 元价位带小商品店；面向个体投资人、零售业者与既有店主招商</w:t>
            </w:r>
          </w:p>
        </w:tc>
        <w:tc>
          <w:tcPr>
            <w:tcW w:type="dxa" w:w="992"/>
            <w:shd w:val="clear" w:color="auto" w:fill="F2F4F7"/>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13.0</w:t>
            </w:r>
          </w:p>
        </w:tc>
        <w:tc>
          <w:tcPr>
            <w:tcW w:type="dxa" w:w="850"/>
            <w:shd w:val="clear" w:color="auto" w:fill="F2F4F7"/>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55.0</w:t>
            </w:r>
          </w:p>
        </w:tc>
        <w:tc>
          <w:tcPr>
            <w:tcW w:type="dxa" w:w="850"/>
            <w:shd w:val="clear" w:color="auto" w:fill="F2F4F7"/>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158.0</w:t>
            </w:r>
          </w:p>
        </w:tc>
        <w:tc>
          <w:tcPr>
            <w:tcW w:type="dxa" w:w="3090"/>
            <w:shd w:val="clear" w:color="auto" w:fill="F2F4F7"/>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加盟商全额出资装修与租赁，CLG 提供品牌、选品、供货、陈列与培训；按批发价供货确认收入，另收首期加盟费</w:t>
            </w:r>
          </w:p>
        </w:tc>
      </w:tr>
      <w:tr>
        <w:tc>
          <w:tcPr>
            <w:tcW w:type="dxa" w:w="1474"/>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③ B2B 在线</w:t>
            </w:r>
            <w:r>
              <w:br/>
            </w:r>
            <w:r>
              <w:rPr>
                <w:rFonts w:ascii="Calibri" w:hAnsi="Calibri" w:eastAsia="Microsoft YaHei"/>
                <w:b w:val="0"/>
                <w:i w:val="0"/>
                <w:color w:val="1A1A1A"/>
                <w:sz w:val="13"/>
              </w:rPr>
              <w:t xml:space="preserve">　 批发平台</w:t>
            </w:r>
          </w:p>
        </w:tc>
        <w:tc>
          <w:tcPr>
            <w:tcW w:type="dxa" w:w="2835"/>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全国中小批发商、代理商、酒店餐饮与政企采购；覆盖自建展厅与档口触达不到的城市</w:t>
            </w:r>
          </w:p>
        </w:tc>
        <w:tc>
          <w:tcPr>
            <w:tcW w:type="dxa" w:w="992"/>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27.2</w:t>
            </w:r>
          </w:p>
        </w:tc>
        <w:tc>
          <w:tcPr>
            <w:tcW w:type="dxa" w:w="850"/>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68.0</w:t>
            </w:r>
          </w:p>
        </w:tc>
        <w:tc>
          <w:tcPr>
            <w:tcW w:type="dxa" w:w="850"/>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132.0</w:t>
            </w:r>
          </w:p>
        </w:tc>
        <w:tc>
          <w:tcPr>
            <w:tcW w:type="dxa" w:w="3090"/>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客户分级阶梯价、授信与账期、下单—对账—CFDI 开票闭环；边际获客成本最低，三年后成为全国触达主干</w:t>
            </w:r>
          </w:p>
        </w:tc>
      </w:tr>
      <w:tr>
        <w:tc>
          <w:tcPr>
            <w:tcW w:type="dxa" w:w="1474"/>
            <w:shd w:val="clear" w:color="auto" w:fill="F2F4F7"/>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④ 电商平台与</w:t>
            </w:r>
            <w:r>
              <w:br/>
            </w:r>
            <w:r>
              <w:rPr>
                <w:rFonts w:ascii="Calibri" w:hAnsi="Calibri" w:eastAsia="Microsoft YaHei"/>
                <w:b w:val="0"/>
                <w:i w:val="0"/>
                <w:color w:val="1A1A1A"/>
                <w:sz w:val="13"/>
              </w:rPr>
              <w:t xml:space="preserve">　 品牌 D2C</w:t>
            </w:r>
          </w:p>
        </w:tc>
        <w:tc>
          <w:tcPr>
            <w:tcW w:type="dxa" w:w="2835"/>
            <w:shd w:val="clear" w:color="auto" w:fill="F2F4F7"/>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美客多／亚马逊官方店与自有品牌独立站，直面终端消费者</w:t>
            </w:r>
          </w:p>
        </w:tc>
        <w:tc>
          <w:tcPr>
            <w:tcW w:type="dxa" w:w="992"/>
            <w:shd w:val="clear" w:color="auto" w:fill="F2F4F7"/>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10.8</w:t>
            </w:r>
          </w:p>
        </w:tc>
        <w:tc>
          <w:tcPr>
            <w:tcW w:type="dxa" w:w="850"/>
            <w:shd w:val="clear" w:color="auto" w:fill="F2F4F7"/>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24.0</w:t>
            </w:r>
          </w:p>
        </w:tc>
        <w:tc>
          <w:tcPr>
            <w:tcW w:type="dxa" w:w="850"/>
            <w:shd w:val="clear" w:color="auto" w:fill="F2F4F7"/>
            <w:tcMar>
              <w:top w:w="40" w:type="dxa"/>
              <w:left w:w="90" w:type="dxa"/>
              <w:bottom w:w="40" w:type="dxa"/>
              <w:right w:w="90" w:type="dxa"/>
            </w:tcMar>
            <w:vAlign w:val="center"/>
          </w:tcPr>
          <w:p>
            <w:pPr>
              <w:keepNext/>
              <w:spacing w:before="7" w:after="7" w:lineRule="auto" w:line="264"/>
              <w:jc w:val="center"/>
            </w:pPr>
            <w:r/>
            <w:r>
              <w:rPr>
                <w:rFonts w:ascii="Calibri" w:hAnsi="Calibri" w:eastAsia="Microsoft YaHei"/>
                <w:b w:val="0"/>
                <w:i w:val="0"/>
                <w:color w:val="1A1A1A"/>
                <w:sz w:val="13"/>
              </w:rPr>
              <w:t>41.5</w:t>
            </w:r>
          </w:p>
        </w:tc>
        <w:tc>
          <w:tcPr>
            <w:tcW w:type="dxa" w:w="3090"/>
            <w:shd w:val="clear" w:color="auto" w:fill="F2F4F7"/>
            <w:tcMar>
              <w:top w:w="40" w:type="dxa"/>
              <w:left w:w="90" w:type="dxa"/>
              <w:bottom w:w="40" w:type="dxa"/>
              <w:right w:w="90" w:type="dxa"/>
            </w:tcMar>
            <w:vAlign w:val="center"/>
          </w:tcPr>
          <w:p>
            <w:pPr>
              <w:keepNext/>
              <w:spacing w:before="7" w:after="7" w:lineRule="auto" w:line="264"/>
            </w:pPr>
            <w:r/>
            <w:r>
              <w:rPr>
                <w:rFonts w:ascii="Calibri" w:hAnsi="Calibri" w:eastAsia="Microsoft YaHei"/>
                <w:b w:val="0"/>
                <w:i w:val="0"/>
                <w:color w:val="1A1A1A"/>
                <w:sz w:val="13"/>
              </w:rPr>
              <w:t>价格最高、毛利最厚；同时为自有品牌选品提供真实需求数据</w:t>
            </w:r>
          </w:p>
        </w:tc>
      </w:tr>
      <w:tr>
        <w:tc>
          <w:tcPr>
            <w:tcW w:type="dxa" w:w="1474"/>
            <w:tcBorders>
              <w:top w:val="single" w:sz="8" w:space="0" w:color="B08D3F"/>
            </w:tcBorders>
            <w:shd w:val="clear" w:color="auto" w:fill="F3EBDA"/>
            <w:tcMar>
              <w:top w:w="40" w:type="dxa"/>
              <w:left w:w="90" w:type="dxa"/>
              <w:bottom w:w="40" w:type="dxa"/>
              <w:right w:w="90" w:type="dxa"/>
            </w:tcMar>
            <w:vAlign w:val="center"/>
          </w:tcPr>
          <w:p>
            <w:pPr>
              <w:spacing w:before="7" w:after="7" w:lineRule="auto" w:line="264"/>
            </w:pPr>
            <w:r/>
            <w:r>
              <w:rPr>
                <w:rFonts w:ascii="Calibri" w:hAnsi="Calibri" w:eastAsia="Microsoft YaHei"/>
                <w:b/>
                <w:i w:val="0"/>
                <w:color w:val="0B2545"/>
                <w:sz w:val="13"/>
              </w:rPr>
              <w:t>合计</w:t>
            </w:r>
          </w:p>
        </w:tc>
        <w:tc>
          <w:tcPr>
            <w:tcW w:type="dxa" w:w="2835"/>
            <w:tcBorders>
              <w:top w:val="single" w:sz="8" w:space="0" w:color="B08D3F"/>
            </w:tcBorders>
            <w:shd w:val="clear" w:color="auto" w:fill="F3EBDA"/>
            <w:tcMar>
              <w:top w:w="40" w:type="dxa"/>
              <w:left w:w="90" w:type="dxa"/>
              <w:bottom w:w="40" w:type="dxa"/>
              <w:right w:w="90" w:type="dxa"/>
            </w:tcMar>
            <w:vAlign w:val="center"/>
          </w:tcPr>
          <w:p>
            <w:pPr>
              <w:spacing w:before="7" w:after="7" w:lineRule="auto" w:line="264"/>
            </w:pPr>
            <w:r/>
            <w:r>
              <w:rPr>
                <w:rFonts w:ascii="Calibri" w:hAnsi="Calibri" w:eastAsia="Microsoft YaHei"/>
                <w:b/>
                <w:i w:val="0"/>
                <w:color w:val="0B2545"/>
                <w:sz w:val="13"/>
              </w:rPr>
              <w:t>—</w:t>
            </w:r>
          </w:p>
        </w:tc>
        <w:tc>
          <w:tcPr>
            <w:tcW w:type="dxa" w:w="992"/>
            <w:tcBorders>
              <w:top w:val="single" w:sz="8" w:space="0" w:color="B08D3F"/>
            </w:tcBorders>
            <w:shd w:val="clear" w:color="auto" w:fill="F3EBDA"/>
            <w:tcMar>
              <w:top w:w="40" w:type="dxa"/>
              <w:left w:w="90" w:type="dxa"/>
              <w:bottom w:w="40" w:type="dxa"/>
              <w:right w:w="90" w:type="dxa"/>
            </w:tcMar>
            <w:vAlign w:val="center"/>
          </w:tcPr>
          <w:p>
            <w:pPr>
              <w:spacing w:before="7" w:after="7" w:lineRule="auto" w:line="264"/>
              <w:jc w:val="center"/>
            </w:pPr>
            <w:r/>
            <w:r>
              <w:rPr>
                <w:rFonts w:ascii="Calibri" w:hAnsi="Calibri" w:eastAsia="Microsoft YaHei"/>
                <w:b/>
                <w:i w:val="0"/>
                <w:color w:val="0B2545"/>
                <w:sz w:val="13"/>
              </w:rPr>
              <w:t>99.0</w:t>
            </w:r>
          </w:p>
        </w:tc>
        <w:tc>
          <w:tcPr>
            <w:tcW w:type="dxa" w:w="850"/>
            <w:tcBorders>
              <w:top w:val="single" w:sz="8" w:space="0" w:color="B08D3F"/>
            </w:tcBorders>
            <w:shd w:val="clear" w:color="auto" w:fill="F3EBDA"/>
            <w:tcMar>
              <w:top w:w="40" w:type="dxa"/>
              <w:left w:w="90" w:type="dxa"/>
              <w:bottom w:w="40" w:type="dxa"/>
              <w:right w:w="90" w:type="dxa"/>
            </w:tcMar>
            <w:vAlign w:val="center"/>
          </w:tcPr>
          <w:p>
            <w:pPr>
              <w:spacing w:before="7" w:after="7" w:lineRule="auto" w:line="264"/>
              <w:jc w:val="center"/>
            </w:pPr>
            <w:r/>
            <w:r>
              <w:rPr>
                <w:rFonts w:ascii="Calibri" w:hAnsi="Calibri" w:eastAsia="Microsoft YaHei"/>
                <w:b/>
                <w:i w:val="0"/>
                <w:color w:val="0B2545"/>
                <w:sz w:val="13"/>
              </w:rPr>
              <w:t>252.0</w:t>
            </w:r>
          </w:p>
        </w:tc>
        <w:tc>
          <w:tcPr>
            <w:tcW w:type="dxa" w:w="850"/>
            <w:tcBorders>
              <w:top w:val="single" w:sz="8" w:space="0" w:color="B08D3F"/>
            </w:tcBorders>
            <w:shd w:val="clear" w:color="auto" w:fill="F3EBDA"/>
            <w:tcMar>
              <w:top w:w="40" w:type="dxa"/>
              <w:left w:w="90" w:type="dxa"/>
              <w:bottom w:w="40" w:type="dxa"/>
              <w:right w:w="90" w:type="dxa"/>
            </w:tcMar>
            <w:vAlign w:val="center"/>
          </w:tcPr>
          <w:p>
            <w:pPr>
              <w:spacing w:before="7" w:after="7" w:lineRule="auto" w:line="264"/>
              <w:jc w:val="center"/>
            </w:pPr>
            <w:r/>
            <w:r>
              <w:rPr>
                <w:rFonts w:ascii="Calibri" w:hAnsi="Calibri" w:eastAsia="Microsoft YaHei"/>
                <w:b/>
                <w:i w:val="0"/>
                <w:color w:val="0B2545"/>
                <w:sz w:val="13"/>
              </w:rPr>
              <w:t>510.0</w:t>
            </w:r>
          </w:p>
        </w:tc>
        <w:tc>
          <w:tcPr>
            <w:tcW w:type="dxa" w:w="3090"/>
            <w:tcBorders>
              <w:top w:val="single" w:sz="8" w:space="0" w:color="B08D3F"/>
            </w:tcBorders>
            <w:shd w:val="clear" w:color="auto" w:fill="F3EBDA"/>
            <w:tcMar>
              <w:top w:w="40" w:type="dxa"/>
              <w:left w:w="90" w:type="dxa"/>
              <w:bottom w:w="40" w:type="dxa"/>
              <w:right w:w="90" w:type="dxa"/>
            </w:tcMar>
            <w:vAlign w:val="center"/>
          </w:tcPr>
          <w:p>
            <w:pPr>
              <w:spacing w:before="7" w:after="7" w:lineRule="auto" w:line="264"/>
            </w:pPr>
            <w:r/>
            <w:r>
              <w:rPr>
                <w:rFonts w:ascii="Calibri" w:hAnsi="Calibri" w:eastAsia="Microsoft YaHei"/>
                <w:b/>
                <w:i w:val="0"/>
                <w:color w:val="0B2545"/>
                <w:sz w:val="13"/>
              </w:rPr>
              <w:t>四条通路合计即集团全部营业收入，与第 01 节财务速览一致</w:t>
            </w:r>
          </w:p>
        </w:tc>
      </w:tr>
    </w:tbl>
    <w:p>
      <w:pPr>
        <w:spacing w:before="0" w:after="0" w:line="80" w:lineRule="exact"/>
      </w:pPr>
      <w:r>
        <w:rPr>
          <w:rFonts w:ascii="Calibri" w:hAnsi="Calibri" w:eastAsia="Microsoft YaHei"/>
          <w:b w:val="0"/>
          <w:i w:val="0"/>
          <w:color w:val="1A1A1A"/>
          <w:sz w:val="2"/>
        </w:rPr>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10091"/>
      </w:tblGrid>
      <w:tr>
        <w:tc>
          <w:tcPr>
            <w:tcW w:type="dxa" w:w="10091"/>
            <w:tcBorders>
              <w:top w:val="single" w:sz="2" w:space="0" w:color="C9D1DA"/>
              <w:left w:val="single" w:sz="18" w:space="0" w:color="B08D3F"/>
              <w:bottom w:val="single" w:sz="2" w:space="0" w:color="C9D1DA"/>
              <w:right w:val="single" w:sz="2" w:space="0" w:color="C9D1DA"/>
            </w:tcBorders>
            <w:shd w:val="clear" w:color="auto" w:fill="FFFFFF"/>
            <w:tcMar>
              <w:top w:w="20" w:type="dxa"/>
              <w:left w:w="120" w:type="dxa"/>
              <w:bottom w:w="20" w:type="dxa"/>
              <w:right w:w="80" w:type="dxa"/>
            </w:tcMar>
          </w:tcPr>
          <w:p>
            <w:pPr>
              <w:spacing w:before="40" w:after="20"/>
            </w:pPr>
            <w:r/>
            <w:r>
              <w:rPr>
                <w:rFonts w:ascii="Calibri" w:hAnsi="Calibri" w:eastAsia="Microsoft YaHei"/>
                <w:b/>
                <w:i w:val="0"/>
                <w:color w:val="0B2545"/>
                <w:sz w:val="17"/>
              </w:rPr>
              <w:t>小商品连锁加盟：零资本占用的去化引擎与自有品牌出口</w:t>
            </w:r>
          </w:p>
          <w:p>
            <w:pPr>
              <w:spacing w:before="0" w:after="24" w:line="259" w:lineRule="auto"/>
              <w:ind w:left="147" w:hanging="147"/>
            </w:pPr>
            <w:r>
              <w:rPr>
                <w:rFonts w:ascii="Calibri" w:hAnsi="Calibri" w:eastAsia="Microsoft YaHei"/>
                <w:b w:val="0"/>
                <w:i w:val="0"/>
                <w:color w:val="5A6472"/>
                <w:sz w:val="14"/>
              </w:rPr>
              <w:t>店型与选品：对标名创优品（MINISO）的小商品集合店，80–150㎡、3,000–5,000 个 SKU、主力价位带 19–199 比索，货品直接来自寄售货源的六大品类；自有品牌上市后优先进入加盟店铺货，第三年加盟通路将消化约 45% 的自有品牌产量，解决新品牌最难的「铺货难」问题。</w:t>
            </w:r>
          </w:p>
          <w:p>
            <w:pPr>
              <w:spacing w:before="0" w:after="50" w:line="259" w:lineRule="auto"/>
              <w:ind w:left="147" w:hanging="147"/>
            </w:pPr>
            <w:r>
              <w:rPr>
                <w:rFonts w:ascii="Calibri" w:hAnsi="Calibri" w:eastAsia="Microsoft YaHei"/>
                <w:b w:val="0"/>
                <w:i w:val="0"/>
                <w:color w:val="5A6472"/>
                <w:sz w:val="14"/>
              </w:rPr>
              <w:t>加盟经济模型与开店节奏：单店投资约 45–70 万比索（装修、货架、首批铺货、保证金）全部由加盟商承担，CLG 收取首期加盟费 10 万比索与可退保证金 5 万比索并按批发价供货；成熟单店年零售额约 350 万比索，CLG 确认供货收入约 175 万比索，加盟商毛利率 45–50%、回本周期 14–18 个月。第一年 8 家（墨城 5、蒙特雷 3），其中 2 家直营样板店设于既有展厅内部，不新增租金、装修计入现有展厅预算；第二年 35 家、第三年 90 家全部为加盟店。CLG 侧仅需加盟手册与合同、选址与陈列标准、培训体系与补货系统，由两地团队与外包设计方在前 90 天内完成，不增加固定编制。</w:t>
            </w:r>
          </w:p>
        </w:tc>
      </w:tr>
    </w:tbl>
    <w:p>
      <w:pPr>
        <w:spacing w:before="0" w:after="0" w:line="100" w:lineRule="exact"/>
      </w:pPr>
      <w:r>
        <w:rPr>
          <w:rFonts w:ascii="Calibri" w:hAnsi="Calibri" w:eastAsia="Microsoft YaHei"/>
          <w:b w:val="0"/>
          <w:i w:val="0"/>
          <w:color w:val="1A1A1A"/>
          <w:sz w:val="2"/>
        </w:rPr>
      </w:r>
    </w:p>
    <w:p>
      <w:pPr>
        <w:spacing w:before="20" w:after="30" w:line="240" w:lineRule="auto"/>
        <w:jc w:val="center"/>
      </w:pPr>
      <w:r>
        <w:drawing>
          <wp:inline xmlns:a="http://schemas.openxmlformats.org/drawingml/2006/main" xmlns:pic="http://schemas.openxmlformats.org/drawingml/2006/picture">
            <wp:extent cx="4824000" cy="1584245"/>
            <wp:docPr id="9" name="Picture 9"/>
            <wp:cNvGraphicFramePr>
              <a:graphicFrameLocks noChangeAspect="1"/>
            </wp:cNvGraphicFramePr>
            <a:graphic>
              <a:graphicData uri="http://schemas.openxmlformats.org/drawingml/2006/picture">
                <pic:pic>
                  <pic:nvPicPr>
                    <pic:cNvPr id="0" name="booth.png"/>
                    <pic:cNvPicPr/>
                  </pic:nvPicPr>
                  <pic:blipFill>
                    <a:blip r:embed="rId19"/>
                    <a:stretch>
                      <a:fillRect/>
                    </a:stretch>
                  </pic:blipFill>
                  <pic:spPr>
                    <a:xfrm>
                      <a:off x="0" y="0"/>
                      <a:ext cx="4824000" cy="1584245"/>
                    </a:xfrm>
                    <a:prstGeom prst="rect"/>
                  </pic:spPr>
                </pic:pic>
              </a:graphicData>
            </a:graphic>
          </wp:inline>
        </w:drawing>
      </w:r>
    </w:p>
    <w:p>
      <w:pPr>
        <w:spacing w:before="0" w:after="0" w:lineRule="auto" w:line="269"/>
        <w:jc w:val="both"/>
      </w:pPr>
      <w:r>
        <w:rPr>
          <w:rFonts w:ascii="Calibri" w:hAnsi="Calibri" w:eastAsia="Microsoft YaHei"/>
          <w:b w:val="0"/>
          <w:i w:val="0"/>
          <w:color w:val="5A6472"/>
          <w:sz w:val="14"/>
        </w:rPr>
        <w:t>展会招商：每年参加 3 场专业展会——Expo ANTAD（零售与消费品，3 月）、Expo Seguridad（劳保与工业安全，5 月）、Expo Nacional Ferretera（五金与家居，9 月）。每场以两个相邻展位同时出击：展位 A 做自有品牌形象与批发招商，展位 B 单独做加盟招商并 1:1 搭建样板店实景；品牌展位吸引人流、加盟展位承接转化，同一笔展会费用为两条业务线获客。全年目标：代理商签约 24–45 家、加盟意向 9–18 家。</w:t>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06</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执行路线图：90 天攻坚与首年里程碑</w:t>
            </w:r>
            <w:r>
              <w:rPr>
                <w:rFonts w:ascii="Calibri" w:hAnsi="Calibri" w:eastAsia="Microsoft YaHei"/>
                <w:b w:val="0"/>
                <w:i w:val="0"/>
                <w:color w:val="5A6472"/>
                <w:sz w:val="15"/>
              </w:rPr>
              <w:t xml:space="preserve">   EXECUTION ROADMAP</w:t>
            </w:r>
          </w:p>
        </w:tc>
      </w:tr>
    </w:tbl>
    <w:p>
      <w:pPr>
        <w:keepNext/>
        <w:spacing w:before="0" w:after="0" w:line="5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1077"/>
        <w:gridCol w:w="1304"/>
        <w:gridCol w:w="4649"/>
        <w:gridCol w:w="1247"/>
        <w:gridCol w:w="1814"/>
      </w:tblGrid>
      <w:tr>
        <w:trPr>
          <w:tblHeader w:val="true"/>
        </w:trPr>
        <w:tc>
          <w:tcPr>
            <w:tcW w:type="dxa" w:w="107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阶段</w:t>
            </w:r>
          </w:p>
        </w:tc>
        <w:tc>
          <w:tcPr>
            <w:tcW w:type="dxa" w:w="130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时间</w:t>
            </w:r>
          </w:p>
        </w:tc>
        <w:tc>
          <w:tcPr>
            <w:tcW w:type="dxa" w:w="4649"/>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关键交付（并行推进）</w:t>
            </w:r>
          </w:p>
        </w:tc>
        <w:tc>
          <w:tcPr>
            <w:tcW w:type="dxa" w:w="124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责任人</w:t>
            </w:r>
          </w:p>
        </w:tc>
        <w:tc>
          <w:tcPr>
            <w:tcW w:type="dxa" w:w="181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验收标准</w:t>
            </w:r>
          </w:p>
        </w:tc>
      </w:tr>
      <w:tr>
        <w:tc>
          <w:tcPr>
            <w:tcW w:type="dxa" w:w="107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第一阶段</w:t>
            </w:r>
            <w:r>
              <w:br/>
            </w:r>
            <w:r>
              <w:rPr>
                <w:rFonts w:ascii="Calibri" w:hAnsi="Calibri" w:eastAsia="Microsoft YaHei"/>
                <w:b w:val="0"/>
                <w:i w:val="0"/>
                <w:color w:val="1A1A1A"/>
                <w:sz w:val="13"/>
              </w:rPr>
              <w:t>攻坚期</w:t>
            </w:r>
          </w:p>
        </w:tc>
        <w:tc>
          <w:tcPr>
            <w:tcW w:type="dxa" w:w="1304"/>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第 1–8 周</w:t>
            </w:r>
            <w:r>
              <w:br/>
            </w:r>
            <w:r>
              <w:rPr>
                <w:rFonts w:ascii="Calibri" w:hAnsi="Calibri" w:eastAsia="Microsoft YaHei"/>
                <w:b w:val="0"/>
                <w:i w:val="0"/>
                <w:color w:val="1A1A1A"/>
                <w:sz w:val="13"/>
              </w:rPr>
              <w:t>2026.10–11</w:t>
            </w:r>
          </w:p>
        </w:tc>
        <w:tc>
          <w:tcPr>
            <w:tcW w:type="dxa" w:w="4649"/>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① 寄售合作协议签署（墨西哥独家、最低供货承诺、结算价与账期锁定）　② 实体／RFC／e.firma／CFDI 4.0 开票通道；进口商名录与 IMMEX 申报　③ 寄售 SKU 主数据对接＋条码化＋NOM-050 合规审计　④ ERP＋WMS 上线　⑤ 集团官网上线　⑥ 蒙特雷展厅与仓库签约、模块化装修、二手设备到位　⑦ 自有品牌 Logo／VI／产品设计与中国打样　⑧ IMPI 商标注册递交　⑨ Mercado Libre／Amazon MX 开店</w:t>
            </w:r>
          </w:p>
        </w:tc>
        <w:tc>
          <w:tcPr>
            <w:tcW w:type="dxa" w:w="124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双城管理团队</w:t>
            </w:r>
            <w:r>
              <w:br/>
            </w:r>
            <w:r>
              <w:rPr>
                <w:rFonts w:ascii="Calibri" w:hAnsi="Calibri" w:eastAsia="Microsoft YaHei"/>
                <w:b w:val="0"/>
                <w:i w:val="0"/>
                <w:color w:val="1A1A1A"/>
                <w:sz w:val="13"/>
              </w:rPr>
              <w:t>（IT 全责）</w:t>
            </w:r>
          </w:p>
        </w:tc>
        <w:tc>
          <w:tcPr>
            <w:tcW w:type="dxa" w:w="1814"/>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ERP 上线、蒙特雷交付、</w:t>
            </w:r>
            <w:r>
              <w:br/>
            </w:r>
            <w:r>
              <w:rPr>
                <w:rFonts w:ascii="Calibri" w:hAnsi="Calibri" w:eastAsia="Microsoft YaHei"/>
                <w:b w:val="0"/>
                <w:i w:val="0"/>
                <w:color w:val="1A1A1A"/>
                <w:sz w:val="13"/>
              </w:rPr>
              <w:t>寄售协议生效、官网上线</w:t>
            </w:r>
          </w:p>
        </w:tc>
      </w:tr>
      <w:tr>
        <w:tc>
          <w:tcPr>
            <w:tcW w:type="dxa" w:w="107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第二阶段</w:t>
            </w:r>
            <w:r>
              <w:br/>
            </w:r>
            <w:r>
              <w:rPr>
                <w:rFonts w:ascii="Calibri" w:hAnsi="Calibri" w:eastAsia="Microsoft YaHei"/>
                <w:b w:val="0"/>
                <w:i w:val="0"/>
                <w:color w:val="1A1A1A"/>
                <w:sz w:val="13"/>
              </w:rPr>
              <w:t>上线期</w:t>
            </w:r>
          </w:p>
        </w:tc>
        <w:tc>
          <w:tcPr>
            <w:tcW w:type="dxa" w:w="1304"/>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第 9–14 周</w:t>
            </w:r>
            <w:r>
              <w:br/>
            </w:r>
            <w:r>
              <w:rPr>
                <w:rFonts w:ascii="Calibri" w:hAnsi="Calibri" w:eastAsia="Microsoft YaHei"/>
                <w:b w:val="0"/>
                <w:i w:val="0"/>
                <w:color w:val="1A1A1A"/>
                <w:sz w:val="13"/>
              </w:rPr>
              <w:t>2026.12–2027.01</w:t>
            </w:r>
          </w:p>
        </w:tc>
        <w:tc>
          <w:tcPr>
            <w:tcW w:type="dxa" w:w="4649"/>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① B2B/B2C 批发平台 V1.0 上线（客户分级、阶梯价、授信、下单—对账—开票闭环）　② 自有品牌 D2C 独立站上线　③ 公司介绍手册、产品图册＋分级价目表、代理商合同范本定稿　④ 加盟体系搭建：加盟手册、加盟合同、选址与陈列标准、2 家直营样板店（设于既有展厅内）　⑤ 经美国通道的首批蒙特雷铺货　⑥ 支付通道接入</w:t>
            </w:r>
          </w:p>
        </w:tc>
        <w:tc>
          <w:tcPr>
            <w:tcW w:type="dxa" w:w="124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双城管理团队 ·</w:t>
            </w:r>
            <w:r>
              <w:br/>
            </w:r>
            <w:r>
              <w:rPr>
                <w:rFonts w:ascii="Calibri" w:hAnsi="Calibri" w:eastAsia="Microsoft YaHei"/>
                <w:b w:val="0"/>
                <w:i w:val="0"/>
                <w:color w:val="1A1A1A"/>
                <w:sz w:val="13"/>
              </w:rPr>
              <w:t>销售总监</w:t>
            </w:r>
          </w:p>
        </w:tc>
        <w:tc>
          <w:tcPr>
            <w:tcW w:type="dxa" w:w="1814"/>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平台交易跑通、</w:t>
            </w:r>
            <w:r>
              <w:br/>
            </w:r>
            <w:r>
              <w:rPr>
                <w:rFonts w:ascii="Calibri" w:hAnsi="Calibri" w:eastAsia="Microsoft YaHei"/>
                <w:b w:val="0"/>
                <w:i w:val="0"/>
                <w:color w:val="1A1A1A"/>
                <w:sz w:val="13"/>
              </w:rPr>
              <w:t>手册与合同交付</w:t>
            </w:r>
          </w:p>
        </w:tc>
      </w:tr>
      <w:tr>
        <w:tc>
          <w:tcPr>
            <w:tcW w:type="dxa" w:w="1077"/>
            <w:tcMar>
              <w:top w:w="40" w:type="dxa"/>
              <w:left w:w="90" w:type="dxa"/>
              <w:bottom w:w="40" w:type="dxa"/>
              <w:right w:w="90" w:type="dxa"/>
            </w:tcMar>
            <w:vAlign w:val="center"/>
          </w:tcPr>
          <w:p>
            <w:pPr>
              <w:spacing w:before="6" w:after="6" w:lineRule="auto" w:line="264"/>
              <w:jc w:val="center"/>
            </w:pPr>
            <w:r/>
            <w:r>
              <w:rPr>
                <w:rFonts w:ascii="Calibri" w:hAnsi="Calibri" w:eastAsia="Microsoft YaHei"/>
                <w:b w:val="0"/>
                <w:i w:val="0"/>
                <w:color w:val="1A1A1A"/>
                <w:sz w:val="13"/>
              </w:rPr>
              <w:t>第三阶段</w:t>
            </w:r>
            <w:r>
              <w:br/>
            </w:r>
            <w:r>
              <w:rPr>
                <w:rFonts w:ascii="Calibri" w:hAnsi="Calibri" w:eastAsia="Microsoft YaHei"/>
                <w:b w:val="0"/>
                <w:i w:val="0"/>
                <w:color w:val="1A1A1A"/>
                <w:sz w:val="13"/>
              </w:rPr>
              <w:t>放量期</w:t>
            </w:r>
          </w:p>
        </w:tc>
        <w:tc>
          <w:tcPr>
            <w:tcW w:type="dxa" w:w="1304"/>
            <w:tcMar>
              <w:top w:w="40" w:type="dxa"/>
              <w:left w:w="90" w:type="dxa"/>
              <w:bottom w:w="40" w:type="dxa"/>
              <w:right w:w="90" w:type="dxa"/>
            </w:tcMar>
            <w:vAlign w:val="center"/>
          </w:tcPr>
          <w:p>
            <w:pPr>
              <w:spacing w:before="6" w:after="6" w:lineRule="auto" w:line="264"/>
              <w:jc w:val="center"/>
            </w:pPr>
            <w:r/>
            <w:r>
              <w:rPr>
                <w:rFonts w:ascii="Calibri" w:hAnsi="Calibri" w:eastAsia="Microsoft YaHei"/>
                <w:b w:val="0"/>
                <w:i w:val="0"/>
                <w:color w:val="1A1A1A"/>
                <w:sz w:val="13"/>
              </w:rPr>
              <w:t>第 15–52 周</w:t>
            </w:r>
            <w:r>
              <w:br/>
            </w:r>
            <w:r>
              <w:rPr>
                <w:rFonts w:ascii="Calibri" w:hAnsi="Calibri" w:eastAsia="Microsoft YaHei"/>
                <w:b w:val="0"/>
                <w:i w:val="0"/>
                <w:color w:val="1A1A1A"/>
                <w:sz w:val="13"/>
              </w:rPr>
              <w:t>2027.02–09</w:t>
            </w:r>
          </w:p>
        </w:tc>
        <w:tc>
          <w:tcPr>
            <w:tcW w:type="dxa" w:w="4649"/>
            <w:tcMar>
              <w:top w:w="40" w:type="dxa"/>
              <w:left w:w="90" w:type="dxa"/>
              <w:bottom w:w="40" w:type="dxa"/>
              <w:right w:w="90" w:type="dxa"/>
            </w:tcMar>
            <w:vAlign w:val="center"/>
          </w:tcPr>
          <w:p>
            <w:pPr>
              <w:spacing w:before="6" w:after="6" w:lineRule="auto" w:line="264"/>
            </w:pPr>
            <w:r/>
            <w:r>
              <w:rPr>
                <w:rFonts w:ascii="Calibri" w:hAnsi="Calibri" w:eastAsia="Microsoft YaHei"/>
                <w:b w:val="0"/>
                <w:i w:val="0"/>
                <w:color w:val="1A1A1A"/>
                <w:sz w:val="13"/>
              </w:rPr>
              <w:t>① 双城 360 家活跃 B2B 客户、60 家代理商、80 名兼职销售代表签约　② 批发市场档口进驻（墨城 Central de Abastos／Tepito、蒙特雷）　③ 小商品连锁加盟店开出 8 家　④ 参加 3 场专业展会（双展位）　⑤ 自有品牌首批量产（资金由经营收入承担）并上市　⑥ 大型渠道准入谈判　⑦ 第 4 个月起经营现金流自给，扩张支出全部内生　⑧ IFRS／US GAAP 账套与审计对接</w:t>
            </w:r>
          </w:p>
        </w:tc>
        <w:tc>
          <w:tcPr>
            <w:tcW w:type="dxa" w:w="1247"/>
            <w:tcMar>
              <w:top w:w="40" w:type="dxa"/>
              <w:left w:w="90" w:type="dxa"/>
              <w:bottom w:w="40" w:type="dxa"/>
              <w:right w:w="90" w:type="dxa"/>
            </w:tcMar>
            <w:vAlign w:val="center"/>
          </w:tcPr>
          <w:p>
            <w:pPr>
              <w:spacing w:before="6" w:after="6" w:lineRule="auto" w:line="264"/>
              <w:jc w:val="center"/>
            </w:pPr>
            <w:r/>
            <w:r>
              <w:rPr>
                <w:rFonts w:ascii="Calibri" w:hAnsi="Calibri" w:eastAsia="Microsoft YaHei"/>
                <w:b w:val="0"/>
                <w:i w:val="0"/>
                <w:color w:val="1A1A1A"/>
                <w:sz w:val="13"/>
              </w:rPr>
              <w:t>双城管理团队 ·</w:t>
            </w:r>
            <w:r>
              <w:br/>
            </w:r>
            <w:r>
              <w:rPr>
                <w:rFonts w:ascii="Calibri" w:hAnsi="Calibri" w:eastAsia="Microsoft YaHei"/>
                <w:b w:val="0"/>
                <w:i w:val="0"/>
                <w:color w:val="1A1A1A"/>
                <w:sz w:val="13"/>
              </w:rPr>
              <w:t>销售总监</w:t>
            </w:r>
          </w:p>
        </w:tc>
        <w:tc>
          <w:tcPr>
            <w:tcW w:type="dxa" w:w="1814"/>
            <w:tcMar>
              <w:top w:w="40" w:type="dxa"/>
              <w:left w:w="90" w:type="dxa"/>
              <w:bottom w:w="40" w:type="dxa"/>
              <w:right w:w="90" w:type="dxa"/>
            </w:tcMar>
            <w:vAlign w:val="center"/>
          </w:tcPr>
          <w:p>
            <w:pPr>
              <w:spacing w:before="6" w:after="6" w:lineRule="auto" w:line="264"/>
              <w:jc w:val="center"/>
            </w:pPr>
            <w:r/>
            <w:r>
              <w:rPr>
                <w:rFonts w:ascii="Calibri" w:hAnsi="Calibri" w:eastAsia="Microsoft YaHei"/>
                <w:b w:val="0"/>
                <w:i w:val="0"/>
                <w:color w:val="1A1A1A"/>
                <w:sz w:val="13"/>
              </w:rPr>
              <w:t>收入 9,900 万比索、</w:t>
            </w:r>
            <w:r>
              <w:br/>
            </w:r>
            <w:r>
              <w:rPr>
                <w:rFonts w:ascii="Calibri" w:hAnsi="Calibri" w:eastAsia="Microsoft YaHei"/>
                <w:b w:val="0"/>
                <w:i w:val="0"/>
                <w:color w:val="1A1A1A"/>
                <w:sz w:val="13"/>
              </w:rPr>
              <w:t>EBITDA 1,588 万、审计出具</w:t>
            </w:r>
          </w:p>
        </w:tc>
      </w:tr>
    </w:tbl>
    <w:p>
      <w:pPr>
        <w:spacing w:before="0" w:after="0" w:line="120" w:lineRule="exact"/>
      </w:pPr>
      <w:r>
        <w:rPr>
          <w:rFonts w:ascii="Calibri" w:hAnsi="Calibri" w:eastAsia="Microsoft YaHei"/>
          <w:b w:val="0"/>
          <w:i w:val="0"/>
          <w:color w:val="1A1A1A"/>
          <w:sz w:val="2"/>
        </w:rPr>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07</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组织架构与人力配置（18 人）</w:t>
            </w:r>
            <w:r>
              <w:rPr>
                <w:rFonts w:ascii="Calibri" w:hAnsi="Calibri" w:eastAsia="Microsoft YaHei"/>
                <w:b w:val="0"/>
                <w:i w:val="0"/>
                <w:color w:val="5A6472"/>
                <w:sz w:val="15"/>
              </w:rPr>
              <w:t xml:space="preserve">   ORGANIZATION &amp; HEADCOUNT</w:t>
            </w:r>
          </w:p>
        </w:tc>
      </w:tr>
    </w:tbl>
    <w:p>
      <w:pPr>
        <w:keepNext/>
        <w:spacing w:before="0" w:after="0" w:line="5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2948"/>
        <w:gridCol w:w="1871"/>
        <w:gridCol w:w="1871"/>
        <w:gridCol w:w="1247"/>
        <w:gridCol w:w="2154"/>
      </w:tblGrid>
      <w:tr>
        <w:trPr>
          <w:tblHeader w:val="true"/>
        </w:trPr>
        <w:tc>
          <w:tcPr>
            <w:tcW w:type="dxa" w:w="2948"/>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职能</w:t>
            </w:r>
          </w:p>
        </w:tc>
        <w:tc>
          <w:tcPr>
            <w:tcW w:type="dxa" w:w="187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墨西哥城（总部）</w:t>
            </w:r>
          </w:p>
        </w:tc>
        <w:tc>
          <w:tcPr>
            <w:tcW w:type="dxa" w:w="187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蒙特雷</w:t>
            </w:r>
          </w:p>
        </w:tc>
        <w:tc>
          <w:tcPr>
            <w:tcW w:type="dxa" w:w="124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合计</w:t>
            </w:r>
          </w:p>
        </w:tc>
        <w:tc>
          <w:tcPr>
            <w:tcW w:type="dxa" w:w="215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月度全负荷成本（比索）</w:t>
            </w:r>
          </w:p>
        </w:tc>
      </w:tr>
      <w:tr>
        <w:tc>
          <w:tcPr>
            <w:tcW w:type="dxa" w:w="294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管理团队（双城统筹、IT 与定价决策）· 全职</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w:t>
            </w:r>
          </w:p>
        </w:tc>
        <w:tc>
          <w:tcPr>
            <w:tcW w:type="dxa" w:w="124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w:t>
            </w:r>
          </w:p>
        </w:tc>
        <w:tc>
          <w:tcPr>
            <w:tcW w:type="dxa" w:w="215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243,000</w:t>
            </w:r>
          </w:p>
        </w:tc>
      </w:tr>
      <w:tr>
        <w:tc>
          <w:tcPr>
            <w:tcW w:type="dxa" w:w="2948"/>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销售与展厅（两地团队）· 全职</w:t>
            </w:r>
          </w:p>
        </w:tc>
        <w:tc>
          <w:tcPr>
            <w:tcW w:type="dxa" w:w="187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5</w:t>
            </w:r>
          </w:p>
        </w:tc>
        <w:tc>
          <w:tcPr>
            <w:tcW w:type="dxa" w:w="187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5</w:t>
            </w:r>
          </w:p>
        </w:tc>
        <w:tc>
          <w:tcPr>
            <w:tcW w:type="dxa" w:w="1247"/>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10</w:t>
            </w:r>
          </w:p>
        </w:tc>
        <w:tc>
          <w:tcPr>
            <w:tcW w:type="dxa" w:w="215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351,450</w:t>
            </w:r>
          </w:p>
        </w:tc>
      </w:tr>
      <w:tr>
        <w:tc>
          <w:tcPr>
            <w:tcW w:type="dxa" w:w="294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仓储与物流 · 全职</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3</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w:t>
            </w:r>
          </w:p>
        </w:tc>
        <w:tc>
          <w:tcPr>
            <w:tcW w:type="dxa" w:w="124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4</w:t>
            </w:r>
          </w:p>
        </w:tc>
        <w:tc>
          <w:tcPr>
            <w:tcW w:type="dxa" w:w="215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59,400</w:t>
            </w:r>
          </w:p>
        </w:tc>
      </w:tr>
      <w:tr>
        <w:tc>
          <w:tcPr>
            <w:tcW w:type="dxa" w:w="2948"/>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电商与 IT 开发（管理团队直管）· 全职</w:t>
            </w:r>
          </w:p>
        </w:tc>
        <w:tc>
          <w:tcPr>
            <w:tcW w:type="dxa" w:w="187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w:t>
            </w:r>
          </w:p>
        </w:tc>
        <w:tc>
          <w:tcPr>
            <w:tcW w:type="dxa" w:w="187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w:t>
            </w:r>
          </w:p>
        </w:tc>
        <w:tc>
          <w:tcPr>
            <w:tcW w:type="dxa" w:w="1247"/>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w:t>
            </w:r>
          </w:p>
        </w:tc>
        <w:tc>
          <w:tcPr>
            <w:tcW w:type="dxa" w:w="215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121,500</w:t>
            </w:r>
          </w:p>
        </w:tc>
      </w:tr>
      <w:tr>
        <w:tc>
          <w:tcPr>
            <w:tcW w:type="dxa" w:w="294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财务、采购与行政（兼客服）· 全职</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w:t>
            </w:r>
          </w:p>
        </w:tc>
        <w:tc>
          <w:tcPr>
            <w:tcW w:type="dxa" w:w="124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w:t>
            </w:r>
          </w:p>
        </w:tc>
        <w:tc>
          <w:tcPr>
            <w:tcW w:type="dxa" w:w="215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47,250</w:t>
            </w:r>
          </w:p>
        </w:tc>
      </w:tr>
      <w:tr>
        <w:tc>
          <w:tcPr>
            <w:tcW w:type="dxa" w:w="2948"/>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i w:val="0"/>
                <w:color w:val="0B2545"/>
                <w:sz w:val="14"/>
              </w:rPr>
              <w:t>全职编制合计</w:t>
            </w:r>
          </w:p>
        </w:tc>
        <w:tc>
          <w:tcPr>
            <w:tcW w:type="dxa" w:w="187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i w:val="0"/>
                <w:color w:val="0B2545"/>
                <w:sz w:val="14"/>
              </w:rPr>
              <w:t>12</w:t>
            </w:r>
          </w:p>
        </w:tc>
        <w:tc>
          <w:tcPr>
            <w:tcW w:type="dxa" w:w="187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i w:val="0"/>
                <w:color w:val="0B2545"/>
                <w:sz w:val="14"/>
              </w:rPr>
              <w:t>6</w:t>
            </w:r>
          </w:p>
        </w:tc>
        <w:tc>
          <w:tcPr>
            <w:tcW w:type="dxa" w:w="1247"/>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i w:val="0"/>
                <w:color w:val="0B2545"/>
                <w:sz w:val="14"/>
              </w:rPr>
              <w:t>18</w:t>
            </w:r>
          </w:p>
        </w:tc>
        <w:tc>
          <w:tcPr>
            <w:tcW w:type="dxa" w:w="215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i w:val="0"/>
                <w:color w:val="0B2545"/>
                <w:sz w:val="14"/>
              </w:rPr>
              <w:t>815,400</w:t>
            </w:r>
          </w:p>
        </w:tc>
      </w:tr>
      <w:tr>
        <w:tc>
          <w:tcPr>
            <w:tcW w:type="dxa" w:w="294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兼职销售代表（长期提成协议，不入编制）</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首年 50 名</w:t>
            </w:r>
          </w:p>
        </w:tc>
        <w:tc>
          <w:tcPr>
            <w:tcW w:type="dxa" w:w="187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首年 30 名</w:t>
            </w:r>
          </w:p>
        </w:tc>
        <w:tc>
          <w:tcPr>
            <w:tcW w:type="dxa" w:w="124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首年 80 名</w:t>
            </w:r>
          </w:p>
        </w:tc>
        <w:tc>
          <w:tcPr>
            <w:tcW w:type="dxa" w:w="215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零固定人工，按回款计提</w:t>
            </w:r>
          </w:p>
        </w:tc>
      </w:tr>
      <w:tr>
        <w:tc>
          <w:tcPr>
            <w:tcW w:type="dxa" w:w="2948"/>
            <w:shd w:val="clear" w:color="auto" w:fill="F2F4F7"/>
            <w:tcMar>
              <w:top w:w="40" w:type="dxa"/>
              <w:left w:w="90" w:type="dxa"/>
              <w:bottom w:w="40" w:type="dxa"/>
              <w:right w:w="90" w:type="dxa"/>
            </w:tcMar>
            <w:vAlign w:val="center"/>
          </w:tcPr>
          <w:p>
            <w:pPr>
              <w:spacing w:before="12" w:after="12" w:lineRule="auto" w:line="264"/>
            </w:pPr>
            <w:r/>
            <w:r>
              <w:rPr>
                <w:rFonts w:ascii="Calibri" w:hAnsi="Calibri" w:eastAsia="Microsoft YaHei"/>
                <w:b w:val="0"/>
                <w:i w:val="0"/>
                <w:color w:val="1A1A1A"/>
                <w:sz w:val="14"/>
              </w:rPr>
              <w:t>设计、摄影、代运营、法务、报关</w:t>
            </w:r>
          </w:p>
        </w:tc>
        <w:tc>
          <w:tcPr>
            <w:tcW w:type="dxa" w:w="1871"/>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外包</w:t>
            </w:r>
          </w:p>
        </w:tc>
        <w:tc>
          <w:tcPr>
            <w:tcW w:type="dxa" w:w="1871"/>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外包</w:t>
            </w:r>
          </w:p>
        </w:tc>
        <w:tc>
          <w:tcPr>
            <w:tcW w:type="dxa" w:w="1247"/>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0</w:t>
            </w:r>
          </w:p>
        </w:tc>
        <w:tc>
          <w:tcPr>
            <w:tcW w:type="dxa" w:w="2154"/>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不设编制，按项目计费</w:t>
            </w:r>
          </w:p>
        </w:tc>
      </w:tr>
    </w:tbl>
    <w:p>
      <w:pPr>
        <w:spacing w:before="0" w:after="0" w:line="60" w:lineRule="exact"/>
      </w:pPr>
      <w:r>
        <w:rPr>
          <w:rFonts w:ascii="Calibri" w:hAnsi="Calibri" w:eastAsia="Microsoft YaHei"/>
          <w:b w:val="0"/>
          <w:i w:val="0"/>
          <w:color w:val="1A1A1A"/>
          <w:sz w:val="2"/>
        </w:rPr>
      </w:r>
    </w:p>
    <w:p>
      <w:pPr>
        <w:spacing w:before="0" w:after="100" w:lineRule="auto" w:line="269"/>
        <w:jc w:val="both"/>
      </w:pPr>
      <w:r>
        <w:rPr>
          <w:rFonts w:ascii="Calibri" w:hAnsi="Calibri" w:eastAsia="Microsoft YaHei"/>
          <w:b w:val="0"/>
          <w:i w:val="0"/>
          <w:color w:val="5A6472"/>
          <w:sz w:val="14"/>
        </w:rPr>
        <w:t>全负荷成本 = 税前月薪 × 1.35（IMSS 社保、INFONAVIT 住房、SAR、年终奖 15 天、休假金及州工资税 ISN 约 3%）。满编月成本 815,400 比索、年化 978 万比索；首年按分批到岗约 75% 计为 730 万比索，加 2% 销售提成 198 万比索，首年人力总成本 928 万比索（仅占收入 9.4%）。上表 18 人全部为全职正式编制（墨西哥城 12 人、蒙特雷 6 人），签订正式劳动合同并计入 IMSS 社保；两地团队承担同一套经营目标与同一套考核指标，共用一套 ERP／WMS 与统一价盘，本计划的每一项业务均由两城团队共同执行，而非由某一城或某一人主导。其中销售与展厅 10 人为全职销售人员，墨城与蒙特雷各 5 人。在此之外，公司将在两城及周边州大量招募兼职销售代表，签订长期提成协议——无底薪、不入编制、不产生任何固定人工成本，仅按实际回款计提佣金；首年目标 80 名（墨城 50 / 蒙特雷 30），第二年 220 名，第三年 500 名。兼职提成与代理商返利同源，已计入「销售提成」与「代理商返利与渠道费用」两个科目（合计占收入 4.5%），不另增支出。这一「全职精兵 + 兼职提成大军 + 代理商网络」三层结构，是 18 人编制得以支撑 9,900 万比索首年收入的根本原因。</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10091"/>
      </w:tblGrid>
      <w:tr>
        <w:tc>
          <w:tcPr>
            <w:tcW w:type="dxa" w:w="10091"/>
            <w:tcBorders>
              <w:top w:val="single" w:sz="2" w:space="0" w:color="C9D1DA"/>
              <w:left w:val="single" w:sz="18" w:space="0" w:color="B08D3F"/>
              <w:bottom w:val="single" w:sz="2" w:space="0" w:color="C9D1DA"/>
              <w:right w:val="single" w:sz="2" w:space="0" w:color="C9D1DA"/>
            </w:tcBorders>
            <w:shd w:val="clear" w:color="auto" w:fill="FFFFFF"/>
            <w:tcMar>
              <w:top w:w="20" w:type="dxa"/>
              <w:left w:w="120" w:type="dxa"/>
              <w:bottom w:w="20" w:type="dxa"/>
              <w:right w:w="80" w:type="dxa"/>
            </w:tcMar>
          </w:tcPr>
          <w:p>
            <w:pPr>
              <w:spacing w:before="40" w:after="20"/>
            </w:pPr>
            <w:r/>
            <w:r>
              <w:rPr>
                <w:rFonts w:ascii="Calibri" w:hAnsi="Calibri" w:eastAsia="Microsoft YaHei"/>
                <w:b/>
                <w:i w:val="0"/>
                <w:color w:val="0B2545"/>
                <w:sz w:val="17"/>
              </w:rPr>
              <w:t>双城管理团队：两地并行、共同执行</w:t>
            </w:r>
          </w:p>
          <w:p>
            <w:pPr>
              <w:spacing w:before="0" w:after="24" w:line="264" w:lineRule="auto"/>
              <w:ind w:left="147" w:hanging="147"/>
            </w:pPr>
            <w:r>
              <w:rPr>
                <w:rFonts w:ascii="Calibri" w:hAnsi="Calibri" w:eastAsia="Microsoft YaHei"/>
                <w:b w:val="0"/>
                <w:i w:val="0"/>
                <w:color w:val="5A6472"/>
                <w:sz w:val="14"/>
              </w:rPr>
              <w:t>本项目由墨西哥城与蒙特雷两地团队共同负责。经营责任由两地团队共同承担，管理团队横跨双城，由墨西哥城统筹岗、销售总监（墨城）、蒙特雷销售主管与财务行政主管组成；定价、授信、采购与扩张等重大事项由管理团队集体决议，日常经营各自在本城闭环。取消独立分公司经理层后，每年节省全负荷人工约 130 万比索，更消除了双城之间的决策时延与协调损耗。</w:t>
            </w:r>
          </w:p>
          <w:p>
            <w:pPr>
              <w:spacing w:before="0" w:after="50" w:line="264" w:lineRule="auto"/>
              <w:ind w:left="147" w:hanging="147"/>
            </w:pPr>
            <w:r>
              <w:rPr>
                <w:rFonts w:ascii="Calibri" w:hAnsi="Calibri" w:eastAsia="Microsoft YaHei"/>
                <w:b w:val="0"/>
                <w:i w:val="0"/>
                <w:color w:val="5A6472"/>
                <w:sz w:val="14"/>
              </w:rPr>
              <w:t>职能分工：墨西哥城团队负责寄售货源定价与出货节奏、集团总部职能、IT 与数字平台开发（2 人开发团队由管理团队直管）、财务与采购；蒙特雷团队负责工业与劳保客户开发、展厅与仓库运营、北部代理商与兼职销售队伍。两城共用一套 ERP／WMS 与统一价盘，库存、订单与客户状态实时互通。投资人视角：18 人全职编制 + 兼职提成销售队伍 + 代理商网络，两城并行推进、90 天交付三大平台，依靠的是精简管理团队的集体决策与非核心职能的全面外部化；管理团队规模精简仍构成关键岗位依赖，缓释措施为关键流程固化于 ERP 与书面 SOP、两地管理岗互为备份、核心管理者期权池与人身保险，并于第 12 个月视业绩增补管理岗位。</w:t>
            </w:r>
          </w:p>
        </w:tc>
      </w:tr>
    </w:tbl>
    <w:p>
      <w:pPr>
        <w:spacing w:before="0" w:after="0" w:line="140" w:lineRule="exact"/>
      </w:pPr>
      <w:r>
        <w:rPr>
          <w:rFonts w:ascii="Calibri" w:hAnsi="Calibri" w:eastAsia="Microsoft YaHei"/>
          <w:b w:val="0"/>
          <w:i w:val="0"/>
          <w:color w:val="1A1A1A"/>
          <w:sz w:val="2"/>
        </w:rPr>
      </w:r>
    </w:p>
    <w:p>
      <w:pPr>
        <w:keepNext/>
        <w:spacing w:before="0" w:after="60" w:lineRule="auto" w:line="283"/>
      </w:pPr>
      <w:r>
        <w:rPr>
          <w:rFonts w:ascii="Calibri" w:hAnsi="Calibri" w:eastAsia="Microsoft YaHei"/>
          <w:b/>
          <w:i w:val="0"/>
          <w:color w:val="0B2545"/>
          <w:sz w:val="17"/>
        </w:rPr>
        <w:t>首年营业费用结构（合计 3,065 万比索，占收入 31.0%）</w:t>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2948"/>
        <w:gridCol w:w="964"/>
        <w:gridCol w:w="794"/>
        <w:gridCol w:w="3345"/>
        <w:gridCol w:w="1020"/>
        <w:gridCol w:w="1020"/>
      </w:tblGrid>
      <w:tr>
        <w:trPr>
          <w:tblHeader w:val="true"/>
        </w:trPr>
        <w:tc>
          <w:tcPr>
            <w:tcW w:type="dxa" w:w="2948"/>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费用科目</w:t>
            </w:r>
          </w:p>
        </w:tc>
        <w:tc>
          <w:tcPr>
            <w:tcW w:type="dxa" w:w="96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百万比索</w:t>
            </w:r>
          </w:p>
        </w:tc>
        <w:tc>
          <w:tcPr>
            <w:tcW w:type="dxa" w:w="79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占收入</w:t>
            </w:r>
          </w:p>
        </w:tc>
        <w:tc>
          <w:tcPr>
            <w:tcW w:type="dxa" w:w="334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费用科目</w:t>
            </w:r>
          </w:p>
        </w:tc>
        <w:tc>
          <w:tcPr>
            <w:tcW w:type="dxa" w:w="1020"/>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百万比索</w:t>
            </w:r>
          </w:p>
        </w:tc>
        <w:tc>
          <w:tcPr>
            <w:tcW w:type="dxa" w:w="1020"/>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占收入</w:t>
            </w:r>
          </w:p>
        </w:tc>
      </w:tr>
      <w:tr>
        <w:tc>
          <w:tcPr>
            <w:tcW w:type="dxa" w:w="294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人力（全负荷，分批到岗）</w:t>
            </w:r>
          </w:p>
        </w:tc>
        <w:tc>
          <w:tcPr>
            <w:tcW w:type="dxa" w:w="96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7.3</w:t>
            </w:r>
          </w:p>
        </w:tc>
        <w:tc>
          <w:tcPr>
            <w:tcW w:type="dxa" w:w="79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7.4%</w:t>
            </w:r>
          </w:p>
        </w:tc>
        <w:tc>
          <w:tcPr>
            <w:tcW w:type="dxa" w:w="3345"/>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专业服务（律师、报关、商标、审计、税务）</w:t>
            </w:r>
          </w:p>
        </w:tc>
        <w:tc>
          <w:tcPr>
            <w:tcW w:type="dxa" w:w="1020"/>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1.0</w:t>
            </w:r>
          </w:p>
        </w:tc>
        <w:tc>
          <w:tcPr>
            <w:tcW w:type="dxa" w:w="1020"/>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1.0%</w:t>
            </w:r>
          </w:p>
        </w:tc>
      </w:tr>
      <w:tr>
        <w:tc>
          <w:tcPr>
            <w:tcW w:type="dxa" w:w="2948"/>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租金（墨城 12 个月＋蒙特雷 5 个月当量）</w:t>
            </w:r>
          </w:p>
        </w:tc>
        <w:tc>
          <w:tcPr>
            <w:tcW w:type="dxa" w:w="96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6.35</w:t>
            </w:r>
          </w:p>
        </w:tc>
        <w:tc>
          <w:tcPr>
            <w:tcW w:type="dxa" w:w="79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6.4%</w:t>
            </w:r>
          </w:p>
        </w:tc>
        <w:tc>
          <w:tcPr>
            <w:tcW w:type="dxa" w:w="3345"/>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安保、保险、水电与设施</w:t>
            </w:r>
          </w:p>
        </w:tc>
        <w:tc>
          <w:tcPr>
            <w:tcW w:type="dxa" w:w="1020"/>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0.8</w:t>
            </w:r>
          </w:p>
        </w:tc>
        <w:tc>
          <w:tcPr>
            <w:tcW w:type="dxa" w:w="1020"/>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0.8%</w:t>
            </w:r>
          </w:p>
        </w:tc>
      </w:tr>
      <w:tr>
        <w:tc>
          <w:tcPr>
            <w:tcW w:type="dxa" w:w="294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市场推广与渠道开发</w:t>
            </w:r>
          </w:p>
        </w:tc>
        <w:tc>
          <w:tcPr>
            <w:tcW w:type="dxa" w:w="96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3.5</w:t>
            </w:r>
          </w:p>
        </w:tc>
        <w:tc>
          <w:tcPr>
            <w:tcW w:type="dxa" w:w="79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3.5%</w:t>
            </w:r>
          </w:p>
        </w:tc>
        <w:tc>
          <w:tcPr>
            <w:tcW w:type="dxa" w:w="3345"/>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差旅、样品与展会</w:t>
            </w:r>
          </w:p>
        </w:tc>
        <w:tc>
          <w:tcPr>
            <w:tcW w:type="dxa" w:w="1020"/>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0.8</w:t>
            </w:r>
          </w:p>
        </w:tc>
        <w:tc>
          <w:tcPr>
            <w:tcW w:type="dxa" w:w="1020"/>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0.8%</w:t>
            </w:r>
          </w:p>
        </w:tc>
      </w:tr>
      <w:tr>
        <w:tc>
          <w:tcPr>
            <w:tcW w:type="dxa" w:w="2948"/>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代理商返利与渠道费用</w:t>
            </w:r>
          </w:p>
        </w:tc>
        <w:tc>
          <w:tcPr>
            <w:tcW w:type="dxa" w:w="96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2.5</w:t>
            </w:r>
          </w:p>
        </w:tc>
        <w:tc>
          <w:tcPr>
            <w:tcW w:type="dxa" w:w="79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2.5%</w:t>
            </w:r>
          </w:p>
        </w:tc>
        <w:tc>
          <w:tcPr>
            <w:tcW w:type="dxa" w:w="3345"/>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坏账计提（B2B 收入 1.5%）</w:t>
            </w:r>
          </w:p>
        </w:tc>
        <w:tc>
          <w:tcPr>
            <w:tcW w:type="dxa" w:w="1020"/>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1.2</w:t>
            </w:r>
          </w:p>
        </w:tc>
        <w:tc>
          <w:tcPr>
            <w:tcW w:type="dxa" w:w="1020"/>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1.2%</w:t>
            </w:r>
          </w:p>
        </w:tc>
      </w:tr>
      <w:tr>
        <w:tc>
          <w:tcPr>
            <w:tcW w:type="dxa" w:w="294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物流与末端配送（自有物流按成本结算）</w:t>
            </w:r>
          </w:p>
        </w:tc>
        <w:tc>
          <w:tcPr>
            <w:tcW w:type="dxa" w:w="96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2.5</w:t>
            </w:r>
          </w:p>
        </w:tc>
        <w:tc>
          <w:tcPr>
            <w:tcW w:type="dxa" w:w="79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2.5%</w:t>
            </w:r>
          </w:p>
        </w:tc>
        <w:tc>
          <w:tcPr>
            <w:tcW w:type="dxa" w:w="3345"/>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IT 运维、ERP/WMS 订阅与设计外包</w:t>
            </w:r>
          </w:p>
        </w:tc>
        <w:tc>
          <w:tcPr>
            <w:tcW w:type="dxa" w:w="1020"/>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1.5</w:t>
            </w:r>
          </w:p>
        </w:tc>
        <w:tc>
          <w:tcPr>
            <w:tcW w:type="dxa" w:w="1020"/>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1.5%</w:t>
            </w:r>
          </w:p>
        </w:tc>
      </w:tr>
      <w:tr>
        <w:tc>
          <w:tcPr>
            <w:tcW w:type="dxa" w:w="2948"/>
            <w:shd w:val="clear" w:color="auto" w:fill="F2F4F7"/>
            <w:tcMar>
              <w:top w:w="40" w:type="dxa"/>
              <w:left w:w="90" w:type="dxa"/>
              <w:bottom w:w="40" w:type="dxa"/>
              <w:right w:w="90" w:type="dxa"/>
            </w:tcMar>
            <w:vAlign w:val="center"/>
          </w:tcPr>
          <w:p>
            <w:pPr>
              <w:spacing w:before="12" w:after="12" w:lineRule="auto" w:line="264"/>
            </w:pPr>
            <w:r/>
            <w:r>
              <w:rPr>
                <w:rFonts w:ascii="Calibri" w:hAnsi="Calibri" w:eastAsia="Microsoft YaHei"/>
                <w:b w:val="0"/>
                <w:i w:val="0"/>
                <w:color w:val="1A1A1A"/>
                <w:sz w:val="14"/>
              </w:rPr>
              <w:t>销售提成（收入 2%）</w:t>
            </w:r>
          </w:p>
        </w:tc>
        <w:tc>
          <w:tcPr>
            <w:tcW w:type="dxa" w:w="964"/>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2.0</w:t>
            </w:r>
          </w:p>
        </w:tc>
        <w:tc>
          <w:tcPr>
            <w:tcW w:type="dxa" w:w="794"/>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2.0%</w:t>
            </w:r>
          </w:p>
        </w:tc>
        <w:tc>
          <w:tcPr>
            <w:tcW w:type="dxa" w:w="3345"/>
            <w:shd w:val="clear" w:color="auto" w:fill="F2F4F7"/>
            <w:tcMar>
              <w:top w:w="40" w:type="dxa"/>
              <w:left w:w="90" w:type="dxa"/>
              <w:bottom w:w="40" w:type="dxa"/>
              <w:right w:w="90" w:type="dxa"/>
            </w:tcMar>
            <w:vAlign w:val="center"/>
          </w:tcPr>
          <w:p>
            <w:pPr>
              <w:spacing w:before="12" w:after="12" w:lineRule="auto" w:line="264"/>
            </w:pPr>
            <w:r/>
            <w:r>
              <w:rPr>
                <w:rFonts w:ascii="Calibri" w:hAnsi="Calibri" w:eastAsia="Microsoft YaHei"/>
                <w:b w:val="0"/>
                <w:i w:val="0"/>
                <w:color w:val="1A1A1A"/>
                <w:sz w:val="14"/>
              </w:rPr>
              <w:t>其他与不可预见</w:t>
            </w:r>
          </w:p>
        </w:tc>
        <w:tc>
          <w:tcPr>
            <w:tcW w:type="dxa" w:w="1020"/>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1.2</w:t>
            </w:r>
          </w:p>
        </w:tc>
        <w:tc>
          <w:tcPr>
            <w:tcW w:type="dxa" w:w="1020"/>
            <w:shd w:val="clear" w:color="auto" w:fill="F2F4F7"/>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1.2%</w:t>
            </w:r>
          </w:p>
        </w:tc>
      </w:tr>
    </w:tbl>
    <w:p>
      <w:pPr>
        <w:spacing w:before="0" w:after="0" w:line="140" w:lineRule="exact"/>
      </w:pPr>
      <w:r>
        <w:rPr>
          <w:rFonts w:ascii="Calibri" w:hAnsi="Calibri" w:eastAsia="Microsoft YaHei"/>
          <w:b w:val="0"/>
          <w:i w:val="0"/>
          <w:color w:val="1A1A1A"/>
          <w:sz w:val="2"/>
        </w:rPr>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08</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投资需求与资金用途（总投资金额约 105 万美元）</w:t>
            </w:r>
            <w:r>
              <w:rPr>
                <w:rFonts w:ascii="Calibri" w:hAnsi="Calibri" w:eastAsia="Microsoft YaHei"/>
                <w:b w:val="0"/>
                <w:i w:val="0"/>
                <w:color w:val="5A6472"/>
                <w:sz w:val="15"/>
              </w:rPr>
              <w:t xml:space="preserve">   USE OF FUNDS</w:t>
            </w:r>
          </w:p>
        </w:tc>
      </w:tr>
    </w:tbl>
    <w:p>
      <w:pPr>
        <w:keepNext/>
        <w:spacing w:before="0" w:after="0" w:line="50" w:lineRule="exact"/>
      </w:pPr>
      <w:r>
        <w:rPr>
          <w:rFonts w:ascii="Calibri" w:hAnsi="Calibri" w:eastAsia="Microsoft YaHei"/>
          <w:b w:val="0"/>
          <w:i w:val="0"/>
          <w:color w:val="1A1A1A"/>
          <w:sz w:val="2"/>
        </w:rPr>
      </w:r>
    </w:p>
    <w:p>
      <w:pPr>
        <w:spacing w:before="0" w:after="80" w:lineRule="auto" w:line="271"/>
        <w:jc w:val="both"/>
      </w:pPr>
      <w:r>
        <w:rPr>
          <w:rFonts w:ascii="Calibri" w:hAnsi="Calibri" w:eastAsia="Microsoft YaHei"/>
          <w:b w:val="0"/>
          <w:i w:val="0"/>
          <w:color w:val="1A1A1A"/>
          <w:sz w:val="15"/>
        </w:rPr>
        <w:t>因货源以寄售方式无偿供给、售出后结算，本项目不存在采购备货资金需求。总投资合计 1,890 万比索，取整 1,950 万比索（约 105 万美元）。成本控制原则有二：展厅采用模块化陈列与既有结构，装修预算压缩至常规方案的 20%；货架、叉车、配送车辆与全部办公设备一律采购二手（同等规格通常为新品的 35–45%，不影响运营效率）。</w:t>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567"/>
        <w:gridCol w:w="3402"/>
        <w:gridCol w:w="1757"/>
        <w:gridCol w:w="1361"/>
        <w:gridCol w:w="3005"/>
      </w:tblGrid>
      <w:tr>
        <w:trPr>
          <w:tblHeader w:val="true"/>
        </w:trPr>
        <w:tc>
          <w:tcPr>
            <w:tcW w:type="dxa" w:w="56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序号</w:t>
            </w:r>
          </w:p>
        </w:tc>
        <w:tc>
          <w:tcPr>
            <w:tcW w:type="dxa" w:w="3402"/>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投资项目（前 3 个月一次性投入）</w:t>
            </w:r>
          </w:p>
        </w:tc>
        <w:tc>
          <w:tcPr>
            <w:tcW w:type="dxa" w:w="175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比索</w:t>
            </w:r>
          </w:p>
        </w:tc>
        <w:tc>
          <w:tcPr>
            <w:tcW w:type="dxa" w:w="136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美元</w:t>
            </w:r>
          </w:p>
        </w:tc>
        <w:tc>
          <w:tcPr>
            <w:tcW w:type="dxa" w:w="3005"/>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说明</w:t>
            </w:r>
          </w:p>
        </w:tc>
      </w:tr>
      <w:tr>
        <w:tc>
          <w:tcPr>
            <w:tcW w:type="dxa" w:w="56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w:t>
            </w:r>
          </w:p>
        </w:tc>
        <w:tc>
          <w:tcPr>
            <w:tcW w:type="dxa" w:w="3402"/>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蒙特雷展厅装修（1,653㎡，模块化陈列）</w:t>
            </w:r>
          </w:p>
        </w:tc>
        <w:tc>
          <w:tcPr>
            <w:tcW w:type="dxa" w:w="175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728,000</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39,351</w:t>
            </w:r>
          </w:p>
        </w:tc>
        <w:tc>
          <w:tcPr>
            <w:tcW w:type="dxa" w:w="3005"/>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仅为常规装修预算的 20%；利用既有结构与照明</w:t>
            </w:r>
          </w:p>
        </w:tc>
      </w:tr>
      <w:tr>
        <w:tc>
          <w:tcPr>
            <w:tcW w:type="dxa" w:w="56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2</w:t>
            </w:r>
          </w:p>
        </w:tc>
        <w:tc>
          <w:tcPr>
            <w:tcW w:type="dxa" w:w="3402"/>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蒙特雷仓库货架与设备（全部二手）</w:t>
            </w:r>
          </w:p>
        </w:tc>
        <w:tc>
          <w:tcPr>
            <w:tcW w:type="dxa" w:w="175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700,000</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37,838</w:t>
            </w:r>
          </w:p>
        </w:tc>
        <w:tc>
          <w:tcPr>
            <w:tcW w:type="dxa" w:w="3005"/>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二手横梁货架、二手叉车与托盘车，约为新品 40%</w:t>
            </w:r>
          </w:p>
        </w:tc>
      </w:tr>
      <w:tr>
        <w:tc>
          <w:tcPr>
            <w:tcW w:type="dxa" w:w="56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3</w:t>
            </w:r>
          </w:p>
        </w:tc>
        <w:tc>
          <w:tcPr>
            <w:tcW w:type="dxa" w:w="3402"/>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ERP＋WMS（云端订阅制，与合作方仓库对账）</w:t>
            </w:r>
          </w:p>
        </w:tc>
        <w:tc>
          <w:tcPr>
            <w:tcW w:type="dxa" w:w="175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700,000</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37,838</w:t>
            </w:r>
          </w:p>
        </w:tc>
        <w:tc>
          <w:tcPr>
            <w:tcW w:type="dxa" w:w="3005"/>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轻量 SaaS，不自建、不上重型 ERP</w:t>
            </w:r>
          </w:p>
        </w:tc>
      </w:tr>
      <w:tr>
        <w:tc>
          <w:tcPr>
            <w:tcW w:type="dxa" w:w="56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4</w:t>
            </w:r>
          </w:p>
        </w:tc>
        <w:tc>
          <w:tcPr>
            <w:tcW w:type="dxa" w:w="3402"/>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三大平台开发（官网／B2B 批发／自有品牌 D2C）</w:t>
            </w:r>
          </w:p>
        </w:tc>
        <w:tc>
          <w:tcPr>
            <w:tcW w:type="dxa" w:w="175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1,300,000</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70,270</w:t>
            </w:r>
          </w:p>
        </w:tc>
        <w:tc>
          <w:tcPr>
            <w:tcW w:type="dxa" w:w="3005"/>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自有 2 人团队为主 + 定向外包</w:t>
            </w:r>
          </w:p>
        </w:tc>
      </w:tr>
      <w:tr>
        <w:tc>
          <w:tcPr>
            <w:tcW w:type="dxa" w:w="56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5</w:t>
            </w:r>
          </w:p>
        </w:tc>
        <w:tc>
          <w:tcPr>
            <w:tcW w:type="dxa" w:w="3402"/>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品牌与产品设计、IMPI 商标注册</w:t>
            </w:r>
          </w:p>
        </w:tc>
        <w:tc>
          <w:tcPr>
            <w:tcW w:type="dxa" w:w="175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900,000</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48,649</w:t>
            </w:r>
          </w:p>
        </w:tc>
        <w:tc>
          <w:tcPr>
            <w:tcW w:type="dxa" w:w="3005"/>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设计按项目外包；商标须在发布前递交</w:t>
            </w:r>
          </w:p>
        </w:tc>
      </w:tr>
      <w:tr>
        <w:tc>
          <w:tcPr>
            <w:tcW w:type="dxa" w:w="56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6</w:t>
            </w:r>
          </w:p>
        </w:tc>
        <w:tc>
          <w:tcPr>
            <w:tcW w:type="dxa" w:w="3402"/>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公司手册、产品图册＋价目表、代理商资料包</w:t>
            </w:r>
          </w:p>
        </w:tc>
        <w:tc>
          <w:tcPr>
            <w:tcW w:type="dxa" w:w="175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450,000</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24,324</w:t>
            </w:r>
          </w:p>
        </w:tc>
        <w:tc>
          <w:tcPr>
            <w:tcW w:type="dxa" w:w="3005"/>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中／西／英三语，首批小批量印刷</w:t>
            </w:r>
          </w:p>
        </w:tc>
      </w:tr>
      <w:tr>
        <w:tc>
          <w:tcPr>
            <w:tcW w:type="dxa" w:w="56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7</w:t>
            </w:r>
          </w:p>
        </w:tc>
        <w:tc>
          <w:tcPr>
            <w:tcW w:type="dxa" w:w="3402"/>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二手配送车 2 台＋二手办公 IT 设备、家具、POS、监控</w:t>
            </w:r>
          </w:p>
        </w:tc>
        <w:tc>
          <w:tcPr>
            <w:tcW w:type="dxa" w:w="175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500,000</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27,027</w:t>
            </w:r>
          </w:p>
        </w:tc>
        <w:tc>
          <w:tcPr>
            <w:tcW w:type="dxa" w:w="3005"/>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全部二手采购，不为新品付溢价</w:t>
            </w:r>
          </w:p>
        </w:tc>
      </w:tr>
      <w:tr>
        <w:tc>
          <w:tcPr>
            <w:tcW w:type="dxa" w:w="56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8</w:t>
            </w:r>
          </w:p>
        </w:tc>
        <w:tc>
          <w:tcPr>
            <w:tcW w:type="dxa" w:w="3402"/>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前 3 个月人力成本（18 人分批到岗）</w:t>
            </w:r>
          </w:p>
        </w:tc>
        <w:tc>
          <w:tcPr>
            <w:tcW w:type="dxa" w:w="175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1,700,000</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91,892</w:t>
            </w:r>
          </w:p>
        </w:tc>
        <w:tc>
          <w:tcPr>
            <w:tcW w:type="dxa" w:w="3005"/>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第 4 个月起由经营收入承担</w:t>
            </w:r>
          </w:p>
        </w:tc>
      </w:tr>
      <w:tr>
        <w:tc>
          <w:tcPr>
            <w:tcW w:type="dxa" w:w="56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9</w:t>
            </w:r>
          </w:p>
        </w:tc>
        <w:tc>
          <w:tcPr>
            <w:tcW w:type="dxa" w:w="3402"/>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前 3 个月租金（双城）＋运营费用</w:t>
            </w:r>
          </w:p>
        </w:tc>
        <w:tc>
          <w:tcPr>
            <w:tcW w:type="dxa" w:w="175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2,300,000</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124,324</w:t>
            </w:r>
          </w:p>
        </w:tc>
        <w:tc>
          <w:tcPr>
            <w:tcW w:type="dxa" w:w="3005"/>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蒙特雷争取 3 个月免租期</w:t>
            </w:r>
          </w:p>
        </w:tc>
      </w:tr>
      <w:tr>
        <w:tc>
          <w:tcPr>
            <w:tcW w:type="dxa" w:w="56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10</w:t>
            </w:r>
          </w:p>
        </w:tc>
        <w:tc>
          <w:tcPr>
            <w:tcW w:type="dxa" w:w="3402"/>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租赁押金与保证金（双城）</w:t>
            </w:r>
          </w:p>
        </w:tc>
        <w:tc>
          <w:tcPr>
            <w:tcW w:type="dxa" w:w="175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2,900,000</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156,757</w:t>
            </w:r>
          </w:p>
        </w:tc>
        <w:tc>
          <w:tcPr>
            <w:tcW w:type="dxa" w:w="3005"/>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可回收资产</w:t>
            </w:r>
          </w:p>
        </w:tc>
      </w:tr>
      <w:tr>
        <w:tc>
          <w:tcPr>
            <w:tcW w:type="dxa" w:w="56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11</w:t>
            </w:r>
          </w:p>
        </w:tc>
        <w:tc>
          <w:tcPr>
            <w:tcW w:type="dxa" w:w="3402"/>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营运资金（应收账款周转；寄售模式下无备货资金）</w:t>
            </w:r>
          </w:p>
        </w:tc>
        <w:tc>
          <w:tcPr>
            <w:tcW w:type="dxa" w:w="175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5,000,000</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270,270</w:t>
            </w:r>
          </w:p>
        </w:tc>
        <w:tc>
          <w:tcPr>
            <w:tcW w:type="dxa" w:w="3005"/>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仅为账期垫付，占收入 5%</w:t>
            </w:r>
          </w:p>
        </w:tc>
      </w:tr>
      <w:tr>
        <w:tc>
          <w:tcPr>
            <w:tcW w:type="dxa" w:w="56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12</w:t>
            </w:r>
          </w:p>
        </w:tc>
        <w:tc>
          <w:tcPr>
            <w:tcW w:type="dxa" w:w="3402"/>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不可预见费（10%）</w:t>
            </w:r>
          </w:p>
        </w:tc>
        <w:tc>
          <w:tcPr>
            <w:tcW w:type="dxa" w:w="1757"/>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1,717,800</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3"/>
              </w:rPr>
              <w:t>92,854</w:t>
            </w:r>
          </w:p>
        </w:tc>
        <w:tc>
          <w:tcPr>
            <w:tcW w:type="dxa" w:w="3005"/>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3"/>
              </w:rPr>
              <w:t>—</w:t>
            </w:r>
          </w:p>
        </w:tc>
      </w:tr>
      <w:tr>
        <w:tc>
          <w:tcPr>
            <w:tcW w:type="dxa" w:w="567"/>
            <w:tcBorders>
              <w:top w:val="single" w:sz="8" w:space="0" w:color="B08D3F"/>
            </w:tcBorders>
            <w:shd w:val="clear" w:color="auto" w:fill="F3EBDA"/>
            <w:tcMar>
              <w:top w:w="40" w:type="dxa"/>
              <w:left w:w="90" w:type="dxa"/>
              <w:bottom w:w="40" w:type="dxa"/>
              <w:right w:w="90" w:type="dxa"/>
            </w:tcMar>
            <w:vAlign w:val="center"/>
          </w:tcPr>
          <w:p>
            <w:pPr>
              <w:spacing w:before="6" w:after="6" w:lineRule="auto" w:line="264"/>
              <w:jc w:val="center"/>
            </w:pPr>
            <w:r/>
          </w:p>
        </w:tc>
        <w:tc>
          <w:tcPr>
            <w:tcW w:type="dxa" w:w="3402"/>
            <w:tcBorders>
              <w:top w:val="single" w:sz="8" w:space="0" w:color="B08D3F"/>
            </w:tcBorders>
            <w:shd w:val="clear" w:color="auto" w:fill="F3EBDA"/>
            <w:tcMar>
              <w:top w:w="40" w:type="dxa"/>
              <w:left w:w="90" w:type="dxa"/>
              <w:bottom w:w="40" w:type="dxa"/>
              <w:right w:w="90" w:type="dxa"/>
            </w:tcMar>
            <w:vAlign w:val="center"/>
          </w:tcPr>
          <w:p>
            <w:pPr>
              <w:spacing w:before="6" w:after="6" w:lineRule="auto" w:line="264"/>
            </w:pPr>
            <w:r/>
            <w:r>
              <w:rPr>
                <w:rFonts w:ascii="Calibri" w:hAnsi="Calibri" w:eastAsia="Microsoft YaHei"/>
                <w:b/>
                <w:i w:val="0"/>
                <w:color w:val="0B2545"/>
                <w:sz w:val="13"/>
              </w:rPr>
              <w:t>总投资金额合计 / 取整</w:t>
            </w:r>
          </w:p>
        </w:tc>
        <w:tc>
          <w:tcPr>
            <w:tcW w:type="dxa" w:w="1757"/>
            <w:tcBorders>
              <w:top w:val="single" w:sz="8" w:space="0" w:color="B08D3F"/>
            </w:tcBorders>
            <w:shd w:val="clear" w:color="auto" w:fill="F3EBDA"/>
            <w:tcMar>
              <w:top w:w="40" w:type="dxa"/>
              <w:left w:w="90" w:type="dxa"/>
              <w:bottom w:w="40" w:type="dxa"/>
              <w:right w:w="90" w:type="dxa"/>
            </w:tcMar>
            <w:vAlign w:val="center"/>
          </w:tcPr>
          <w:p>
            <w:pPr>
              <w:spacing w:before="6" w:after="6" w:lineRule="auto" w:line="264"/>
              <w:jc w:val="center"/>
            </w:pPr>
            <w:r/>
            <w:r>
              <w:rPr>
                <w:rFonts w:ascii="Calibri" w:hAnsi="Calibri" w:eastAsia="Microsoft YaHei"/>
                <w:b/>
                <w:i w:val="0"/>
                <w:color w:val="0B2545"/>
                <w:sz w:val="13"/>
              </w:rPr>
              <w:t>18,895,800 / 19,500,000</w:t>
            </w:r>
          </w:p>
        </w:tc>
        <w:tc>
          <w:tcPr>
            <w:tcW w:type="dxa" w:w="1361"/>
            <w:tcBorders>
              <w:top w:val="single" w:sz="8" w:space="0" w:color="B08D3F"/>
            </w:tcBorders>
            <w:shd w:val="clear" w:color="auto" w:fill="F3EBDA"/>
            <w:tcMar>
              <w:top w:w="40" w:type="dxa"/>
              <w:left w:w="90" w:type="dxa"/>
              <w:bottom w:w="40" w:type="dxa"/>
              <w:right w:w="90" w:type="dxa"/>
            </w:tcMar>
            <w:vAlign w:val="center"/>
          </w:tcPr>
          <w:p>
            <w:pPr>
              <w:spacing w:before="6" w:after="6" w:lineRule="auto" w:line="264"/>
              <w:jc w:val="center"/>
            </w:pPr>
            <w:r/>
            <w:r>
              <w:rPr>
                <w:rFonts w:ascii="Calibri" w:hAnsi="Calibri" w:eastAsia="Microsoft YaHei"/>
                <w:b/>
                <w:i w:val="0"/>
                <w:color w:val="0B2545"/>
                <w:sz w:val="13"/>
              </w:rPr>
              <w:t>1,021,395 / 1,054,054</w:t>
            </w:r>
          </w:p>
        </w:tc>
        <w:tc>
          <w:tcPr>
            <w:tcW w:type="dxa" w:w="3005"/>
            <w:tcBorders>
              <w:top w:val="single" w:sz="8" w:space="0" w:color="B08D3F"/>
            </w:tcBorders>
            <w:shd w:val="clear" w:color="auto" w:fill="F3EBDA"/>
            <w:tcMar>
              <w:top w:w="40" w:type="dxa"/>
              <w:left w:w="90" w:type="dxa"/>
              <w:bottom w:w="40" w:type="dxa"/>
              <w:right w:w="90" w:type="dxa"/>
            </w:tcMar>
            <w:vAlign w:val="center"/>
          </w:tcPr>
          <w:p>
            <w:pPr>
              <w:spacing w:before="6" w:after="6" w:lineRule="auto" w:line="264"/>
            </w:pPr>
            <w:r/>
            <w:r>
              <w:rPr>
                <w:rFonts w:ascii="Calibri" w:hAnsi="Calibri" w:eastAsia="Microsoft YaHei"/>
                <w:b/>
                <w:i w:val="0"/>
                <w:color w:val="0B2545"/>
                <w:sz w:val="13"/>
              </w:rPr>
              <w:t>第 4 个月起全部扩张支出由经营收入内生</w:t>
            </w:r>
          </w:p>
        </w:tc>
      </w:tr>
    </w:tbl>
    <w:p>
      <w:pPr>
        <w:spacing w:before="0" w:after="0" w:line="40" w:lineRule="exact"/>
      </w:pPr>
      <w:r>
        <w:rPr>
          <w:rFonts w:ascii="Calibri" w:hAnsi="Calibri" w:eastAsia="Microsoft YaHei"/>
          <w:b w:val="0"/>
          <w:i w:val="0"/>
          <w:color w:val="1A1A1A"/>
          <w:sz w:val="2"/>
        </w:rPr>
      </w:r>
    </w:p>
    <w:p>
      <w:pPr>
        <w:spacing w:before="0" w:after="60" w:lineRule="auto" w:line="264"/>
        <w:jc w:val="both"/>
      </w:pPr>
      <w:r>
        <w:rPr>
          <w:rFonts w:ascii="Calibri" w:hAnsi="Calibri" w:eastAsia="Microsoft YaHei"/>
          <w:b w:val="0"/>
          <w:i w:val="0"/>
          <w:color w:val="5A6472"/>
          <w:sz w:val="14"/>
        </w:rPr>
        <w:t>注：实体设立、RFC、IMMEX、NOM 认证、清关与进出口许可等合规启动支出，不计入本项目投资预算，由集团层面单独承担。其余合规执行工作仍按第 10 节「开业前必须完成的五项前置事项」的时间要求推进，不因预算归属而延后。</w:t>
      </w:r>
    </w:p>
    <w:p>
      <w:pPr>
        <w:spacing w:before="0" w:after="0" w:line="40" w:lineRule="exact"/>
      </w:pPr>
      <w:r>
        <w:rPr>
          <w:rFonts w:ascii="Calibri" w:hAnsi="Calibri" w:eastAsia="Microsoft YaHei"/>
          <w:b w:val="0"/>
          <w:i w:val="0"/>
          <w:color w:val="1A1A1A"/>
          <w:sz w:val="2"/>
        </w:rPr>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c>
          <w:tcPr>
            <w:tcW w:type="dxa" w:w="5046"/>
            <w:tcMar>
              <w:top w:w="0" w:type="dxa"/>
              <w:left w:w="0" w:type="dxa"/>
              <w:bottom w:w="0" w:type="dxa"/>
              <w:right w:w="0" w:type="dxa"/>
            </w:tcMar>
          </w:tcPr>
          <w:p>
            <w:pPr>
              <w:spacing w:before="20" w:after="30" w:line="240" w:lineRule="auto"/>
              <w:jc w:val="center"/>
            </w:pPr>
            <w:r>
              <w:drawing>
                <wp:inline xmlns:a="http://schemas.openxmlformats.org/drawingml/2006/main" xmlns:pic="http://schemas.openxmlformats.org/drawingml/2006/picture">
                  <wp:extent cx="3078000" cy="1781837"/>
                  <wp:docPr id="10" name="Picture 10"/>
                  <wp:cNvGraphicFramePr>
                    <a:graphicFrameLocks noChangeAspect="1"/>
                  </wp:cNvGraphicFramePr>
                  <a:graphic>
                    <a:graphicData uri="http://schemas.openxmlformats.org/drawingml/2006/picture">
                      <pic:pic>
                        <pic:nvPicPr>
                          <pic:cNvPr id="0" name="funds.png"/>
                          <pic:cNvPicPr/>
                        </pic:nvPicPr>
                        <pic:blipFill>
                          <a:blip r:embed="rId20"/>
                          <a:stretch>
                            <a:fillRect/>
                          </a:stretch>
                        </pic:blipFill>
                        <pic:spPr>
                          <a:xfrm>
                            <a:off x="0" y="0"/>
                            <a:ext cx="3078000" cy="1781837"/>
                          </a:xfrm>
                          <a:prstGeom prst="rect"/>
                        </pic:spPr>
                      </pic:pic>
                    </a:graphicData>
                  </a:graphic>
                </wp:inline>
              </w:drawing>
            </w:r>
          </w:p>
        </w:tc>
        <w:tc>
          <w:tcPr>
            <w:tcW w:type="dxa" w:w="5046"/>
            <w:tcMar>
              <w:top w:w="0" w:type="dxa"/>
              <w:left w:w="0" w:type="dxa"/>
              <w:bottom w:w="0" w:type="dxa"/>
              <w:right w:w="0" w:type="dxa"/>
            </w:tcMar>
          </w:tcPr>
          <w:p>
            <w:pPr>
              <w:spacing w:before="20" w:after="30" w:line="240" w:lineRule="auto"/>
              <w:jc w:val="center"/>
            </w:pPr>
            <w:r>
              <w:drawing>
                <wp:inline xmlns:a="http://schemas.openxmlformats.org/drawingml/2006/main" xmlns:pic="http://schemas.openxmlformats.org/drawingml/2006/picture">
                  <wp:extent cx="3078000" cy="2096039"/>
                  <wp:docPr id="11" name="Picture 11"/>
                  <wp:cNvGraphicFramePr>
                    <a:graphicFrameLocks noChangeAspect="1"/>
                  </wp:cNvGraphicFramePr>
                  <a:graphic>
                    <a:graphicData uri="http://schemas.openxmlformats.org/drawingml/2006/picture">
                      <pic:pic>
                        <pic:nvPicPr>
                          <pic:cNvPr id="0" name="quarterly.png"/>
                          <pic:cNvPicPr/>
                        </pic:nvPicPr>
                        <pic:blipFill>
                          <a:blip r:embed="rId21"/>
                          <a:stretch>
                            <a:fillRect/>
                          </a:stretch>
                        </pic:blipFill>
                        <pic:spPr>
                          <a:xfrm>
                            <a:off x="0" y="0"/>
                            <a:ext cx="3078000" cy="2096039"/>
                          </a:xfrm>
                          <a:prstGeom prst="rect"/>
                        </pic:spPr>
                      </pic:pic>
                    </a:graphicData>
                  </a:graphic>
                </wp:inline>
              </w:drawing>
            </w:r>
          </w:p>
        </w:tc>
      </w:tr>
    </w:tbl>
    <w:p>
      <w:pPr>
        <w:spacing w:before="0" w:after="0" w:line="80" w:lineRule="exact"/>
      </w:pPr>
      <w:r>
        <w:rPr>
          <w:rFonts w:ascii="Calibri" w:hAnsi="Calibri" w:eastAsia="Microsoft YaHei"/>
          <w:b w:val="0"/>
          <w:i w:val="0"/>
          <w:color w:val="1A1A1A"/>
          <w:sz w:val="2"/>
        </w:rPr>
      </w:r>
    </w:p>
    <w:p>
      <w:pPr>
        <w:keepNext/>
        <w:spacing w:before="0" w:after="60" w:lineRule="auto" w:line="283"/>
      </w:pPr>
      <w:r>
        <w:rPr>
          <w:rFonts w:ascii="Calibri" w:hAnsi="Calibri" w:eastAsia="Microsoft YaHei"/>
          <w:b/>
          <w:i w:val="0"/>
          <w:color w:val="0B2545"/>
          <w:sz w:val="17"/>
        </w:rPr>
        <w:t>双城租金模型（首年实付 635 万比索，仅占收入 6.4%）</w:t>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2608"/>
        <w:gridCol w:w="1304"/>
        <w:gridCol w:w="1361"/>
        <w:gridCol w:w="1417"/>
        <w:gridCol w:w="1701"/>
        <w:gridCol w:w="1701"/>
      </w:tblGrid>
      <w:tr>
        <w:trPr>
          <w:tblHeader w:val="true"/>
        </w:trPr>
        <w:tc>
          <w:tcPr>
            <w:tcW w:type="dxa" w:w="2608"/>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场地</w:t>
            </w:r>
          </w:p>
        </w:tc>
        <w:tc>
          <w:tcPr>
            <w:tcW w:type="dxa" w:w="130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面积（㎡）</w:t>
            </w:r>
          </w:p>
        </w:tc>
        <w:tc>
          <w:tcPr>
            <w:tcW w:type="dxa" w:w="136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美元/㎡/月</w:t>
            </w:r>
          </w:p>
        </w:tc>
        <w:tc>
          <w:tcPr>
            <w:tcW w:type="dxa" w:w="141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月租（美元）</w:t>
            </w:r>
          </w:p>
        </w:tc>
        <w:tc>
          <w:tcPr>
            <w:tcW w:type="dxa" w:w="170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月租（比索）</w:t>
            </w:r>
          </w:p>
        </w:tc>
        <w:tc>
          <w:tcPr>
            <w:tcW w:type="dxa" w:w="170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年租（比索）</w:t>
            </w:r>
          </w:p>
        </w:tc>
      </w:tr>
      <w:tr>
        <w:tc>
          <w:tcPr>
            <w:tcW w:type="dxa" w:w="260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墨西哥城：展厅＋集团总部办公</w:t>
            </w:r>
          </w:p>
        </w:tc>
        <w:tc>
          <w:tcPr>
            <w:tcW w:type="dxa" w:w="130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800</w:t>
            </w:r>
          </w:p>
        </w:tc>
        <w:tc>
          <w:tcPr>
            <w:tcW w:type="dxa" w:w="136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14.00＋CAM</w:t>
            </w:r>
          </w:p>
        </w:tc>
        <w:tc>
          <w:tcPr>
            <w:tcW w:type="dxa" w:w="141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11,600</w:t>
            </w:r>
          </w:p>
        </w:tc>
        <w:tc>
          <w:tcPr>
            <w:tcW w:type="dxa" w:w="170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214,600</w:t>
            </w:r>
          </w:p>
        </w:tc>
        <w:tc>
          <w:tcPr>
            <w:tcW w:type="dxa" w:w="170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2,575,200</w:t>
            </w:r>
          </w:p>
        </w:tc>
      </w:tr>
      <w:tr>
        <w:tc>
          <w:tcPr>
            <w:tcW w:type="dxa" w:w="2608"/>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蒙特雷：展厅＋办公（500 坪）</w:t>
            </w:r>
          </w:p>
        </w:tc>
        <w:tc>
          <w:tcPr>
            <w:tcW w:type="dxa" w:w="1304"/>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1,653</w:t>
            </w:r>
          </w:p>
        </w:tc>
        <w:tc>
          <w:tcPr>
            <w:tcW w:type="dxa" w:w="136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9.00</w:t>
            </w:r>
          </w:p>
        </w:tc>
        <w:tc>
          <w:tcPr>
            <w:tcW w:type="dxa" w:w="1417"/>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14,877</w:t>
            </w:r>
          </w:p>
        </w:tc>
        <w:tc>
          <w:tcPr>
            <w:tcW w:type="dxa" w:w="170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275,225</w:t>
            </w:r>
          </w:p>
        </w:tc>
        <w:tc>
          <w:tcPr>
            <w:tcW w:type="dxa" w:w="170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3,302,694</w:t>
            </w:r>
          </w:p>
        </w:tc>
      </w:tr>
      <w:tr>
        <w:tc>
          <w:tcPr>
            <w:tcW w:type="dxa" w:w="2608"/>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蒙特雷：仓库（1,000 坪）＋物业管理费 CAM</w:t>
            </w:r>
          </w:p>
        </w:tc>
        <w:tc>
          <w:tcPr>
            <w:tcW w:type="dxa" w:w="1304"/>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3,306</w:t>
            </w:r>
          </w:p>
        </w:tc>
        <w:tc>
          <w:tcPr>
            <w:tcW w:type="dxa" w:w="136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7.00＋0.55</w:t>
            </w:r>
          </w:p>
        </w:tc>
        <w:tc>
          <w:tcPr>
            <w:tcW w:type="dxa" w:w="141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25,869</w:t>
            </w:r>
          </w:p>
        </w:tc>
        <w:tc>
          <w:tcPr>
            <w:tcW w:type="dxa" w:w="170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478,582</w:t>
            </w:r>
          </w:p>
        </w:tc>
        <w:tc>
          <w:tcPr>
            <w:tcW w:type="dxa" w:w="170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5,742,979</w:t>
            </w:r>
          </w:p>
        </w:tc>
      </w:tr>
      <w:tr>
        <w:tc>
          <w:tcPr>
            <w:tcW w:type="dxa" w:w="2608"/>
            <w:tcBorders>
              <w:top w:val="single" w:sz="8" w:space="0" w:color="B08D3F"/>
            </w:tcBorders>
            <w:shd w:val="clear" w:color="auto" w:fill="F3EBDA"/>
            <w:tcMar>
              <w:top w:w="40" w:type="dxa"/>
              <w:left w:w="90" w:type="dxa"/>
              <w:bottom w:w="40" w:type="dxa"/>
              <w:right w:w="90" w:type="dxa"/>
            </w:tcMar>
            <w:vAlign w:val="center"/>
          </w:tcPr>
          <w:p>
            <w:pPr>
              <w:spacing w:before="12" w:after="12" w:lineRule="auto" w:line="264"/>
            </w:pPr>
            <w:r/>
            <w:r>
              <w:rPr>
                <w:rFonts w:ascii="Calibri" w:hAnsi="Calibri" w:eastAsia="Microsoft YaHei"/>
                <w:b/>
                <w:i w:val="0"/>
                <w:color w:val="0B2545"/>
                <w:sz w:val="14"/>
              </w:rPr>
              <w:t>双城满编运行合计</w:t>
            </w:r>
          </w:p>
        </w:tc>
        <w:tc>
          <w:tcPr>
            <w:tcW w:type="dxa" w:w="1304"/>
            <w:tcBorders>
              <w:top w:val="single" w:sz="8" w:space="0" w:color="B08D3F"/>
            </w:tcBorders>
            <w:shd w:val="clear" w:color="auto" w:fill="F3EBDA"/>
            <w:tcMar>
              <w:top w:w="40" w:type="dxa"/>
              <w:left w:w="90" w:type="dxa"/>
              <w:bottom w:w="40" w:type="dxa"/>
              <w:right w:w="90" w:type="dxa"/>
            </w:tcMar>
            <w:vAlign w:val="center"/>
          </w:tcPr>
          <w:p>
            <w:pPr>
              <w:spacing w:before="12" w:after="12" w:lineRule="auto" w:line="264"/>
              <w:jc w:val="center"/>
            </w:pPr>
            <w:r/>
            <w:r>
              <w:rPr>
                <w:rFonts w:ascii="Calibri" w:hAnsi="Calibri" w:eastAsia="Microsoft YaHei"/>
                <w:b/>
                <w:i w:val="0"/>
                <w:color w:val="0B2545"/>
                <w:sz w:val="14"/>
              </w:rPr>
              <w:t>5,759</w:t>
            </w:r>
          </w:p>
        </w:tc>
        <w:tc>
          <w:tcPr>
            <w:tcW w:type="dxa" w:w="1361"/>
            <w:tcBorders>
              <w:top w:val="single" w:sz="8" w:space="0" w:color="B08D3F"/>
            </w:tcBorders>
            <w:shd w:val="clear" w:color="auto" w:fill="F3EBDA"/>
            <w:tcMar>
              <w:top w:w="40" w:type="dxa"/>
              <w:left w:w="90" w:type="dxa"/>
              <w:bottom w:w="40" w:type="dxa"/>
              <w:right w:w="90" w:type="dxa"/>
            </w:tcMar>
            <w:vAlign w:val="center"/>
          </w:tcPr>
          <w:p>
            <w:pPr>
              <w:spacing w:before="12" w:after="12" w:lineRule="auto" w:line="264"/>
              <w:jc w:val="center"/>
            </w:pPr>
            <w:r/>
            <w:r>
              <w:rPr>
                <w:rFonts w:ascii="Calibri" w:hAnsi="Calibri" w:eastAsia="Microsoft YaHei"/>
                <w:b/>
                <w:i w:val="0"/>
                <w:color w:val="0B2545"/>
                <w:sz w:val="14"/>
              </w:rPr>
              <w:t>—</w:t>
            </w:r>
          </w:p>
        </w:tc>
        <w:tc>
          <w:tcPr>
            <w:tcW w:type="dxa" w:w="1417"/>
            <w:tcBorders>
              <w:top w:val="single" w:sz="8" w:space="0" w:color="B08D3F"/>
            </w:tcBorders>
            <w:shd w:val="clear" w:color="auto" w:fill="F3EBDA"/>
            <w:tcMar>
              <w:top w:w="40" w:type="dxa"/>
              <w:left w:w="90" w:type="dxa"/>
              <w:bottom w:w="40" w:type="dxa"/>
              <w:right w:w="90" w:type="dxa"/>
            </w:tcMar>
            <w:vAlign w:val="center"/>
          </w:tcPr>
          <w:p>
            <w:pPr>
              <w:spacing w:before="12" w:after="12" w:lineRule="auto" w:line="264"/>
              <w:jc w:val="center"/>
            </w:pPr>
            <w:r/>
            <w:r>
              <w:rPr>
                <w:rFonts w:ascii="Calibri" w:hAnsi="Calibri" w:eastAsia="Microsoft YaHei"/>
                <w:b/>
                <w:i w:val="0"/>
                <w:color w:val="0B2545"/>
                <w:sz w:val="14"/>
              </w:rPr>
              <w:t>52,346</w:t>
            </w:r>
          </w:p>
        </w:tc>
        <w:tc>
          <w:tcPr>
            <w:tcW w:type="dxa" w:w="1701"/>
            <w:tcBorders>
              <w:top w:val="single" w:sz="8" w:space="0" w:color="B08D3F"/>
            </w:tcBorders>
            <w:shd w:val="clear" w:color="auto" w:fill="F3EBDA"/>
            <w:tcMar>
              <w:top w:w="40" w:type="dxa"/>
              <w:left w:w="90" w:type="dxa"/>
              <w:bottom w:w="40" w:type="dxa"/>
              <w:right w:w="90" w:type="dxa"/>
            </w:tcMar>
            <w:vAlign w:val="center"/>
          </w:tcPr>
          <w:p>
            <w:pPr>
              <w:spacing w:before="12" w:after="12" w:lineRule="auto" w:line="264"/>
              <w:jc w:val="center"/>
            </w:pPr>
            <w:r/>
            <w:r>
              <w:rPr>
                <w:rFonts w:ascii="Calibri" w:hAnsi="Calibri" w:eastAsia="Microsoft YaHei"/>
                <w:b/>
                <w:i w:val="0"/>
                <w:color w:val="0B2545"/>
                <w:sz w:val="14"/>
              </w:rPr>
              <w:t>968,407</w:t>
            </w:r>
          </w:p>
        </w:tc>
        <w:tc>
          <w:tcPr>
            <w:tcW w:type="dxa" w:w="1701"/>
            <w:tcBorders>
              <w:top w:val="single" w:sz="8" w:space="0" w:color="B08D3F"/>
            </w:tcBorders>
            <w:shd w:val="clear" w:color="auto" w:fill="F3EBDA"/>
            <w:tcMar>
              <w:top w:w="40" w:type="dxa"/>
              <w:left w:w="90" w:type="dxa"/>
              <w:bottom w:w="40" w:type="dxa"/>
              <w:right w:w="90" w:type="dxa"/>
            </w:tcMar>
            <w:vAlign w:val="center"/>
          </w:tcPr>
          <w:p>
            <w:pPr>
              <w:spacing w:before="12" w:after="12" w:lineRule="auto" w:line="264"/>
              <w:jc w:val="center"/>
            </w:pPr>
            <w:r/>
            <w:r>
              <w:rPr>
                <w:rFonts w:ascii="Calibri" w:hAnsi="Calibri" w:eastAsia="Microsoft YaHei"/>
                <w:b/>
                <w:i w:val="0"/>
                <w:color w:val="0B2545"/>
                <w:sz w:val="14"/>
              </w:rPr>
              <w:t>11,620,873</w:t>
            </w:r>
          </w:p>
        </w:tc>
      </w:tr>
    </w:tbl>
    <w:p>
      <w:pPr>
        <w:spacing w:before="0" w:after="0" w:line="60" w:lineRule="exact"/>
      </w:pPr>
      <w:r>
        <w:rPr>
          <w:rFonts w:ascii="Calibri" w:hAnsi="Calibri" w:eastAsia="Microsoft YaHei"/>
          <w:b w:val="0"/>
          <w:i w:val="0"/>
          <w:color w:val="1A1A1A"/>
          <w:sz w:val="2"/>
        </w:rPr>
      </w:r>
    </w:p>
    <w:p>
      <w:pPr>
        <w:spacing w:before="0" w:after="120" w:lineRule="auto" w:line="269"/>
        <w:jc w:val="both"/>
      </w:pPr>
      <w:r>
        <w:rPr>
          <w:rFonts w:ascii="Calibri" w:hAnsi="Calibri" w:eastAsia="Microsoft YaHei"/>
          <w:b w:val="0"/>
          <w:i w:val="0"/>
          <w:color w:val="5A6472"/>
          <w:sz w:val="14"/>
        </w:rPr>
        <w:t>关键节省与谈判要点：寄售货源存放于合作方墨西哥城既有仓库，CLG 在墨城无需自建大仓，仅保留 800㎡ 展厅与总部办公——相较自租 5,000㎡ 仓库每年直接节省约 700 万比索。蒙特雷工业地产 2026 年一季度空置率 7.5%、报价 7.00 美元/㎡/月（Colliers），应争取 3–5 年期、3 个月免租期并将年涨幅锁定于美元 CPI 或 3%；展厅须取 flex／工业型空间而非甲级写字楼（甲级达 18.88 美元/㎡/月，Solili），选错每年多支出约 19.5 万美元。首年实付租金仅占收入 6.4%，第三年降至约 3.3%——收入上调而场地不变，这是利润率跃升最直接的来源。</w:t>
      </w:r>
    </w:p>
    <w:p>
      <w:pPr>
        <w:spacing w:before="0" w:after="0" w:line="12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1474"/>
        <w:gridCol w:w="5386"/>
        <w:gridCol w:w="1531"/>
        <w:gridCol w:w="1701"/>
      </w:tblGrid>
      <w:tr>
        <w:trPr>
          <w:tblHeader w:val="true"/>
        </w:trPr>
        <w:tc>
          <w:tcPr>
            <w:tcW w:type="dxa" w:w="147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期间</w:t>
            </w:r>
          </w:p>
        </w:tc>
        <w:tc>
          <w:tcPr>
            <w:tcW w:type="dxa" w:w="5386"/>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 4 个月起的内生再投资（不再需要追加股权融资）</w:t>
            </w:r>
          </w:p>
        </w:tc>
        <w:tc>
          <w:tcPr>
            <w:tcW w:type="dxa" w:w="153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金额（比索）</w:t>
            </w:r>
          </w:p>
        </w:tc>
        <w:tc>
          <w:tcPr>
            <w:tcW w:type="dxa" w:w="170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资金来源</w:t>
            </w:r>
          </w:p>
        </w:tc>
      </w:tr>
      <w:tr>
        <w:tc>
          <w:tcPr>
            <w:tcW w:type="dxa" w:w="1474"/>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第 4–6 个月</w:t>
            </w:r>
          </w:p>
        </w:tc>
        <w:tc>
          <w:tcPr>
            <w:tcW w:type="dxa" w:w="5386"/>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自有品牌首批量产订金、平台 V1.0 迭代、SKU 摄影与素材库</w:t>
            </w:r>
          </w:p>
        </w:tc>
        <w:tc>
          <w:tcPr>
            <w:tcW w:type="dxa" w:w="153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约 3,500,000</w:t>
            </w:r>
          </w:p>
        </w:tc>
        <w:tc>
          <w:tcPr>
            <w:tcW w:type="dxa" w:w="1701"/>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经营现金流</w:t>
            </w:r>
          </w:p>
        </w:tc>
      </w:tr>
      <w:tr>
        <w:tc>
          <w:tcPr>
            <w:tcW w:type="dxa" w:w="1474"/>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第 7–12 个月</w:t>
            </w:r>
          </w:p>
        </w:tc>
        <w:tc>
          <w:tcPr>
            <w:tcW w:type="dxa" w:w="5386"/>
            <w:shd w:val="clear" w:color="auto" w:fill="F2F4F7"/>
            <w:tcMar>
              <w:top w:w="40" w:type="dxa"/>
              <w:left w:w="90" w:type="dxa"/>
              <w:bottom w:w="40" w:type="dxa"/>
              <w:right w:w="90" w:type="dxa"/>
            </w:tcMar>
            <w:vAlign w:val="center"/>
          </w:tcPr>
          <w:p>
            <w:pPr>
              <w:keepNext/>
              <w:spacing w:before="12" w:after="12" w:lineRule="auto" w:line="264"/>
            </w:pPr>
            <w:r/>
            <w:r>
              <w:rPr>
                <w:rFonts w:ascii="Calibri" w:hAnsi="Calibri" w:eastAsia="Microsoft YaHei"/>
                <w:b w:val="0"/>
                <w:i w:val="0"/>
                <w:color w:val="1A1A1A"/>
                <w:sz w:val="14"/>
              </w:rPr>
              <w:t>SKU 品类扩展、市场推广加码、代理商体系铺开（60 家）、第三城前置筹备、平台 V2.0</w:t>
            </w:r>
          </w:p>
        </w:tc>
        <w:tc>
          <w:tcPr>
            <w:tcW w:type="dxa" w:w="153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约 9,000,000</w:t>
            </w:r>
          </w:p>
        </w:tc>
        <w:tc>
          <w:tcPr>
            <w:tcW w:type="dxa" w:w="1701"/>
            <w:shd w:val="clear" w:color="auto" w:fill="F2F4F7"/>
            <w:tcMar>
              <w:top w:w="40" w:type="dxa"/>
              <w:left w:w="90" w:type="dxa"/>
              <w:bottom w:w="40" w:type="dxa"/>
              <w:right w:w="90" w:type="dxa"/>
            </w:tcMar>
            <w:vAlign w:val="center"/>
          </w:tcPr>
          <w:p>
            <w:pPr>
              <w:keepNext/>
              <w:spacing w:before="12" w:after="12" w:lineRule="auto" w:line="264"/>
              <w:jc w:val="center"/>
            </w:pPr>
            <w:r/>
            <w:r>
              <w:rPr>
                <w:rFonts w:ascii="Calibri" w:hAnsi="Calibri" w:eastAsia="Microsoft YaHei"/>
                <w:b w:val="0"/>
                <w:i w:val="0"/>
                <w:color w:val="1A1A1A"/>
                <w:sz w:val="14"/>
              </w:rPr>
              <w:t>经营现金流</w:t>
            </w:r>
          </w:p>
        </w:tc>
      </w:tr>
      <w:tr>
        <w:tc>
          <w:tcPr>
            <w:tcW w:type="dxa" w:w="1474"/>
            <w:tcMar>
              <w:top w:w="40" w:type="dxa"/>
              <w:left w:w="90" w:type="dxa"/>
              <w:bottom w:w="40" w:type="dxa"/>
              <w:right w:w="90" w:type="dxa"/>
            </w:tcMar>
            <w:vAlign w:val="center"/>
          </w:tcPr>
          <w:p>
            <w:pPr>
              <w:spacing w:before="12" w:after="12" w:lineRule="auto" w:line="264"/>
            </w:pPr>
            <w:r/>
            <w:r>
              <w:rPr>
                <w:rFonts w:ascii="Calibri" w:hAnsi="Calibri" w:eastAsia="Microsoft YaHei"/>
                <w:b w:val="0"/>
                <w:i w:val="0"/>
                <w:color w:val="1A1A1A"/>
                <w:sz w:val="14"/>
              </w:rPr>
              <w:t>第二年全年</w:t>
            </w:r>
          </w:p>
        </w:tc>
        <w:tc>
          <w:tcPr>
            <w:tcW w:type="dxa" w:w="5386"/>
            <w:tcMar>
              <w:top w:w="40" w:type="dxa"/>
              <w:left w:w="90" w:type="dxa"/>
              <w:bottom w:w="40" w:type="dxa"/>
              <w:right w:w="90" w:type="dxa"/>
            </w:tcMar>
            <w:vAlign w:val="center"/>
          </w:tcPr>
          <w:p>
            <w:pPr>
              <w:spacing w:before="12" w:after="12" w:lineRule="auto" w:line="264"/>
            </w:pPr>
            <w:r/>
            <w:r>
              <w:rPr>
                <w:rFonts w:ascii="Calibri" w:hAnsi="Calibri" w:eastAsia="Microsoft YaHei"/>
                <w:b w:val="0"/>
                <w:i w:val="0"/>
                <w:color w:val="1A1A1A"/>
                <w:sz w:val="14"/>
              </w:rPr>
              <w:t>两座新城铺设、自有品牌品类扩展、代理商扩至 180 家、团队扩编至 38 人</w:t>
            </w:r>
          </w:p>
        </w:tc>
        <w:tc>
          <w:tcPr>
            <w:tcW w:type="dxa" w:w="1531"/>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约 25,000,000</w:t>
            </w:r>
          </w:p>
        </w:tc>
        <w:tc>
          <w:tcPr>
            <w:tcW w:type="dxa" w:w="1701"/>
            <w:tcMar>
              <w:top w:w="40" w:type="dxa"/>
              <w:left w:w="90" w:type="dxa"/>
              <w:bottom w:w="40" w:type="dxa"/>
              <w:right w:w="90" w:type="dxa"/>
            </w:tcMar>
            <w:vAlign w:val="center"/>
          </w:tcPr>
          <w:p>
            <w:pPr>
              <w:spacing w:before="12" w:after="12" w:lineRule="auto" w:line="264"/>
              <w:jc w:val="center"/>
            </w:pPr>
            <w:r/>
            <w:r>
              <w:rPr>
                <w:rFonts w:ascii="Calibri" w:hAnsi="Calibri" w:eastAsia="Microsoft YaHei"/>
                <w:b w:val="0"/>
                <w:i w:val="0"/>
                <w:color w:val="1A1A1A"/>
                <w:sz w:val="14"/>
              </w:rPr>
              <w:t>经营现金流</w:t>
            </w:r>
          </w:p>
        </w:tc>
      </w:tr>
    </w:tbl>
    <w:p>
      <w:pPr>
        <w:spacing w:before="0" w:after="0" w:line="120" w:lineRule="exact"/>
      </w:pPr>
      <w:r>
        <w:rPr>
          <w:rFonts w:ascii="Calibri" w:hAnsi="Calibri" w:eastAsia="Microsoft YaHei"/>
          <w:b w:val="0"/>
          <w:i w:val="0"/>
          <w:color w:val="1A1A1A"/>
          <w:sz w:val="2"/>
        </w:rPr>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09</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五年纳斯达克上市路径</w:t>
            </w:r>
            <w:r>
              <w:rPr>
                <w:rFonts w:ascii="Calibri" w:hAnsi="Calibri" w:eastAsia="Microsoft YaHei"/>
                <w:b w:val="0"/>
                <w:i w:val="0"/>
                <w:color w:val="5A6472"/>
                <w:sz w:val="15"/>
              </w:rPr>
              <w:t xml:space="preserve">   THE NASDAQ PATH</w:t>
            </w:r>
          </w:p>
        </w:tc>
      </w:tr>
    </w:tbl>
    <w:p>
      <w:pPr>
        <w:keepNext/>
        <w:spacing w:before="0" w:after="0" w:line="50" w:lineRule="exact"/>
      </w:pPr>
      <w:r>
        <w:rPr>
          <w:rFonts w:ascii="Calibri" w:hAnsi="Calibri" w:eastAsia="Microsoft YaHei"/>
          <w:b w:val="0"/>
          <w:i w:val="0"/>
          <w:color w:val="1A1A1A"/>
          <w:sz w:val="2"/>
        </w:rPr>
      </w:r>
    </w:p>
    <w:p>
      <w:pPr>
        <w:spacing w:before="10" w:after="44" w:line="278" w:lineRule="auto"/>
        <w:ind w:left="181" w:hanging="181"/>
      </w:pPr>
      <w:r>
        <w:rPr>
          <w:rFonts w:ascii="Calibri" w:hAnsi="Calibri" w:eastAsia="Microsoft YaHei"/>
          <w:b/>
          <w:i w:val="0"/>
          <w:color w:val="B08D3F"/>
          <w:sz w:val="14"/>
        </w:rPr>
        <w:t xml:space="preserve">▪ </w:t>
      </w:r>
      <w:r>
        <w:rPr>
          <w:rFonts w:ascii="Calibri" w:hAnsi="Calibri" w:eastAsia="Microsoft YaHei"/>
          <w:b/>
          <w:i w:val="0"/>
          <w:color w:val="0B2545"/>
          <w:sz w:val="14"/>
        </w:rPr>
        <w:t>（1）</w:t>
      </w:r>
      <w:r>
        <w:rPr>
          <w:rFonts w:ascii="Calibri" w:hAnsi="Calibri" w:eastAsia="Microsoft YaHei"/>
          <w:b w:val="0"/>
          <w:i w:val="0"/>
          <w:color w:val="1A1A1A"/>
          <w:sz w:val="14"/>
        </w:rPr>
        <w:t xml:space="preserve">  </w:t>
      </w:r>
      <w:r>
        <w:rPr>
          <w:rFonts w:ascii="Calibri" w:hAnsi="Calibri" w:eastAsia="Microsoft YaHei"/>
          <w:b w:val="0"/>
          <w:i w:val="0"/>
          <w:color w:val="1A1A1A"/>
          <w:sz w:val="14"/>
        </w:rPr>
        <w:t>按本版口径，第五年 CLG 目标营业收入约 8,430 万美元（15.6 亿比索）、净利率约 13%（净利润约 1,096 万美元）、自有品牌占收入 50% 以上——税前利润远超纳斯达克全球市场（Nasdaq Global Market）收益标准所要求的 100 万美元，并可同时满足股东权益 1,500 万美元、公众持股市值 800 万美元、400 名整手股东与股价 4 美元等各项门槛。</w:t>
      </w:r>
    </w:p>
    <w:p>
      <w:pPr>
        <w:spacing w:before="10" w:after="44" w:line="278" w:lineRule="auto"/>
        <w:ind w:left="181" w:hanging="181"/>
      </w:pPr>
      <w:r>
        <w:rPr>
          <w:rFonts w:ascii="Calibri" w:hAnsi="Calibri" w:eastAsia="Microsoft YaHei"/>
          <w:b/>
          <w:i w:val="0"/>
          <w:color w:val="B08D3F"/>
          <w:sz w:val="14"/>
        </w:rPr>
        <w:t xml:space="preserve">▪ </w:t>
      </w:r>
      <w:r>
        <w:rPr>
          <w:rFonts w:ascii="Calibri" w:hAnsi="Calibri" w:eastAsia="Microsoft YaHei"/>
          <w:b/>
          <w:i w:val="0"/>
          <w:color w:val="0B2545"/>
          <w:sz w:val="14"/>
        </w:rPr>
        <w:t>（2）</w:t>
      </w:r>
      <w:r>
        <w:rPr>
          <w:rFonts w:ascii="Calibri" w:hAnsi="Calibri" w:eastAsia="Microsoft YaHei"/>
          <w:b w:val="0"/>
          <w:i w:val="0"/>
          <w:color w:val="1A1A1A"/>
          <w:sz w:val="14"/>
        </w:rPr>
        <w:t xml:space="preserve">  </w:t>
      </w:r>
      <w:r>
        <w:rPr>
          <w:rFonts w:ascii="Calibri" w:hAnsi="Calibri" w:eastAsia="Microsoft YaHei"/>
          <w:b w:val="0"/>
          <w:i w:val="0"/>
          <w:color w:val="1A1A1A"/>
          <w:sz w:val="14"/>
        </w:rPr>
        <w:t>可比公司框架：拉美及新兴市场纯分销企业的交易倍数约为 0.4–0.9 倍 EV/Revenue 与 14–20 倍 P/E，而拥有自有渠道的品牌消费品公司为 1.5–3.0 倍 EV/Revenue 与 20–28 倍 P/E；鉴于 CLG 届时自有品牌占比约 50%、毛利率 43% 左右、三年复合增速约 45%，可辩护的定价基准为 1.8 倍 EV/Revenue 或 22 倍 P/E。</w:t>
      </w:r>
    </w:p>
    <w:p>
      <w:pPr>
        <w:spacing w:before="10" w:after="44" w:line="278" w:lineRule="auto"/>
        <w:ind w:left="181" w:hanging="181"/>
      </w:pPr>
      <w:r>
        <w:rPr>
          <w:rFonts w:ascii="Calibri" w:hAnsi="Calibri" w:eastAsia="Microsoft YaHei"/>
          <w:b/>
          <w:i w:val="0"/>
          <w:color w:val="B08D3F"/>
          <w:sz w:val="14"/>
        </w:rPr>
        <w:t xml:space="preserve">▪ </w:t>
      </w:r>
      <w:r>
        <w:rPr>
          <w:rFonts w:ascii="Calibri" w:hAnsi="Calibri" w:eastAsia="Microsoft YaHei"/>
          <w:b/>
          <w:i w:val="0"/>
          <w:color w:val="0B2545"/>
          <w:sz w:val="14"/>
        </w:rPr>
        <w:t>（3）</w:t>
      </w:r>
      <w:r>
        <w:rPr>
          <w:rFonts w:ascii="Calibri" w:hAnsi="Calibri" w:eastAsia="Microsoft YaHei"/>
          <w:b w:val="0"/>
          <w:i w:val="0"/>
          <w:color w:val="1A1A1A"/>
          <w:sz w:val="14"/>
        </w:rPr>
        <w:t xml:space="preserve">  </w:t>
      </w:r>
      <w:r>
        <w:rPr>
          <w:rFonts w:ascii="Calibri" w:hAnsi="Calibri" w:eastAsia="Microsoft YaHei"/>
          <w:b w:val="0"/>
          <w:i w:val="0"/>
          <w:color w:val="1A1A1A"/>
          <w:sz w:val="14"/>
        </w:rPr>
        <w:t>据此隐含企业价值按收入倍数约 1.52 亿美元、按盈利倍数约 2.41 亿美元，即 1.5 亿–2.4 亿美元（28–44 亿比索）的可信上市区间，相当于对总投资 105 万美元 145–230 倍的回报；三项不可妥协的前提：自第一年起由四大或 PCAOB 注册所出具 US GAAP／IFRS 审计报告、即刻搭建开曼或特拉华控股公司之于墨西哥 S.A. de C.V. 的离岸架构、自第一天建立符合 SOX 的内控与常设资料室。</w:t>
      </w:r>
    </w:p>
    <w:p>
      <w:pPr>
        <w:spacing w:before="0" w:after="0" w:line="100" w:lineRule="exact"/>
      </w:pPr>
      <w:r>
        <w:rPr>
          <w:rFonts w:ascii="Calibri" w:hAnsi="Calibri" w:eastAsia="Microsoft YaHei"/>
          <w:b w:val="0"/>
          <w:i w:val="0"/>
          <w:color w:val="1A1A1A"/>
          <w:sz w:val="2"/>
        </w:rPr>
      </w:r>
    </w:p>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567"/>
        <w:gridCol w:w="9524"/>
      </w:tblGrid>
      <w:tr>
        <w:tc>
          <w:tcPr>
            <w:tcW w:type="dxa" w:w="567"/>
            <w:shd w:val="clear" w:color="auto" w:fill="0B2545"/>
            <w:tcMar>
              <w:top w:w="20" w:type="dxa"/>
              <w:left w:w="0" w:type="dxa"/>
              <w:bottom w:w="20" w:type="dxa"/>
              <w:right w:w="0" w:type="dxa"/>
            </w:tcMar>
            <w:vAlign w:val="center"/>
          </w:tcPr>
          <w:p>
            <w:pPr>
              <w:keepNext/>
              <w:spacing w:before="10" w:after="10" w:lineRule="auto" w:line="264"/>
              <w:jc w:val="center"/>
            </w:pPr>
            <w:r/>
            <w:r>
              <w:rPr>
                <w:rFonts w:ascii="Calibri" w:hAnsi="Calibri" w:eastAsia="Microsoft YaHei"/>
                <w:b/>
                <w:i w:val="0"/>
                <w:color w:val="FFFFFF"/>
                <w:sz w:val="24"/>
              </w:rPr>
              <w:t>10</w:t>
            </w:r>
          </w:p>
        </w:tc>
        <w:tc>
          <w:tcPr>
            <w:tcW w:type="dxa" w:w="9524"/>
            <w:shd w:val="clear" w:color="auto" w:fill="F2F4F7"/>
            <w:tcMar>
              <w:top w:w="20" w:type="dxa"/>
              <w:left w:w="120" w:type="dxa"/>
              <w:bottom w:w="20" w:type="dxa"/>
              <w:right w:w="60" w:type="dxa"/>
            </w:tcMar>
            <w:vAlign w:val="center"/>
          </w:tcPr>
          <w:p>
            <w:pPr>
              <w:keepNext/>
              <w:spacing w:before="10" w:after="10"/>
            </w:pPr>
            <w:r/>
            <w:r>
              <w:rPr>
                <w:rFonts w:ascii="Calibri" w:hAnsi="Calibri" w:eastAsia="Microsoft YaHei"/>
                <w:b/>
                <w:i w:val="0"/>
                <w:color w:val="0B2545"/>
                <w:sz w:val="23"/>
              </w:rPr>
              <w:t>主要风险、对策与投资人监控看板</w:t>
            </w:r>
            <w:r>
              <w:rPr>
                <w:rFonts w:ascii="Calibri" w:hAnsi="Calibri" w:eastAsia="Microsoft YaHei"/>
                <w:b w:val="0"/>
                <w:i w:val="0"/>
                <w:color w:val="5A6472"/>
                <w:sz w:val="15"/>
              </w:rPr>
              <w:t xml:space="preserve">   RISKS &amp; KPI DASHBOARD</w:t>
            </w:r>
          </w:p>
        </w:tc>
      </w:tr>
    </w:tbl>
    <w:p>
      <w:pPr>
        <w:keepNext/>
        <w:spacing w:before="0" w:after="0" w:line="5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2948"/>
        <w:gridCol w:w="1361"/>
        <w:gridCol w:w="5783"/>
      </w:tblGrid>
      <w:tr>
        <w:trPr>
          <w:tblHeader w:val="true"/>
        </w:trPr>
        <w:tc>
          <w:tcPr>
            <w:tcW w:type="dxa" w:w="2948"/>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风险</w:t>
            </w:r>
          </w:p>
        </w:tc>
        <w:tc>
          <w:tcPr>
            <w:tcW w:type="dxa" w:w="136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敞口</w:t>
            </w:r>
          </w:p>
        </w:tc>
        <w:tc>
          <w:tcPr>
            <w:tcW w:type="dxa" w:w="5783"/>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对策（与 CLG 实际结构挂钩）</w:t>
            </w:r>
          </w:p>
        </w:tc>
      </w:tr>
      <w:tr>
        <w:tc>
          <w:tcPr>
            <w:tcW w:type="dxa" w:w="2948"/>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合作方供货依赖　2 亿比索寄售货源由合作方单一供给</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2"/>
              </w:rPr>
              <w:t>首年收入 7,920 万比索</w:t>
            </w:r>
          </w:p>
        </w:tc>
        <w:tc>
          <w:tcPr>
            <w:tcW w:type="dxa" w:w="5783"/>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以合同而非资金对冲：书面寄售协议明确墨西哥独家经销权、最低供货承诺与品类清单、结算价与调价机制、账期与对账规则、不少于 3 年期限及终止过渡安排；ERP 与合作方仓库实时对账；保留中国直采备份通道与集团自有物流，可在 45 天内以正常进口补位</w:t>
            </w:r>
          </w:p>
        </w:tc>
      </w:tr>
      <w:tr>
        <w:tc>
          <w:tcPr>
            <w:tcW w:type="dxa" w:w="2948"/>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库存资金与滞销风险　自购模式下本为最大风险项</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2"/>
              </w:rPr>
              <w:t>已基本消除</w:t>
            </w:r>
          </w:p>
        </w:tc>
        <w:tc>
          <w:tcPr>
            <w:tcW w:type="dxa" w:w="5783"/>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寄售模式下 CLG 不垫付采购款、不持有库存所有权：资金占用为零、滞销跌价由合作方承担、进口汇率波动不影响 CLG 成本。CLG 仅承担销售与保管责任（投保保管人责任险，年费约 15–25 万比索）</w:t>
            </w:r>
          </w:p>
        </w:tc>
      </w:tr>
      <w:tr>
        <w:tc>
          <w:tcPr>
            <w:tcW w:type="dxa" w:w="2948"/>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物流与海关风险　亚洲原产消费品在墨西哥太平洋港口查验趋严</w:t>
            </w:r>
          </w:p>
        </w:tc>
        <w:tc>
          <w:tcPr>
            <w:tcW w:type="dxa" w:w="1361"/>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2"/>
              </w:rPr>
              <w:t>已大幅降低</w:t>
            </w:r>
          </w:p>
        </w:tc>
        <w:tc>
          <w:tcPr>
            <w:tcW w:type="dxa" w:w="5783"/>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货物经「中国→美国→墨西哥」路径，由集团自有物流公司全程承运：在美国完成集拼、分批与文件预审，再经新拉雷多陆路口岸入墨、2 小时直达蒙特雷仓库，规避对亚洲直航货的最严查验与港口拥堵；陆运段短、路线固定，货损与失窃风险同步下降，并带来 8–12% 的永久性到岸成本优势</w:t>
            </w:r>
          </w:p>
        </w:tc>
      </w:tr>
      <w:tr>
        <w:tc>
          <w:tcPr>
            <w:tcW w:type="dxa" w:w="2948"/>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B2B 应收账款风险　正规客户要求 30–60 天账期</w:t>
            </w:r>
          </w:p>
        </w:tc>
        <w:tc>
          <w:tcPr>
            <w:tcW w:type="dxa" w:w="1361"/>
            <w:shd w:val="clear" w:color="auto" w:fill="F2F4F7"/>
            <w:tcMar>
              <w:top w:w="40" w:type="dxa"/>
              <w:left w:w="90" w:type="dxa"/>
              <w:bottom w:w="40" w:type="dxa"/>
              <w:right w:w="90" w:type="dxa"/>
            </w:tcMar>
            <w:vAlign w:val="center"/>
          </w:tcPr>
          <w:p>
            <w:pPr>
              <w:keepNext/>
              <w:spacing w:before="6" w:after="6" w:lineRule="auto" w:line="264"/>
              <w:jc w:val="center"/>
            </w:pPr>
            <w:r/>
            <w:r>
              <w:rPr>
                <w:rFonts w:ascii="Calibri" w:hAnsi="Calibri" w:eastAsia="Microsoft YaHei"/>
                <w:b w:val="0"/>
                <w:i w:val="0"/>
                <w:color w:val="1A1A1A"/>
                <w:sz w:val="12"/>
              </w:rPr>
              <w:t>首年计提 120 万；第三年敞口约 1,560 万</w:t>
            </w:r>
          </w:p>
        </w:tc>
        <w:tc>
          <w:tcPr>
            <w:tcW w:type="dxa" w:w="5783"/>
            <w:shd w:val="clear" w:color="auto" w:fill="F2F4F7"/>
            <w:tcMar>
              <w:top w:w="40" w:type="dxa"/>
              <w:left w:w="90" w:type="dxa"/>
              <w:bottom w:w="40" w:type="dxa"/>
              <w:right w:w="90" w:type="dxa"/>
            </w:tcMar>
            <w:vAlign w:val="center"/>
          </w:tcPr>
          <w:p>
            <w:pPr>
              <w:keepNext/>
              <w:spacing w:before="6" w:after="6" w:lineRule="auto" w:line="264"/>
            </w:pPr>
            <w:r/>
            <w:r>
              <w:rPr>
                <w:rFonts w:ascii="Calibri" w:hAnsi="Calibri" w:eastAsia="Microsoft YaHei"/>
                <w:b w:val="0"/>
                <w:i w:val="0"/>
                <w:color w:val="1A1A1A"/>
                <w:sz w:val="12"/>
              </w:rPr>
              <w:t>分层授信：一级客户（墨城高周转买家，约占 B2B 收入 55%）一律现金／SPEI，零信用风险；二级正规中小企业 30 天并取本票＋个人担保；三级工业大客户 60 天并投保信用险或反向保理；10 万比索以上强制征信；大额应收经 NAFIN 无追索保理 48 小时变现</w:t>
            </w:r>
          </w:p>
        </w:tc>
      </w:tr>
      <w:tr>
        <w:tc>
          <w:tcPr>
            <w:tcW w:type="dxa" w:w="2948"/>
            <w:tcMar>
              <w:top w:w="40" w:type="dxa"/>
              <w:left w:w="90" w:type="dxa"/>
              <w:bottom w:w="40" w:type="dxa"/>
              <w:right w:w="90" w:type="dxa"/>
            </w:tcMar>
            <w:vAlign w:val="center"/>
          </w:tcPr>
          <w:p>
            <w:pPr>
              <w:spacing w:before="6" w:after="6" w:lineRule="auto" w:line="264"/>
            </w:pPr>
            <w:r/>
            <w:r>
              <w:rPr>
                <w:rFonts w:ascii="Calibri" w:hAnsi="Calibri" w:eastAsia="Microsoft YaHei"/>
                <w:b w:val="0"/>
                <w:i w:val="0"/>
                <w:color w:val="1A1A1A"/>
                <w:sz w:val="12"/>
              </w:rPr>
              <w:t>关键岗位依赖　管理团队规模精简且横跨两城，任一核心岗位离职即形成缺口</w:t>
            </w:r>
          </w:p>
        </w:tc>
        <w:tc>
          <w:tcPr>
            <w:tcW w:type="dxa" w:w="1361"/>
            <w:tcMar>
              <w:top w:w="40" w:type="dxa"/>
              <w:left w:w="90" w:type="dxa"/>
              <w:bottom w:w="40" w:type="dxa"/>
              <w:right w:w="90" w:type="dxa"/>
            </w:tcMar>
            <w:vAlign w:val="center"/>
          </w:tcPr>
          <w:p>
            <w:pPr>
              <w:spacing w:before="6" w:after="6" w:lineRule="auto" w:line="264"/>
              <w:jc w:val="center"/>
            </w:pPr>
            <w:r/>
            <w:r>
              <w:rPr>
                <w:rFonts w:ascii="Calibri" w:hAnsi="Calibri" w:eastAsia="Microsoft YaHei"/>
                <w:b w:val="0"/>
                <w:i w:val="0"/>
                <w:color w:val="1A1A1A"/>
                <w:sz w:val="12"/>
              </w:rPr>
              <w:t>执行集中于精简团队；第三年贸易毛利率递减</w:t>
            </w:r>
          </w:p>
        </w:tc>
        <w:tc>
          <w:tcPr>
            <w:tcW w:type="dxa" w:w="5783"/>
            <w:tcMar>
              <w:top w:w="40" w:type="dxa"/>
              <w:left w:w="90" w:type="dxa"/>
              <w:bottom w:w="40" w:type="dxa"/>
              <w:right w:w="90" w:type="dxa"/>
            </w:tcMar>
            <w:vAlign w:val="center"/>
          </w:tcPr>
          <w:p>
            <w:pPr>
              <w:spacing w:before="6" w:after="6" w:lineRule="auto" w:line="264"/>
            </w:pPr>
            <w:r/>
            <w:r>
              <w:rPr>
                <w:rFonts w:ascii="Calibri" w:hAnsi="Calibri" w:eastAsia="Microsoft YaHei"/>
                <w:b w:val="0"/>
                <w:i w:val="0"/>
                <w:color w:val="1A1A1A"/>
                <w:sz w:val="12"/>
              </w:rPr>
              <w:t>窗口即战略：用 18 个月锁定 440 家带独家条款与最低采购量的代理商；自有品牌为永久护城河，第三年 42% 毛利来自自有知识产权；关键流程固化于 ERP 与书面 SOP，两地管理岗互为备份，设计、法务、报关、配送均有外部合作方即时补位；管理团队层面以书面接班安排、核心管理者期权池、关键岗位人身保险与第 12 个月增补管理岗位缓释</w:t>
            </w:r>
          </w:p>
        </w:tc>
      </w:tr>
    </w:tbl>
    <w:p>
      <w:pPr>
        <w:spacing w:before="0" w:after="0" w:line="80" w:lineRule="exact"/>
      </w:pPr>
      <w:r>
        <w:rPr>
          <w:rFonts w:ascii="Calibri" w:hAnsi="Calibri" w:eastAsia="Microsoft YaHei"/>
          <w:b w:val="0"/>
          <w:i w:val="0"/>
          <w:color w:val="1A1A1A"/>
          <w:sz w:val="2"/>
        </w:rPr>
      </w:r>
    </w:p>
    <w:tbl>
      <w:tblPr>
        <w:tblW w:type="auto" w:w="0"/>
        <w:jc w:val="center"/>
        <w:tblBorders>
          <w:top w:val="single" w:sz="8" w:space="0" w:color="0B2545"/>
          <w:left w:val="nil"/>
          <w:bottom w:val="single" w:sz="8" w:space="0" w:color="0B2545"/>
          <w:right w:val="nil"/>
          <w:insideH w:val="single" w:sz="2" w:space="0" w:color="C9D1DA"/>
          <w:insideV w:val="nil"/>
        </w:tblBorders>
        <w:tblLayout w:type="fixed"/>
        <w:tblLook w:firstColumn="1" w:firstRow="1" w:lastColumn="0" w:lastRow="0" w:noHBand="0" w:noVBand="1" w:val="04A0"/>
      </w:tblPr>
      <w:tblGrid>
        <w:gridCol w:w="1871"/>
        <w:gridCol w:w="794"/>
        <w:gridCol w:w="794"/>
        <w:gridCol w:w="794"/>
        <w:gridCol w:w="2041"/>
        <w:gridCol w:w="850"/>
        <w:gridCol w:w="907"/>
        <w:gridCol w:w="907"/>
      </w:tblGrid>
      <w:tr>
        <w:trPr>
          <w:tblHeader w:val="true"/>
        </w:trPr>
        <w:tc>
          <w:tcPr>
            <w:tcW w:type="dxa" w:w="187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KPI</w:t>
            </w:r>
          </w:p>
        </w:tc>
        <w:tc>
          <w:tcPr>
            <w:tcW w:type="dxa" w:w="79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第一年</w:t>
            </w:r>
          </w:p>
        </w:tc>
        <w:tc>
          <w:tcPr>
            <w:tcW w:type="dxa" w:w="79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第二年</w:t>
            </w:r>
          </w:p>
        </w:tc>
        <w:tc>
          <w:tcPr>
            <w:tcW w:type="dxa" w:w="794"/>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第三年</w:t>
            </w:r>
          </w:p>
        </w:tc>
        <w:tc>
          <w:tcPr>
            <w:tcW w:type="dxa" w:w="2041"/>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KPI</w:t>
            </w:r>
          </w:p>
        </w:tc>
        <w:tc>
          <w:tcPr>
            <w:tcW w:type="dxa" w:w="850"/>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第一年</w:t>
            </w:r>
          </w:p>
        </w:tc>
        <w:tc>
          <w:tcPr>
            <w:tcW w:type="dxa" w:w="90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第二年</w:t>
            </w:r>
          </w:p>
        </w:tc>
        <w:tc>
          <w:tcPr>
            <w:tcW w:type="dxa" w:w="907"/>
            <w:shd w:val="clear" w:color="auto" w:fill="0B2545"/>
            <w:tcMar>
              <w:top w:w="40" w:type="dxa"/>
              <w:left w:w="90" w:type="dxa"/>
              <w:bottom w:w="40" w:type="dxa"/>
              <w:right w:w="90" w:type="dxa"/>
            </w:tcMar>
            <w:vAlign w:val="center"/>
          </w:tcPr>
          <w:p>
            <w:pPr>
              <w:keepNext/>
              <w:spacing w:before="30" w:after="30" w:lineRule="auto" w:line="264"/>
              <w:jc w:val="center"/>
            </w:pPr>
            <w:r/>
            <w:r>
              <w:rPr>
                <w:rFonts w:ascii="Calibri" w:hAnsi="Calibri" w:eastAsia="Microsoft YaHei"/>
                <w:b/>
                <w:i w:val="0"/>
                <w:color w:val="FFFFFF"/>
                <w:sz w:val="16"/>
              </w:rPr>
              <w:t>第三年</w:t>
            </w:r>
          </w:p>
        </w:tc>
      </w:tr>
      <w:tr>
        <w:tc>
          <w:tcPr>
            <w:tcW w:type="dxa" w:w="1871"/>
            <w:tcMar>
              <w:top w:w="40" w:type="dxa"/>
              <w:left w:w="90" w:type="dxa"/>
              <w:bottom w:w="40" w:type="dxa"/>
              <w:right w:w="90" w:type="dxa"/>
            </w:tcMar>
            <w:vAlign w:val="center"/>
          </w:tcPr>
          <w:p>
            <w:pPr>
              <w:keepNext/>
              <w:spacing w:before="10" w:after="10" w:lineRule="auto" w:line="264"/>
            </w:pPr>
            <w:r/>
            <w:r>
              <w:rPr>
                <w:rFonts w:ascii="Calibri" w:hAnsi="Calibri" w:eastAsia="Microsoft YaHei"/>
                <w:b w:val="0"/>
                <w:i w:val="0"/>
                <w:color w:val="1A1A1A"/>
                <w:sz w:val="14"/>
              </w:rPr>
              <w:t>活跃 B2B 客户数</w:t>
            </w:r>
          </w:p>
        </w:tc>
        <w:tc>
          <w:tcPr>
            <w:tcW w:type="dxa" w:w="794"/>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360</w:t>
            </w:r>
          </w:p>
        </w:tc>
        <w:tc>
          <w:tcPr>
            <w:tcW w:type="dxa" w:w="794"/>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1,040</w:t>
            </w:r>
          </w:p>
        </w:tc>
        <w:tc>
          <w:tcPr>
            <w:tcW w:type="dxa" w:w="794"/>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2,300</w:t>
            </w:r>
          </w:p>
        </w:tc>
        <w:tc>
          <w:tcPr>
            <w:tcW w:type="dxa" w:w="2041"/>
            <w:tcMar>
              <w:top w:w="40" w:type="dxa"/>
              <w:left w:w="90" w:type="dxa"/>
              <w:bottom w:w="40" w:type="dxa"/>
              <w:right w:w="90" w:type="dxa"/>
            </w:tcMar>
            <w:vAlign w:val="center"/>
          </w:tcPr>
          <w:p>
            <w:pPr>
              <w:keepNext/>
              <w:spacing w:before="10" w:after="10" w:lineRule="auto" w:line="264"/>
            </w:pPr>
            <w:r/>
            <w:r>
              <w:rPr>
                <w:rFonts w:ascii="Calibri" w:hAnsi="Calibri" w:eastAsia="Microsoft YaHei"/>
                <w:b w:val="0"/>
                <w:i w:val="0"/>
                <w:color w:val="1A1A1A"/>
                <w:sz w:val="14"/>
              </w:rPr>
              <w:t>寄售货源累计去化率</w:t>
            </w:r>
          </w:p>
        </w:tc>
        <w:tc>
          <w:tcPr>
            <w:tcW w:type="dxa" w:w="850"/>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23%</w:t>
            </w:r>
          </w:p>
        </w:tc>
        <w:tc>
          <w:tcPr>
            <w:tcW w:type="dxa" w:w="90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81%</w:t>
            </w:r>
          </w:p>
        </w:tc>
        <w:tc>
          <w:tcPr>
            <w:tcW w:type="dxa" w:w="90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100%→转常规补货</w:t>
            </w:r>
          </w:p>
        </w:tc>
      </w:tr>
      <w:tr>
        <w:tc>
          <w:tcPr>
            <w:tcW w:type="dxa" w:w="1871"/>
            <w:shd w:val="clear" w:color="auto" w:fill="F2F4F7"/>
            <w:tcMar>
              <w:top w:w="40" w:type="dxa"/>
              <w:left w:w="90" w:type="dxa"/>
              <w:bottom w:w="40" w:type="dxa"/>
              <w:right w:w="90" w:type="dxa"/>
            </w:tcMar>
            <w:vAlign w:val="center"/>
          </w:tcPr>
          <w:p>
            <w:pPr>
              <w:keepNext/>
              <w:spacing w:before="10" w:after="10" w:lineRule="auto" w:line="264"/>
            </w:pPr>
            <w:r/>
            <w:r>
              <w:rPr>
                <w:rFonts w:ascii="Calibri" w:hAnsi="Calibri" w:eastAsia="Microsoft YaHei"/>
                <w:b w:val="0"/>
                <w:i w:val="0"/>
                <w:color w:val="1A1A1A"/>
                <w:sz w:val="14"/>
              </w:rPr>
              <w:t>代理商数量 / 兼职销售代表</w:t>
            </w:r>
          </w:p>
        </w:tc>
        <w:tc>
          <w:tcPr>
            <w:tcW w:type="dxa" w:w="794"/>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60 / 80</w:t>
            </w:r>
          </w:p>
        </w:tc>
        <w:tc>
          <w:tcPr>
            <w:tcW w:type="dxa" w:w="794"/>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180 / 220</w:t>
            </w:r>
          </w:p>
        </w:tc>
        <w:tc>
          <w:tcPr>
            <w:tcW w:type="dxa" w:w="794"/>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440 / 500</w:t>
            </w:r>
          </w:p>
        </w:tc>
        <w:tc>
          <w:tcPr>
            <w:tcW w:type="dxa" w:w="2041"/>
            <w:shd w:val="clear" w:color="auto" w:fill="F2F4F7"/>
            <w:tcMar>
              <w:top w:w="40" w:type="dxa"/>
              <w:left w:w="90" w:type="dxa"/>
              <w:bottom w:w="40" w:type="dxa"/>
              <w:right w:w="90" w:type="dxa"/>
            </w:tcMar>
            <w:vAlign w:val="center"/>
          </w:tcPr>
          <w:p>
            <w:pPr>
              <w:keepNext/>
              <w:spacing w:before="10" w:after="10" w:lineRule="auto" w:line="264"/>
            </w:pPr>
            <w:r/>
            <w:r>
              <w:rPr>
                <w:rFonts w:ascii="Calibri" w:hAnsi="Calibri" w:eastAsia="Microsoft YaHei"/>
                <w:b w:val="0"/>
                <w:i w:val="0"/>
                <w:color w:val="1A1A1A"/>
                <w:sz w:val="14"/>
              </w:rPr>
              <w:t>小商品连锁门店数</w:t>
            </w:r>
          </w:p>
        </w:tc>
        <w:tc>
          <w:tcPr>
            <w:tcW w:type="dxa" w:w="850"/>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8</w:t>
            </w:r>
          </w:p>
        </w:tc>
        <w:tc>
          <w:tcPr>
            <w:tcW w:type="dxa" w:w="907"/>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35</w:t>
            </w:r>
          </w:p>
        </w:tc>
        <w:tc>
          <w:tcPr>
            <w:tcW w:type="dxa" w:w="907"/>
            <w:shd w:val="clear" w:color="auto" w:fill="F2F4F7"/>
            <w:tcMar>
              <w:top w:w="40" w:type="dxa"/>
              <w:left w:w="90" w:type="dxa"/>
              <w:bottom w:w="40" w:type="dxa"/>
              <w:right w:w="90" w:type="dxa"/>
            </w:tcMar>
            <w:vAlign w:val="center"/>
          </w:tcPr>
          <w:p>
            <w:pPr>
              <w:keepNext/>
              <w:spacing w:before="10" w:after="10" w:lineRule="auto" w:line="264"/>
              <w:jc w:val="center"/>
            </w:pPr>
            <w:r/>
            <w:r>
              <w:rPr>
                <w:rFonts w:ascii="Calibri" w:hAnsi="Calibri" w:eastAsia="Microsoft YaHei"/>
                <w:b w:val="0"/>
                <w:i w:val="0"/>
                <w:color w:val="1A1A1A"/>
                <w:sz w:val="14"/>
              </w:rPr>
              <w:t>90</w:t>
            </w:r>
          </w:p>
        </w:tc>
      </w:tr>
      <w:tr>
        <w:tc>
          <w:tcPr>
            <w:tcW w:type="dxa" w:w="1871"/>
            <w:tcMar>
              <w:top w:w="40" w:type="dxa"/>
              <w:left w:w="90" w:type="dxa"/>
              <w:bottom w:w="40" w:type="dxa"/>
              <w:right w:w="90" w:type="dxa"/>
            </w:tcMar>
            <w:vAlign w:val="center"/>
          </w:tcPr>
          <w:p>
            <w:pPr>
              <w:spacing w:before="10" w:after="10" w:lineRule="auto" w:line="264"/>
            </w:pPr>
            <w:r/>
            <w:r>
              <w:rPr>
                <w:rFonts w:ascii="Calibri" w:hAnsi="Calibri" w:eastAsia="Microsoft YaHei"/>
                <w:b w:val="0"/>
                <w:i w:val="0"/>
                <w:color w:val="1A1A1A"/>
                <w:sz w:val="14"/>
              </w:rPr>
              <w:t>应收账款周转天数 DSO</w:t>
            </w:r>
          </w:p>
        </w:tc>
        <w:tc>
          <w:tcPr>
            <w:tcW w:type="dxa" w:w="794"/>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4"/>
              </w:rPr>
              <w:t>≤42 天</w:t>
            </w:r>
          </w:p>
        </w:tc>
        <w:tc>
          <w:tcPr>
            <w:tcW w:type="dxa" w:w="794"/>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4"/>
              </w:rPr>
              <w:t>≤50 天</w:t>
            </w:r>
          </w:p>
        </w:tc>
        <w:tc>
          <w:tcPr>
            <w:tcW w:type="dxa" w:w="794"/>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4"/>
              </w:rPr>
              <w:t>≤55 天</w:t>
            </w:r>
          </w:p>
        </w:tc>
        <w:tc>
          <w:tcPr>
            <w:tcW w:type="dxa" w:w="2041"/>
            <w:tcMar>
              <w:top w:w="40" w:type="dxa"/>
              <w:left w:w="90" w:type="dxa"/>
              <w:bottom w:w="40" w:type="dxa"/>
              <w:right w:w="90" w:type="dxa"/>
            </w:tcMar>
            <w:vAlign w:val="center"/>
          </w:tcPr>
          <w:p>
            <w:pPr>
              <w:spacing w:before="10" w:after="10" w:lineRule="auto" w:line="264"/>
            </w:pPr>
            <w:r/>
            <w:r>
              <w:rPr>
                <w:rFonts w:ascii="Calibri" w:hAnsi="Calibri" w:eastAsia="Microsoft YaHei"/>
                <w:b w:val="0"/>
                <w:i w:val="0"/>
                <w:color w:val="1A1A1A"/>
                <w:sz w:val="14"/>
              </w:rPr>
              <w:t>全职编制 / 人均产出</w:t>
            </w:r>
          </w:p>
        </w:tc>
        <w:tc>
          <w:tcPr>
            <w:tcW w:type="dxa" w:w="850"/>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4"/>
              </w:rPr>
              <w:t>18 / 5.50</w:t>
            </w:r>
          </w:p>
        </w:tc>
        <w:tc>
          <w:tcPr>
            <w:tcW w:type="dxa" w:w="907"/>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4"/>
              </w:rPr>
              <w:t>38 / 6.63</w:t>
            </w:r>
          </w:p>
        </w:tc>
        <w:tc>
          <w:tcPr>
            <w:tcW w:type="dxa" w:w="907"/>
            <w:tcMar>
              <w:top w:w="40" w:type="dxa"/>
              <w:left w:w="90" w:type="dxa"/>
              <w:bottom w:w="40" w:type="dxa"/>
              <w:right w:w="90" w:type="dxa"/>
            </w:tcMar>
            <w:vAlign w:val="center"/>
          </w:tcPr>
          <w:p>
            <w:pPr>
              <w:spacing w:before="10" w:after="10" w:lineRule="auto" w:line="264"/>
              <w:jc w:val="center"/>
            </w:pPr>
            <w:r/>
            <w:r>
              <w:rPr>
                <w:rFonts w:ascii="Calibri" w:hAnsi="Calibri" w:eastAsia="Microsoft YaHei"/>
                <w:b w:val="0"/>
                <w:i w:val="0"/>
                <w:color w:val="1A1A1A"/>
                <w:sz w:val="14"/>
              </w:rPr>
              <w:t>72 / 7.08</w:t>
            </w:r>
          </w:p>
        </w:tc>
      </w:tr>
    </w:tbl>
    <w:p>
      <w:pPr>
        <w:spacing w:before="0" w:after="0" w:line="60" w:lineRule="exact"/>
      </w:pPr>
      <w:r>
        <w:rPr>
          <w:rFonts w:ascii="Calibri" w:hAnsi="Calibri" w:eastAsia="Microsoft YaHei"/>
          <w:b w:val="0"/>
          <w:i w:val="0"/>
          <w:color w:val="1A1A1A"/>
          <w:sz w:val="2"/>
        </w:rPr>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10091"/>
      </w:tblGrid>
      <w:tr>
        <w:tc>
          <w:tcPr>
            <w:tcW w:type="dxa" w:w="10091"/>
            <w:tcBorders>
              <w:top w:val="single" w:sz="2" w:space="0" w:color="C9D1DA"/>
              <w:left w:val="single" w:sz="18" w:space="0" w:color="B08D3F"/>
              <w:bottom w:val="single" w:sz="2" w:space="0" w:color="C9D1DA"/>
              <w:right w:val="single" w:sz="2" w:space="0" w:color="C9D1DA"/>
            </w:tcBorders>
            <w:shd w:val="clear" w:color="auto" w:fill="FFFFFF"/>
            <w:tcMar>
              <w:top w:w="20" w:type="dxa"/>
              <w:left w:w="120" w:type="dxa"/>
              <w:bottom w:w="20" w:type="dxa"/>
              <w:right w:w="80" w:type="dxa"/>
            </w:tcMar>
          </w:tcPr>
          <w:p>
            <w:pPr>
              <w:spacing w:before="40" w:after="20"/>
            </w:pPr>
            <w:r/>
            <w:r>
              <w:rPr>
                <w:rFonts w:ascii="Calibri" w:hAnsi="Calibri" w:eastAsia="Microsoft YaHei"/>
                <w:b/>
                <w:i w:val="0"/>
                <w:color w:val="0B2545"/>
                <w:sz w:val="16"/>
              </w:rPr>
              <w:t>开业前必须完成的五项前置事项（缺一即无法营业）</w:t>
            </w:r>
          </w:p>
          <w:p>
            <w:pPr>
              <w:spacing w:before="0" w:after="24" w:line="247" w:lineRule="auto"/>
              <w:ind w:left="147" w:hanging="147"/>
            </w:pPr>
            <w:r>
              <w:rPr>
                <w:rFonts w:ascii="Calibri" w:hAnsi="Calibri" w:eastAsia="Microsoft YaHei"/>
                <w:b w:val="0"/>
                <w:i w:val="0"/>
                <w:color w:val="5A6472"/>
                <w:sz w:val="13"/>
              </w:rPr>
              <w:t>① 寄售合作协议（首要）：墨西哥独家经销、最低供货承诺与品类清单、结算价与调价机制、账期与对账规则、保管责任与保险归属、不少于 3 年期限及终止过渡安排。此协议是全部财务预测的法律基础，须先于一切支出完成签署。</w:t>
            </w:r>
          </w:p>
          <w:p>
            <w:pPr>
              <w:spacing w:before="0" w:after="24" w:line="247" w:lineRule="auto"/>
              <w:ind w:left="147" w:hanging="147"/>
            </w:pPr>
            <w:r>
              <w:rPr>
                <w:rFonts w:ascii="Calibri" w:hAnsi="Calibri" w:eastAsia="Microsoft YaHei"/>
                <w:b w:val="0"/>
                <w:i w:val="0"/>
                <w:color w:val="5A6472"/>
                <w:sz w:val="13"/>
              </w:rPr>
              <w:t>② S.A. de C.V. 实体、外资登记 RNIE、RFC、e.firma、数字签章 CSD 及 PAC 对接，并具备开具 CFDI 4.0 与货运 Carta Porte 附件的能力——否则无法向任何正规企业客户销售，蒙特雷工业客户论证即不成立（预留 6–10 周）；同时办理进口商名录（Padrón de Importadores）及服装纺织类特定行业名录，自有品牌与补货经美国通道入墨须完成美墨两端报关主体与文件体系；消费品关税 0–35%，另有 16% 增值税形成现金垫付（已计入营运资金）。</w:t>
            </w:r>
          </w:p>
          <w:p>
            <w:pPr>
              <w:spacing w:before="0" w:after="24" w:line="247" w:lineRule="auto"/>
              <w:ind w:left="147" w:hanging="147"/>
            </w:pPr>
            <w:r>
              <w:rPr>
                <w:rFonts w:ascii="Calibri" w:hAnsi="Calibri" w:eastAsia="Microsoft YaHei"/>
                <w:b w:val="0"/>
                <w:i w:val="0"/>
                <w:color w:val="5A6472"/>
                <w:sz w:val="13"/>
              </w:rPr>
              <w:t>④ NOM 强制认证与标签：NOM-050-SCFI 适用于生活用品、厨房、服装、文具、礼品；服装另需 NOM-004-SCFI；劳保品类风险最高，工业客户采购前必索取符合性证书。须对寄售库存做 NOM-050 合规审计——若无西语标签，返工成本承担方须在寄售协议中事先约定。</w:t>
            </w:r>
          </w:p>
          <w:p>
            <w:pPr>
              <w:spacing w:before="0" w:after="50" w:line="247" w:lineRule="auto"/>
              <w:ind w:left="147" w:hanging="147"/>
            </w:pPr>
            <w:r>
              <w:rPr>
                <w:rFonts w:ascii="Calibri" w:hAnsi="Calibri" w:eastAsia="Microsoft YaHei"/>
                <w:b w:val="0"/>
                <w:i w:val="0"/>
                <w:color w:val="5A6472"/>
                <w:sz w:val="13"/>
              </w:rPr>
              <w:t>⑤ IMPI 商标先行注册（墨西哥为申请在先制，须在首份图册印刷前完成两个品牌全部相关尼斯类别的递交）；ERP／WMS 须先于三大平台上线并与合作方仓库实时对账；关联交易须按独立交易原则定价并出具转让定价报告，否则美国审计师不予签字。</w:t>
            </w:r>
          </w:p>
        </w:tc>
      </w:tr>
    </w:tbl>
    <w:sectPr w:rsidR="00FC693F" w:rsidRPr="0006063C" w:rsidSect="00034616">
      <w:headerReference w:type="default" r:id="rId10"/>
      <w:footerReference w:type="default" r:id="rId11"/>
      <w:pgSz w:w="11906" w:h="16838"/>
      <w:pgMar w:top="822" w:right="907" w:bottom="680" w:left="90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Borders>
        <w:top w:val="single" w:sz="6" w:space="0" w:color="C9D1DA"/>
        <w:left w:val="nil"/>
        <w:bottom w:val="nil"/>
        <w:right w:val="nil"/>
        <w:insideH w:val="nil"/>
        <w:insideV w:val="nil"/>
      </w:tblBorders>
      <w:tblLayout w:type="fixed"/>
      <w:tblLook w:firstColumn="1" w:firstRow="1" w:lastColumn="0" w:lastRow="0" w:noHBand="0" w:noVBand="1" w:val="04A0"/>
    </w:tblPr>
    <w:tblGrid>
      <w:gridCol w:w="8504"/>
      <w:gridCol w:w="1587"/>
    </w:tblGrid>
    <w:tr>
      <w:tc>
        <w:tcPr>
          <w:tcW w:type="dxa" w:w="8504"/>
          <w:tcMar>
            <w:top w:w="0" w:type="dxa"/>
            <w:left w:w="0" w:type="dxa"/>
            <w:bottom w:w="0" w:type="dxa"/>
            <w:right w:w="0" w:type="dxa"/>
          </w:tcMar>
        </w:tcPr>
        <w:p>
          <w:pPr>
            <w:spacing w:before="40" w:after="0"/>
          </w:pPr>
          <w:r/>
          <w:r>
            <w:rPr>
              <w:rFonts w:ascii="Calibri" w:hAnsi="Calibri" w:eastAsia="Microsoft YaHei"/>
              <w:b w:val="0"/>
              <w:i w:val="0"/>
              <w:color w:val="5A6472"/>
              <w:sz w:val="14"/>
            </w:rPr>
            <w:t>CLG GROUP · MEXICO  |  墨西哥商业计划书  |  本文件含商业机密，未经书面许可不得复制或转发</w:t>
          </w:r>
        </w:p>
      </w:tc>
      <w:tc>
        <w:tcPr>
          <w:tcW w:type="dxa" w:w="1587"/>
          <w:tcMar>
            <w:top w:w="0" w:type="dxa"/>
            <w:left w:w="0" w:type="dxa"/>
            <w:bottom w:w="0" w:type="dxa"/>
            <w:right w:w="0" w:type="dxa"/>
          </w:tcMar>
        </w:tcPr>
        <w:p>
          <w:pPr>
            <w:spacing w:before="40" w:after="0"/>
            <w:jc w:val="right"/>
          </w:pPr>
          <w:r/>
          <w:r>
            <w:rPr>
              <w:rFonts w:ascii="Calibri" w:hAnsi="Calibri" w:eastAsia="Microsoft YaHei"/>
              <w:b w:val="0"/>
              <w:i w:val="0"/>
              <w:color w:val="5A6472"/>
              <w:sz w:val="15"/>
            </w:rPr>
            <w:t xml:space="preserve">第 </w:t>
          </w:r>
          <w:r>
            <w:rPr>
              <w:rFonts w:ascii="Calibri" w:hAnsi="Calibri" w:eastAsia="Microsoft YaHei"/>
              <w:b w:val="0"/>
              <w:i w:val="0"/>
              <w:color w:val="0B2545"/>
              <w:sz w:val="15"/>
            </w:rPr>
            <w:fldChar w:fldCharType="begin"/>
            <w:instrText xml:space="preserve"> PAGE </w:instrText>
            <w:fldChar w:fldCharType="end"/>
          </w:r>
          <w:r>
            <w:rPr>
              <w:rFonts w:ascii="Calibri" w:hAnsi="Calibri" w:eastAsia="Microsoft YaHei"/>
              <w:b w:val="0"/>
              <w:i w:val="0"/>
              <w:color w:val="5A6472"/>
              <w:sz w:val="15"/>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Borders>
        <w:top w:val="nil"/>
        <w:left w:val="nil"/>
        <w:bottom w:val="single" w:sz="6" w:space="0" w:color="B08D3F"/>
        <w:right w:val="nil"/>
        <w:insideH w:val="nil"/>
        <w:insideV w:val="nil"/>
      </w:tblBorders>
      <w:tblLayout w:type="fixed"/>
      <w:tblLook w:firstColumn="1" w:firstRow="1" w:lastColumn="0" w:lastRow="0" w:noHBand="0" w:noVBand="1" w:val="04A0"/>
    </w:tblPr>
    <w:tblGrid>
      <w:gridCol w:w="6236"/>
      <w:gridCol w:w="3855"/>
    </w:tblGrid>
    <w:tr>
      <w:tc>
        <w:tcPr>
          <w:tcW w:type="dxa" w:w="6236"/>
          <w:tcMar>
            <w:top w:w="0" w:type="dxa"/>
            <w:left w:w="0" w:type="dxa"/>
            <w:bottom w:w="0" w:type="dxa"/>
            <w:right w:w="0" w:type="dxa"/>
          </w:tcMar>
        </w:tcPr>
        <w:p>
          <w:pPr>
            <w:spacing w:after="30"/>
          </w:pPr>
          <w:r/>
          <w:r>
            <w:rPr>
              <w:rFonts w:ascii="Calibri" w:hAnsi="Calibri" w:eastAsia="Microsoft YaHei"/>
              <w:b/>
              <w:i w:val="0"/>
              <w:color w:val="0B2545"/>
              <w:sz w:val="15"/>
            </w:rPr>
            <w:t>CLG 集团  |  墨西哥商业计划书</w:t>
          </w:r>
        </w:p>
      </w:tc>
      <w:tc>
        <w:tcPr>
          <w:tcW w:type="dxa" w:w="3855"/>
          <w:tcMar>
            <w:top w:w="0" w:type="dxa"/>
            <w:left w:w="0" w:type="dxa"/>
            <w:bottom w:w="0" w:type="dxa"/>
            <w:right w:w="0" w:type="dxa"/>
          </w:tcMar>
        </w:tcPr>
        <w:p>
          <w:pPr>
            <w:spacing w:after="30"/>
            <w:jc w:val="right"/>
          </w:pPr>
          <w:r/>
          <w:r>
            <w:rPr>
              <w:rFonts w:ascii="Calibri" w:hAnsi="Calibri" w:eastAsia="Microsoft YaHei"/>
              <w:b w:val="0"/>
              <w:i w:val="0"/>
              <w:color w:val="5A6472"/>
              <w:sz w:val="15"/>
            </w:rPr>
            <w:t>编制人：John Kim  ·  2026年9月  ·  严格保密</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CLG 集团 · 墨西哥商业计划书</dc:title>
  <dc:subject>极致轻资产 · 寄售零库存 · 自有品牌长期化</dc:subject>
  <dc:creator>John Kim</dc:creator>
  <cp:keywords/>
  <dc:description>编制人：John Kim</dc:description>
  <cp:lastModifiedBy>John Kim</cp:lastModifiedBy>
  <cp:revision>1</cp:revision>
  <dcterms:created xsi:type="dcterms:W3CDTF">2013-12-23T23:15:00Z</dcterms:created>
  <dcterms:modified xsi:type="dcterms:W3CDTF">2013-12-23T23:15:00Z</dcterms:modified>
  <cp:category/>
</cp:coreProperties>
</file>