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投资要点与核心财务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HIGHLIGHTS &amp; FINANCIALS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01  零库存资本占用：2 亿比索货源以寄售方式无偿供货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合作方将其位于墨西哥城仓库的约 2 亿比索（1,080 万美元）低价实物库存，以寄售（consignación）方式无偿交由 CLG 销售，售出后按约定结算价付款。CLG 不垫付一分钱采购款，不承担库存资金占用、滞销跌价与进口汇率风险——本项目的资产负债表上没有最容易出问题的那一项。因货源成本极低，售价可定在市场价以下 15–20% 仍实现 47% 综合毛利率，本地同业毛利率天花板仅 20–25%。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02  总投资金额约 105 万美元，且首年净利润即达 1,028 万比索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无需备货资金，投资仅由人力、双城租金、运营费用与蒙特雷场地一次性建设构成。展厅采用模块化陈列，装修预算压缩至常规方案的 20%；货架、叉车、配送车辆与办公设备全部采购二手。总投资 1,950 万比索（约 105 万美元）覆盖前 3 个月全部支出与场地建设；自第 4 个月起，全部扩张性支出均由经营现金流滚动再投资，三年内不再需要追加股权融资。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03  保守口径：全部年度收入按原始业务测算的 60% 计列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各年度收入按内部测算值的 60% 计列（首年 9,900 万比索、第三年 5.10 亿比索），保留 40% 安全边际。18 人编制、总经理一人统管两城、设计与创意全部外包，增量覆盖由代理商网络（首年 60 家、第三年 440 家）而非自建团队实现。第三年 EBITDA 达 9,690 万比索，为总投资额的 5.0 倍；三年累计 EBITDA 为 8.0 倍、累计净利润为 5.4 倍。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105万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总投资金额（美元）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1,028万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首年净利润（比索）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18人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1.566亿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三年累计 EBITDA（比索）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1.5–2.4亿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五年上市估值（美元）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99.0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252.0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510.0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861.0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毛利润 / 毛利率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46.5 / 47.0%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113.4 / 45.0%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224.4 / 44.0%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384.3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营业费用 / 占收入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30.7 / 31.0%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69.6 / 27.6%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127.5 / 25.0%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227.8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EBITDA / EBITDA 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15.9 / 16.0%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43.8 / 17.4%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96.9 / 19.0%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156.6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净利润 / 净利率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10.3 / 10.4%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29.1 / 11.6%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65.3 / 12.8%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104.7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自建城市 / 代理商 / 人员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 / 60 / 18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 / 180 / 38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 / 440 / 72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人均产出 550→708 万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38228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_m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382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4097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gin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40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 1 美元 = 18.50 比索。综合毛利率由 50% 调降至 47%（第二、三年 45%／44%），系放量所需的渠道让价与第三年起转入常规补货的共同影响，已如实计入。</w:t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 年 分 季 度 损 益   FY1 QUARTERLY P&amp;L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417"/>
        <w:gridCol w:w="1417"/>
        <w:gridCol w:w="1417"/>
        <w:gridCol w:w="1417"/>
        <w:gridCol w:w="181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项目（百万比索）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第四季度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第一年合计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38.00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99.00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毛利润（毛利率 47%）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5.64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9.87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13.16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17.86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46.53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营业费用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8.95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30.65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EBITDA（EBITDA 率）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(0.76)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2.57（12.2%）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5.16（18.4%）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8.91（23.4%）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15.88（16.0%）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净利润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(1.03)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1.90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3.39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6.02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10.28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启动投资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自给并再投资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1" w:after="11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个月起内生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市场机会、双城战略与三年扩张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&amp; EXPANSION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2791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919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4365"/>
        <w:gridCol w:w="1531"/>
        <w:gridCol w:w="1417"/>
        <w:gridCol w:w="1417"/>
      </w:tblGrid>
      <w:tr>
        <w:trPr>
          <w:tblHeader w:val="true"/>
        </w:trPr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TAM 总体市场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SAM 可服务市场</w:t>
            </w:r>
          </w:p>
        </w:tc>
        <w:tc>
          <w:tcPr>
            <w:tcW w:type="dxa" w:w="43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SOM 可获得份额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 0.99 亿 / 第二年 2.52 亿 / 第三年 5.10 亿比索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5.10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0.28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Y1 0.17% → Y3 0.54%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伊斯塔帕拉帕 Central de Abastos：美洲最大批发市场，占地约 328 公顷、日均人流 9 万人次，为全国价格定价节点。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Tepito / La Merced 商圈数千家进口再批发商，是 CLG 的直接客户而非竞争者——按柜采购、全国分拨。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寄售货源就在合作方墨西哥城仓库，CLG 只需 800㎡ 展厅与总部办公，无需自建大仓。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客户特征：大批量、价格敏感、现金结算——回款快、应收风险低。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新莱昂州 14,000 余家工业企业，劳保与工装属刚性、可续约的重复性采购。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正规企业客户强制要求 CFDI 4.0 电子发票与账期——非正规同业无法提供的结构性壁垒。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距新拉雷多陆港 2 小时，是「中国→美国→墨西哥」自有物流通道的落地终点。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992"/>
        <w:gridCol w:w="765"/>
        <w:gridCol w:w="1049"/>
        <w:gridCol w:w="1049"/>
        <w:gridCol w:w="822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自建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2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墨西哥城（集团总部＋展厅）、蒙特雷（展厅＋仓库）——量与利的组合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 / 1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99.0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15.9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10.3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瓜达拉哈拉（第二大经济体、礼品零售密集）、蒂华纳（边境保税加工厂劳保、美墨跨境试点）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 / 2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180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252.0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43.8</w:t>
            </w:r>
          </w:p>
        </w:tc>
        <w:tc>
          <w:tcPr>
            <w:tcW w:type="dxa" w:w="82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29.1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莱昂／巴希奥（制鞋皮革与工业劳保）、克雷塔罗（物流枢纽）、普埃布拉（纺织服装集群）；其余各州由代理商与越库配送覆盖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 / 4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440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510.0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96.9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65.3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78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官方旗舰店——先借平台流量实现零营销费的即时销售，并对数千个 SKU 进行真实价格与需求测试，其数据价值高于销售额本身，直接指导自有品牌选品；自建 D2C 平台随后承接被验证的客户。首年 B2C 收入 1,080 万比索中约 70% 来自第三方平台。支付端须在上线前完成 SPEI、OXXO Pay、Mercado Pago、免息分期（MSI）与 BNPL 接入。品类毛利率较原测算整体下调 3–4 个百分点，作为放量所需的渠道让价成本。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50.4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163.2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780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58%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49%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44%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寄售货源第二年末去化 81%，第三年转常规补货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04000" cy="25770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br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57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271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投资逻辑一句话：「前两年，寄售货源以零资金占用供养建设；第三至五年，自有品牌供养估值。」纯分销商的国际可比估值为 0.3–0.6 倍 EV/Revenue，而拥有自有渠道的品牌消费品公司为 1.5–3.0 倍。CLG 用自身经营现金流、而非投资人资金完成这一转型。自有品牌首批开发资金仅需 90 万比索（设计＋打样＋商标，设计外包），量产资金自第 4 个月起由经营收入承担；依托集团中国制造资源与墨西哥 NOM 认证能力，为本地大型零售商提供自有品牌 OEM 代工可作为第二增长曲线（第三年潜在 2,400–3,600 万比索），列为上行空间而非基准预测。</w:t>
      </w:r>
    </w:p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寄售合作协议签署（墨西哥独家、最低供货承诺、结算价与账期锁定）　② 实体／RFC／e.firma／CFDI 4.0 开票通道；进口商名录与 IMMEX 申报　③ 寄售 SKU 主数据对接＋条码化＋NOM-050 合规审计　④ ERP＋WMS 上线　⑤ 集团官网上线　⑥ 蒙特雷展厅与仓库签约、模块化装修、二手设备到位　⑦ 自有品牌 Logo／VI／产品设计与中国打样　⑧ IMPI 商标注册递交　⑨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寄售协议生效、官网上线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经美国通道的首批蒙特雷铺货　⑤ 支付通道接入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360 家活跃 B2B 客户、60 家签约代理商、80 名兼职销售代表签订长期提成协议　② 自有品牌首批量产（资金由经营收入承担）并上市　③ 大型渠道准入谈判　④ 第 4 个月起经营现金流自给，扩张支出全部内生　⑤ IFRS／US GAAP 账套与审计对接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9,900 万比索、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1,588 万、审计出具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组织架构与人力配置（18 人）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高管（总经理一人统管两城）·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243,000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销售与展厅 · 全职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351,450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仓储与物流 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59,400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电商与 IT 开发（总经理直属）· 全职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121,500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财务、采购与行政（兼客服）· 全职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47,250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全职编制合计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6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18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815,400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兼职销售代表（长期提成协议，不入编制）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50 名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30 名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 80 名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零固定人工，按回款计提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设计、摄影、代运营、法务、报关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外包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外包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不设编制，按项目计费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全负荷成本 = 税前月薪 × 1.35（IMSS 社保、INFONAVIT 住房、SAR、年终奖 15 天、休假金及州工资税 ISN 约 3%）。满编月成本 815,400 比索、年化 978 万比索；首年按分批到岗约 75% 计为 730 万比索，加 2% 销售提成 198 万比索，首年人力总成本 928 万比索（仅占收入 9.4%）。上表 18 人全部为全职正式编制，其中销售与展厅 10 人为全职销售人员，签订正式劳动合同并计入 IMSS 社保。在此之外，公司将在两城及周边州大量招募兼职销售代表，签订长期提成协议——无底薪、不入编制、不产生任何固定人工成本，仅按实际回款计提佣金；首年目标 80 名（墨城 50 / 蒙特雷 30），第二年 220 名，第三年 500 名。兼职提成与代理商返利同源，已计入「销售提成」与「代理商返利与渠道费用」两个科目（合计占收入 4.5%），不另增支出。这一「全职精兵 + 兼职提成大军 + 代理商网络」三层结构，是 18 人编制得以支撑 9,900 万比索首年收入的根本原因。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总经理一人统管两城：核心地位与成本效率的统一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本方案取消蒙特雷独立分公司经理层，由总经理一人同时担任两座城市的最高经营负责人，蒙特雷仅设销售主管（月薪 4.5 万比索）直接向总经理汇报——每年节省全负荷人工约 130 万比索，更消除了双城之间的决策时延。18 人编制之下，总经理与每一位员工之间最多只隔一层。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总经理同时承担三重职能：墨西哥平台首席执行者、实际履行 CTO 职责并直接管辖全部 IT 与数字平台开发（2 人开发团队无中间层级直接汇报）、以及首席商品官（寄售货源的定价权即本项目的护城河，不可下放）。直接汇报对象：销售总监（墨城）· 蒙特雷销售主管 · IT 开发团队 2 人 · 财务行政 · 外包设计团队。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投资人视角：18 人全职编制 + 兼职提成销售队伍 + 代理商网络、两城同步、90 天交付三大平台，只有在单一决策者压缩三个角色、且非核心职能全部外部化的结构下才可能实现；计划坦承这是最大优势与最大单点风险，缓释措施为——第 12 个月视业绩聘任副手、为核心管理者设立期权池、为总经理投保关键人寿险，并在投资人尽调前完成书面接班安排。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3,065 万比索，占收入 31.0%）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964"/>
        <w:gridCol w:w="794"/>
        <w:gridCol w:w="3345"/>
        <w:gridCol w:w="1020"/>
        <w:gridCol w:w="1020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34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7.4%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 12 个月＋蒙特雷 5 个月当量）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6.35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代理商返利与渠道费用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物流与末端配送（自有物流按成本结算）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运维、ERP/WMS 订阅与设计外包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其他与不可预见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投资需求与资金用途（总投资金额约 105 万美元）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USE OF FUNDS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1"/>
        <w:jc w:val="both"/>
      </w:pPr>
      <w:r>
        <w:rPr>
          <w:rFonts w:ascii="Calibri" w:hAnsi="Calibri" w:eastAsia="Microsoft YaHei"/>
          <w:b w:val="0"/>
          <w:i w:val="0"/>
          <w:color w:val="1A1A1A"/>
          <w:sz w:val="15"/>
        </w:rPr>
        <w:t>因 2 亿比索货源以寄售方式无偿供给、售出后结算，本项目不存在采购备货资金需求。总投资合计 1,890 万比索，取整 1,950 万比索（约 105 万美元）。成本控制原则有二：展厅采用模块化陈列与既有结构，装修预算压缩至常规方案的 20%；货架、叉车、配送车辆与全部办公设备一律采购二手（墨西哥工业设备二手市场成熟，同等规格通常为新品的 35–45%，不影响运营效率）。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投资项目（前 3 个月一次性投入）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蒙特雷展厅装修（1,653㎡，模块化陈列）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728,000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39,351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仅为常规装修预算的 20%；利用既有结构与照明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蒙特雷仓库货架与设备（全部二手）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二手横梁货架、二手叉车与托盘车，约为新品 40%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ERP＋WMS（云端订阅制，与合作方仓库对账）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轻量 SaaS，不自建、不上重型 ERP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1,300,000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 2 人团队为主 + 定向外包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48,649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设计按项目外包；商标须在发布前递交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中／西／英三语，首批小批量印刷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二手配送车 2 台＋二手办公 IT 设备、家具、POS、监控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27,027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全部二手采购，不为新品付溢价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个月人力成本（18 人分批到岗）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91,892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个月起由经营收入承担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个月租金（双城）＋运营费用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124,324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蒙特雷争取 3 个月免租期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2,900,000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156,757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营运资金（应收账款周转；寄售模式下无备货资金）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5,000,000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270,270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仅为账期垫付，占收入 5%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1,717,800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92,854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总投资金额合计 / 取整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18,895,800 / 19,500,000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1,021,395 / 1,054,054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第 4 个月起全部扩张支出由经营收入内生</w:t>
            </w:r>
          </w:p>
        </w:tc>
      </w:tr>
    </w:tbl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注：实体设立、RFC、IMMEX、NOM 认证、清关与进出口许可等合规启动支出，不计入本项目投资预算，由集团层面单独承担。其余合规执行工作仍按第 09 节「开业前必须完成的五项前置事项」的时间要求推进，不因预算归属而延后。</w:t>
      </w:r>
    </w:p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78183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781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0960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096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双城租金模型（首年实付 635 万比索，仅占收入 6.4%）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墨西哥城：展厅＋集团总部办公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14.00＋CAM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214,600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2,575,200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蒙特雷：展厅＋办公（500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1,653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14,877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275,225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3,302,694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蒙特雷：仓库（1,000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3,306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23,142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5,137,524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蒙特雷：物业管理费 CAM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4,959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2,727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50,455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双城满编运行合计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5,759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—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52,346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968,407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11,620,873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2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关键节省与谈判要点：寄售货源存放于合作方墨西哥城既有仓库，CLG 在墨城无需自建大仓，仅保留 800㎡ 展厅与总部办公——相较自租 5,000㎡ 仓库每年直接节省约 700 万比索。蒙特雷工业地产 2026 年一季度空置率 7.5%、报价 7.00 美元/㎡/月（Colliers），应争取 3–5 年期、3 个月免租期并将年涨幅锁定于美元 CPI 或 3%；展厅须取 flex／工业型空间而非甲级写字楼（甲级报价达 18.88 美元/㎡/月，Solili 2026年6月），选错每年多支出约 19.5 万美元。首年实付 635 万比索，仅占收入 6.4%，第二年约 4.6%、第三年约 3.3%——收入上调而场地不变，租金占比直接减半，这是利润率跃升最直接的来源。</w:t>
      </w:r>
    </w:p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386"/>
        <w:gridCol w:w="1531"/>
        <w:gridCol w:w="1701"/>
      </w:tblGrid>
      <w:tr>
        <w:trPr>
          <w:tblHeader w:val="true"/>
        </w:trPr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期间</w:t>
            </w:r>
          </w:p>
        </w:tc>
        <w:tc>
          <w:tcPr>
            <w:tcW w:type="dxa" w:w="538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 4 个月起的内生再投资（不再需要追加股权融资）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资金来源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4–6 个月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自有品牌首批量产订金、平台 V1.0 迭代、SKU 摄影与素材库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3,500,000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7–12 个月</w:t>
            </w:r>
          </w:p>
        </w:tc>
        <w:tc>
          <w:tcPr>
            <w:tcW w:type="dxa" w:w="538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SKU 品类扩展、市场推广加码、代理商体系铺开（60 家）、第三城前置筹备、平台 V2.0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9,000,000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第二年全年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两座新城铺设、自有品牌品类扩展、代理商扩至 180 家、团队扩编至 38 人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25,000,000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按本版口径，第五年 CLG 目标营业收入约 8,430 万美元（15.6 亿比索）、净利率约 13%（净利润约 1,096 万美元）、自有品牌占收入 50% 以上——税前利润远超纳斯达克全球市场（Nasdaq Global Market）收益标准所要求的 100 万美元，并可同时满足股东权益 1,500 万美元、公众持股市值 800 万美元、400 名整手股东与股价 4 美元等各项门槛。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43% 左右、三年复合增速约 45%，可辩护的定价基准为 1.8 倍 EV/Revenue 或 22 倍 P/E。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1.52 亿美元、按盈利倍数约 2.41 亿美元，即 1.5 亿–2.4 亿美元（28–44 亿比索）的可信上市区间，相当于对总投资 105 万美元 145–230 倍的回报；三项不可妥协的前提：自第一年起由四大或 PCAOB 注册所出具 US GAAP／IFRS 审计报告、即刻搭建开曼或特拉华控股公司之于墨西哥 S.A. de C.V. 的离岸架构、自第一天建立符合 SOX 的内控与常设资料室。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主要风险、对策与投资人监控看板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RISKS &amp; KPI DASHBOARD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361"/>
        <w:gridCol w:w="5783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783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实际结构挂钩）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合作方供货依赖　2 亿比索寄售货源由合作方单一供给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首年收入 7,920 万比索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以合同而非资金对冲：书面寄售协议明确墨西哥独家经销权、最低供货承诺与品类清单、结算价与调价机制、账期与对账规则、不少于 3 年期限及终止过渡安排；ERP 与合作方仓库实时对账；保留中国直采备份通道与集团自有物流，可在 45 天内以正常进口补位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库存资金与滞销风险　自购模式下本为最大风险项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已基本消除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寄售模式下 CLG 不垫付采购款、不持有库存所有权：资金占用为零、滞销跌价由合作方承担、进口汇率波动不影响 CLG 成本。CLG 仅承担销售与保管责任（投保保管人责任险，年费约 15–25 万比索）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物流与海关风险　亚洲原产消费品在墨西哥太平洋港口查验趋严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已大幅降低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货物经「中国→美国→墨西哥」路径，由集团自有物流公司全程承运：在美国完成集拼、分批与文件预审，再经新拉雷多陆路口岸入墨、2 小时直达蒙特雷仓库，规避对亚洲直航货的最严查验与港口拥堵；陆运段短、路线固定，货损与失窃风险同步下降，并带来 8–12% 的永久性到岸成本优势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120 万；第三年敞口约 1,560 万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分层授信：一级客户（墨城高周转买家，约占 B2B 收入 55%）一律现金／SPEI，零信用风险；二级正规中小企业 30 天并取本票＋个人担保；三级工业大客户 60 天并投保信用险或反向保理；10 万比索以上强制征信；大额应收经 NAFIN 无追索保理 48 小时变现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关键人与人手风险　18 人编制下总经理一人统管两城并全责 IT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执行高度集中；第三年贸易毛利率递减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440 家带独家条款与最低采购量的代理商；自有品牌为永久护城河，第三年 42% 毛利来自自有知识产权；关键流程固化于 ERP 与书面 SOP，设计、法务、报关、配送均有外部合作方即时补位；总经理层面以书面接班安排、期权池、关键人寿险与第 12 个月增设副手缓释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360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1,040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寄售货源累计去化率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100%→转常规补货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440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兼职销售代表（提成制）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全职编制 / 人均产出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 / 5.50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 / 6.63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 / 7.08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开业前必须完成的五项前置事项（缺一即无法营业）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寄售合作协议（首要）：墨西哥独家经销、最低供货承诺与品类清单、结算价与调价机制、账期与对账规则、保管责任与保险归属、不少于 3 年期限及终止过渡安排。此协议是全部财务预测的法律基础，须先于一切支出完成签署。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S.A. de C.V. 实体、外资登记 RNIE、RFC、e.firma、数字签章 CSD 及 PAC 对接，并具备开具 CFDI 4.0 与货运 Carta Porte 附件的能力——否则无法向任何正规企业客户销售，蒙特雷工业客户论证即不成立。预留 6–10 周。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进口商名录（Padrón de Importadores）及服装纺织类特定行业名录；自有品牌与补货经美国通道入墨，须同步完成美墨两端报关主体与文件体系；消费品关税 0–35%，另有 16% 增值税形成现金垫付（已计入营运资金）。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NOM 强制认证与标签：NOM-050-SCFI 适用于生活用品、厨房、服装、文具、礼品；服装另需 NOM-004-SCFI；劳保品类风险最高，工业客户采购前必索取符合性证书。须对寄售库存做 NOM-050 合规审计——若无西语标签，返工成本承担方须在寄售协议中事先约定。</w:t>
            </w:r>
          </w:p>
          <w:p>
            <w:pPr>
              <w:spacing w:before="0" w:after="50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IMPI 商标先行注册（墨西哥为申请在先制，须在首份图册印刷前完成两个品牌全部相关尼斯类别的递交）；ERP／WMS 须先于三大平台上线并与合作方仓库实时对账；关联交易须按独立交易原则定价并出具转让定价报告，否则美国审计师不予签字。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墨西哥商业计划书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编制人：总经理 John Kim  ·  2026年9月  ·  严格保密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CLG 集团 · 墨西哥商业计划书</dc:title>
  <dc:subject>极致轻资产 · 寄售零库存 · 自有品牌长期化</dc:subject>
  <dc:creator>John Kim</dc:creator>
  <cp:keywords/>
  <dc:description>编制人：总经理 John Kim</dc:description>
  <cp:lastModifiedBy>John Kim</cp:lastModifiedBy>
  <cp:revision>1</cp:revision>
  <dcterms:created xsi:type="dcterms:W3CDTF">2013-12-23T23:15:00Z</dcterms:created>
  <dcterms:modified xsi:type="dcterms:W3CDTF">2013-12-23T23:15:00Z</dcterms:modified>
  <cp:category/>
</cp:coreProperties>
</file>