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shd w:val="clear" w:color="auto" w:fill="0B2545"/>
            <w:tcMar>
              <w:top w:w="110" w:type="dxa"/>
              <w:left w:w="220" w:type="dxa"/>
              <w:bottom w:w="95" w:type="dxa"/>
              <w:right w:w="180" w:type="dxa"/>
            </w:tcMar>
          </w:tcPr>
          <w:p>
            <w:pPr>
              <w:spacing w:after="20"/>
            </w:pPr>
            <w:r/>
            <w:r>
              <w:rPr>
                <w:rFonts w:ascii="Calibri" w:hAnsi="Calibri" w:eastAsia="Microsoft YaHei"/>
                <w:b/>
                <w:i w:val="0"/>
                <w:color w:val="B08D3F"/>
                <w:sz w:val="16"/>
              </w:rPr>
              <w:t>CLG GROUP  ·  MEXICO</w:t>
            </w:r>
          </w:p>
          <w:p>
            <w:pPr>
              <w:spacing w:after="40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42"/>
              </w:rPr>
              <w:t>墨西哥市场商业计划书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b w:val="0"/>
                <w:i w:val="0"/>
                <w:color w:val="CFD7E3"/>
                <w:sz w:val="21"/>
              </w:rPr>
              <w:t>极致轻资产 · 寄售零库存 · 15 人双城精兵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i w:val="0"/>
                <w:color w:val="B08D3F"/>
                <w:sz w:val="16"/>
              </w:rPr>
              <w:t>墨西哥城 CDMX  ×  蒙特雷 MONTERREY    |    融资需求 100 万美元    |    2026年9月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9"/>
        </w:rPr>
        <w:t>投 资 要 点   INVESTMENT HIGHLIGHTS</w:t>
      </w:r>
    </w:p>
    <w:p>
      <w:pPr>
        <w:pBdr>
          <w:bottom w:val="single" w:sz="10" w:space="2" w:color="B08D3F"/>
        </w:pBdr>
        <w:spacing w:before="20" w:after="80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8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8"/>
        </w:rPr>
        <w:t>01  零库存资本占用：2 亿比索货源以寄售方式无偿供货</w:t>
      </w:r>
      <w:r>
        <w:rPr>
          <w:rFonts w:ascii="Calibri" w:hAnsi="Calibri" w:eastAsia="Microsoft YaHei"/>
          <w:b w:val="0"/>
          <w:i w:val="0"/>
          <w:color w:val="1A1A1A"/>
          <w:sz w:val="18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8"/>
        </w:rPr>
      </w:r>
    </w:p>
    <w:p>
      <w:pPr>
        <w:spacing w:before="0" w:after="70" w:lineRule="auto" w:line="264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6"/>
        </w:rPr>
        <w:t>合作方将其位于墨西哥城仓库的约 2 亿比索（1,080 万美元）低价实物库存，以寄售（consignación）方式无偿交由 CLG 销售，售出后按约定结算价付款。CLG 无需垫付一分钱采购款，不承担库存资金占用、滞销跌价、仓储损耗与进口汇率风险——这些全部由合作方承担，本项目的资产负债表上没有最容易出问题的那一项。同时因货源取得成本极低，CLG 可将售价定在市场价以下 15–20% 仍实现约 50% 毛利率，本地同业按正常 FOB 加运费、关税与 16% 增值税采购，毛利率天花板仅 20–25%。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8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8"/>
        </w:rPr>
        <w:t>02  融资需求仅 100 万美元，且首年即实现净利润</w:t>
      </w:r>
      <w:r>
        <w:rPr>
          <w:rFonts w:ascii="Calibri" w:hAnsi="Calibri" w:eastAsia="Microsoft YaHei"/>
          <w:b w:val="0"/>
          <w:i w:val="0"/>
          <w:color w:val="1A1A1A"/>
          <w:sz w:val="18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8"/>
        </w:rPr>
      </w:r>
    </w:p>
    <w:p>
      <w:pPr>
        <w:spacing w:before="0" w:after="70" w:lineRule="auto" w:line="264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6"/>
        </w:rPr>
        <w:t>由于无需备货资金，初始投资仅由人力、双城租金、运营费用与蒙特雷场地一次性建设构成。成本控制贯彻到每一项：展厅采用模块化陈列，装修预算压缩至常规方案的 20%；仓库货架、叉车、配送车辆与办公设备全部采购二手。启动资金 1,850 万比索（100 万美元）覆盖前 3 个月全部支出与场地建设；自第 4 个月起，自有品牌量产、平台迭代、SKU 扩展与第三城筹备等全部扩张性支出均由经营现金流滚动再投资，不再需要追加股权融资。首年 EBITDA 即达 415 万比索（8.4%），净利润 217 万比索，第二季度单季转正。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8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8"/>
        </w:rPr>
        <w:t>03  本测算为保守口径：全部年度收入按原始业务测算的 30% 计列</w:t>
      </w:r>
      <w:r>
        <w:rPr>
          <w:rFonts w:ascii="Calibri" w:hAnsi="Calibri" w:eastAsia="Microsoft YaHei"/>
          <w:b w:val="0"/>
          <w:i w:val="0"/>
          <w:color w:val="1A1A1A"/>
          <w:sz w:val="18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8"/>
        </w:rPr>
      </w:r>
    </w:p>
    <w:p>
      <w:pPr>
        <w:spacing w:before="0" w:after="70" w:lineRule="auto" w:line="264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6"/>
        </w:rPr>
        <w:t>各年度收入均按内部业务测算值的 30% 保守计列（首年 4,950 万比索、第三年 2.55 亿比索），人员编制压缩至 15 人（较原方案减少 76%），两城由总经理一人统管、设计与创意全部外包。即便在此极度保守的假设下，第三年 EBITDA 仍达 4,780 万比索（258 万美元），为融资总额的 2.6 倍；三年累计 EBITDA 为融资额的 3.9 倍、累计净利润为 2.5 倍。超出保守口径的部分，构成投资人的纯上行空间。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nil"/>
          <w:insideV w:val="single" w:sz="4" w:space="0" w:color="C9D1DA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0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库存资金占用（寄售）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100万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融资需求（美元）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15人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双城人员编制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217万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首年净利润（比索）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4,780万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第三年 EBITDA（比索）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9"/>
        </w:rPr>
        <w:t>核 心 财 务 速 览（保守口径）   FINANCIAL SUMMARY</w:t>
      </w:r>
    </w:p>
    <w:p>
      <w:pPr>
        <w:pBdr>
          <w:bottom w:val="single" w:sz="10" w:space="2" w:color="B08D3F"/>
        </w:pBdr>
        <w:spacing w:before="20" w:after="80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729"/>
        <w:gridCol w:w="1729"/>
        <w:gridCol w:w="1729"/>
        <w:gridCol w:w="1729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财务指标（单位：百万比索）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三年累计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营业收入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49.5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126.0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255.0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430.5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收入增长率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+154.5%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+102.4%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CAGR 127%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毛利润 / 毛利率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24.8 / 50.0%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60.5 / 48.0%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119.9 / 47.0%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205.2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营业费用 / 占收入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20.6 / 41.6%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41.3 / 32.8%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72.0 / 28.2%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133.9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EBITDA / EBITDA 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4.15 / 8.4%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19.2 / 15.2%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47.8 / 18.8%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71.2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净利润 / 净利率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2.17 / 4.4%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12.2 / 9.7%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31.7 / 12.4%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46.1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自有品牌收入占比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9%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32%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毛利贡献 39%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自建城市 / 代理商数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 / 30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 / 90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7 / 220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代理商覆盖全国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人员编制 / 人均产出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15 / 330万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26 / 485万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48 / 531万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代理商网络放大人效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83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注：汇率按 1 美元 = 18.50 比索测算。首年即实现 EBITDA 415 万比索与净利润 217 万比索，第二季度单季转正。人均产出高于行业常规，系因仓储主体在合作方仓库、配送由集团自有物流承担、终端覆盖由代理商网络完成——15 人只负责决策、系统、大客户与渠道管理。</w:t>
      </w:r>
    </w:p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9"/>
        </w:rPr>
        <w:t>本 版 保 守 方 案 与 原 始 测 算 的 关 键 差 异   KEY REVISIONS</w:t>
      </w:r>
    </w:p>
    <w:p>
      <w:pPr>
        <w:pBdr>
          <w:bottom w:val="single" w:sz="10" w:space="2" w:color="B08D3F"/>
        </w:pBdr>
        <w:spacing w:before="20" w:after="80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644"/>
        <w:gridCol w:w="2324"/>
        <w:gridCol w:w="2948"/>
        <w:gridCol w:w="3175"/>
      </w:tblGrid>
      <w:tr>
        <w:trPr>
          <w:tblHeader w:val="true"/>
        </w:trPr>
        <w:tc>
          <w:tcPr>
            <w:tcW w:type="dxa" w:w="164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项目</w:t>
            </w:r>
          </w:p>
        </w:tc>
        <w:tc>
          <w:tcPr>
            <w:tcW w:type="dxa" w:w="232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原始测算方案</w:t>
            </w:r>
          </w:p>
        </w:tc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本版保守方案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对投资人的意义</w:t>
            </w:r>
          </w:p>
        </w:tc>
      </w:tr>
      <w:tr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年度收入口径</w:t>
            </w:r>
          </w:p>
        </w:tc>
        <w:tc>
          <w:tcPr>
            <w:tcW w:type="dxa" w:w="232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内部业务测算值 100%</w:t>
            </w:r>
          </w:p>
        </w:tc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全部年度按 30% 计列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预测可达成性大幅提高，超额部分为纯上行</w:t>
            </w:r>
          </w:p>
        </w:tc>
      </w:tr>
      <w:tr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货源与库存</w:t>
            </w:r>
          </w:p>
        </w:tc>
        <w:tc>
          <w:tcPr>
            <w:tcW w:type="dxa" w:w="232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自购 2 亿比索库存，占用资本</w:t>
            </w:r>
          </w:p>
        </w:tc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合作方寄售无偿供货、售出后结算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库存资金占用、滞销与跌价风险归零</w:t>
            </w:r>
          </w:p>
        </w:tc>
      </w:tr>
      <w:tr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人员编制与管理架构</w:t>
            </w:r>
          </w:p>
        </w:tc>
        <w:tc>
          <w:tcPr>
            <w:tcW w:type="dxa" w:w="232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62 人；墨城总部 + 蒙特雷分公司经理</w:t>
            </w:r>
          </w:p>
        </w:tc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 人；总经理一人统管两城，设计与创意外包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减少 76%，年化人工节省约 1,780 万比索</w:t>
            </w:r>
          </w:p>
        </w:tc>
      </w:tr>
      <w:tr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场地装修与设备</w:t>
            </w:r>
          </w:p>
        </w:tc>
        <w:tc>
          <w:tcPr>
            <w:tcW w:type="dxa" w:w="232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展厅重装 + 全新货架、叉车、车辆与办公设备</w:t>
            </w:r>
          </w:p>
        </w:tc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装修预算压缩至常规方案的 20%；设备与车辆全部二手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该科目由 733 万比索降至 193 万比索</w:t>
            </w:r>
          </w:p>
        </w:tc>
      </w:tr>
      <w:tr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融资需求与后续扩张</w:t>
            </w:r>
          </w:p>
        </w:tc>
        <w:tc>
          <w:tcPr>
            <w:tcW w:type="dxa" w:w="232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400 万美元；后续仍需追加股权融资</w:t>
            </w:r>
          </w:p>
        </w:tc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 万美元（仅人力、双城租金与运营费）；第 4 个月起由经营收入滚动再投资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融资规模下降 75%，且三年内无需追加融资</w:t>
            </w:r>
          </w:p>
        </w:tc>
      </w:tr>
      <w:tr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物流路径</w:t>
            </w:r>
          </w:p>
        </w:tc>
        <w:tc>
          <w:tcPr>
            <w:tcW w:type="dxa" w:w="232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亚洲直航至太平洋港口</w:t>
            </w:r>
          </w:p>
        </w:tc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中国→美国→墨西哥，自有物流经陆路入墨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查验扣押与货损失窃风险大幅下降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市场机会与双城战略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MARKET OPPORTUNITY &amp; TWO-CITY STRATEGY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墨西哥批发贸易业 2023 年营业收入达 9.71 万亿比索（INEGI 年度商业调查），同比增长 4.8%。CLG 聚焦的六大品类全国批发规模约 5,200 亿比索（281 亿美元）。按本版保守口径，CLG 第三年收入 2.55 亿比索，仅相当于自身可服务细分市场的 0.27%——这是一个份额中的份额的故事，而非创造市场的故事。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17"/>
        <w:gridCol w:w="4309"/>
        <w:gridCol w:w="1531"/>
        <w:gridCol w:w="1417"/>
        <w:gridCol w:w="1417"/>
      </w:tblGrid>
      <w:tr>
        <w:trPr>
          <w:tblHeader w:val="true"/>
        </w:trPr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市场层级</w:t>
            </w:r>
          </w:p>
        </w:tc>
        <w:tc>
          <w:tcPr>
            <w:tcW w:type="dxa" w:w="430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口径定义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规模（美元）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CLG 份额</w:t>
            </w:r>
          </w:p>
        </w:tc>
      </w:tr>
      <w:tr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TAM 总体市场</w:t>
            </w:r>
          </w:p>
        </w:tc>
        <w:tc>
          <w:tcPr>
            <w:tcW w:type="dxa" w:w="430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全国六大品类批发总值（估算，基于 INEGI 分行业收入与进口统计三角测算）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5,200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281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</w:tr>
      <w:tr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SAM 可服务市场</w:t>
            </w:r>
          </w:p>
        </w:tc>
        <w:tc>
          <w:tcPr>
            <w:tcW w:type="dxa" w:w="430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双城都会区（墨城 2,200万人 + 蒙特雷 550万人）占全国批发吞吐约 32%，其中亚洲进口高性价比细分约 35%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583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31.5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</w:tr>
      <w:tr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SOM 可获得份额</w:t>
            </w:r>
          </w:p>
        </w:tc>
        <w:tc>
          <w:tcPr>
            <w:tcW w:type="dxa" w:w="430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第一年 0.495 亿 / 第二年 1.26 亿 / 第三年 2.55 亿比索（保守口径）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2.55 亿（Y3）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0.14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Y1 0.08% → Y3 0.27%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墨西哥城 CDMX —— 量 ( 现金引擎 )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伊斯塔帕拉帕 Central de Abastos：美洲最大批发市场，占地约 328 公顷、日均人流 9 万人次，为全国价格定价节点。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Tepito / La Merced / Eje Central 商圈数千家进口再批发商，正是 CLG 六大品类的直接客户而非竞争者——他们按柜采购、全国分拨。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寄售货源就在合作方的墨西哥城仓库，CLG 只需租用展厅与集团总部办公空间（800㎡），无需自建大仓，租金负担与建设周期同步下降。</w:t>
            </w:r>
          </w:p>
          <w:p>
            <w:pPr>
              <w:spacing w:before="0" w:after="50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客户特征：大批量、价格敏感、现金结算——回款快、应收风险低。</w:t>
            </w:r>
          </w:p>
        </w:tc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蒙特雷 MONTERREY —— 利 ( 品质引擎 )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新莱昂州 14,000 余家工业企业（Apodaca、Santa Catarina、Escobedo、Guadalupe 走廊），劳保与工装属刚性、可续约的重复性采购。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人均 GDP 为全国均值约 1.6 倍，同一 SKU 毛利率较墨城高 3–6 个百分点。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正规企业客户强制要求 CFDI 4.0 电子发票与账期——这是非正规同业无法提供的结构性壁垒。</w:t>
            </w:r>
          </w:p>
          <w:p>
            <w:pPr>
              <w:spacing w:before="0" w:after="50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距新拉雷多陆港 2 小时，正是集团「中国→美国→墨西哥」自有物流通道的落地终点，展厅与仓库即该通道的墨西哥北部枢纽。</w:t>
            </w:r>
          </w:p>
        </w:tc>
      </w:tr>
    </w:tbl>
    <w:p>
      <w:pPr>
        <w:spacing w:before="0" w:after="0" w:line="1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业务板块一：B2B / B2C 批发分销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WHOLESALE DISTRIBUTION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438"/>
        <w:gridCol w:w="1077"/>
        <w:gridCol w:w="1644"/>
        <w:gridCol w:w="964"/>
        <w:gridCol w:w="1474"/>
        <w:gridCol w:w="2494"/>
      </w:tblGrid>
      <w:tr>
        <w:trPr>
          <w:tblHeader w:val="true"/>
        </w:trPr>
        <w:tc>
          <w:tcPr>
            <w:tcW w:type="dxa" w:w="243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品类（六大初始业务领域）</w:t>
            </w:r>
          </w:p>
        </w:tc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收入占比</w:t>
            </w:r>
          </w:p>
        </w:tc>
        <w:tc>
          <w:tcPr>
            <w:tcW w:type="dxa" w:w="164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首年收入（百万比索）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毛利率</w:t>
            </w:r>
          </w:p>
        </w:tc>
        <w:tc>
          <w:tcPr>
            <w:tcW w:type="dxa" w:w="147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毛利（百万比索）</w:t>
            </w:r>
          </w:p>
        </w:tc>
        <w:tc>
          <w:tcPr>
            <w:tcW w:type="dxa" w:w="24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核心利润驱动</w:t>
            </w:r>
          </w:p>
        </w:tc>
      </w:tr>
      <w:tr>
        <w:tc>
          <w:tcPr>
            <w:tcW w:type="dxa" w:w="243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劳保用品 PPE / 工装</w:t>
            </w:r>
          </w:p>
        </w:tc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12.7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</w:t>
            </w:r>
          </w:p>
        </w:tc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6.3</w:t>
            </w:r>
          </w:p>
        </w:tc>
        <w:tc>
          <w:tcPr>
            <w:tcW w:type="dxa" w:w="24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蒙特雷工业合同，耗材属性、重复采购</w:t>
            </w:r>
          </w:p>
        </w:tc>
      </w:tr>
      <w:tr>
        <w:tc>
          <w:tcPr>
            <w:tcW w:type="dxa" w:w="243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生活用品 Household</w:t>
            </w:r>
          </w:p>
        </w:tc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24%</w:t>
            </w:r>
          </w:p>
        </w:tc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9.5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55%</w:t>
            </w:r>
          </w:p>
        </w:tc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5.2</w:t>
            </w:r>
          </w:p>
        </w:tc>
        <w:tc>
          <w:tcPr>
            <w:tcW w:type="dxa" w:w="24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寄售折扣最深、周转最快</w:t>
            </w:r>
          </w:p>
        </w:tc>
      </w:tr>
      <w:tr>
        <w:tc>
          <w:tcPr>
            <w:tcW w:type="dxa" w:w="243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厨房用品 Kitchenware</w:t>
            </w:r>
          </w:p>
        </w:tc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14%</w:t>
            </w:r>
          </w:p>
        </w:tc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5.5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54%</w:t>
            </w:r>
          </w:p>
        </w:tc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3.0</w:t>
            </w:r>
          </w:p>
        </w:tc>
        <w:tc>
          <w:tcPr>
            <w:tcW w:type="dxa" w:w="24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酒店餐饮 HORECA + 零售双通道</w:t>
            </w:r>
          </w:p>
        </w:tc>
      </w:tr>
      <w:tr>
        <w:tc>
          <w:tcPr>
            <w:tcW w:type="dxa" w:w="243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服装 Apparel</w:t>
            </w:r>
          </w:p>
        </w:tc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13%</w:t>
            </w:r>
          </w:p>
        </w:tc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5.1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2.7</w:t>
            </w:r>
          </w:p>
        </w:tc>
        <w:tc>
          <w:tcPr>
            <w:tcW w:type="dxa" w:w="24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基础款与工装，无时尚库存风险</w:t>
            </w:r>
          </w:p>
        </w:tc>
      </w:tr>
      <w:tr>
        <w:tc>
          <w:tcPr>
            <w:tcW w:type="dxa" w:w="243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文具 Stationery</w:t>
            </w:r>
          </w:p>
        </w:tc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10%</w:t>
            </w:r>
          </w:p>
        </w:tc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4.0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48%</w:t>
            </w:r>
          </w:p>
        </w:tc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1.9</w:t>
            </w:r>
          </w:p>
        </w:tc>
        <w:tc>
          <w:tcPr>
            <w:tcW w:type="dxa" w:w="24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开学季 7–8 月占全年 45% 销量</w:t>
            </w:r>
          </w:p>
        </w:tc>
      </w:tr>
      <w:tr>
        <w:tc>
          <w:tcPr>
            <w:tcW w:type="dxa" w:w="243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礼品 Gifts</w:t>
            </w:r>
          </w:p>
        </w:tc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2.8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1.6</w:t>
            </w:r>
          </w:p>
        </w:tc>
        <w:tc>
          <w:tcPr>
            <w:tcW w:type="dxa" w:w="24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企业定制礼品，加工溢价</w:t>
            </w:r>
          </w:p>
        </w:tc>
      </w:tr>
      <w:tr>
        <w:tc>
          <w:tcPr>
            <w:tcW w:type="dxa" w:w="243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B2B 合计</w:t>
            </w:r>
          </w:p>
        </w:tc>
        <w:tc>
          <w:tcPr>
            <w:tcW w:type="dxa" w:w="107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100%</w:t>
            </w:r>
          </w:p>
        </w:tc>
        <w:tc>
          <w:tcPr>
            <w:tcW w:type="dxa" w:w="164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39.6</w:t>
            </w:r>
          </w:p>
        </w:tc>
        <w:tc>
          <w:tcPr>
            <w:tcW w:type="dxa" w:w="96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52.0%</w:t>
            </w:r>
          </w:p>
        </w:tc>
        <w:tc>
          <w:tcPr>
            <w:tcW w:type="dxa" w:w="147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20.6</w:t>
            </w:r>
          </w:p>
        </w:tc>
        <w:tc>
          <w:tcPr>
            <w:tcW w:type="dxa" w:w="249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另有 B2C／电商 5.4 百万比索，毛利率 45%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20" w:lineRule="auto" w:line="276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渠道次序（重要）：第 1 个月即开设 Mercado Libre 与 Amazon MX 官方旗舰店——先借平台流量实现零营销费的即时销售，并对数千个 SKU 进行真实价格与需求测试，其数据价值高于销售额本身，直接指导自有品牌选品；自建 D2C 平台随后承接被验证的客户。首年 B2C 收入中约 70% 来自第三方平台。支付端须在上线前完成 SPEI、OXXO Pay、Mercado Pago、免息分期（MSI）与 BNPL 接入。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业务板块二：自有品牌开发、生产与销售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OWN-BRAND DEVELOPMENT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247"/>
        <w:gridCol w:w="3175"/>
      </w:tblGrid>
      <w:tr>
        <w:trPr>
          <w:tblHeader w:val="true"/>
        </w:trPr>
        <w:tc>
          <w:tcPr>
            <w:tcW w:type="dxa" w:w="226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自有品牌指标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第五年目标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战略含义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自有品牌收入（百万比索）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4.5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25.2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81.6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390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四年 CAGR 约 205%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占集团总收入比重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20%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50%+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估值倍数的首要驱动因子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自有品牌毛利率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62%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模具与认证摊销完毕后爬升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占集团毛利总额比重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39%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58%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利润结构由贸易转向品牌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贸易业务毛利率（递减）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47%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寄售货源耗尽后回归常态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6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投资逻辑一句话：「前两年，寄售货源以零资金占用供养建设；第三至五年，自有品牌供养估值。」纯分销商的国际可比估值为 0.3–0.6 倍 EV/Revenue，而拥有自有渠道的品牌消费品公司为 1.5–3.0 倍。CLG 用自身经营现金流、而非投资人资金完成这一转型。自有品牌首批开发资金仅需 120 万比索（设计＋打样＋商标），量产资金自第 4 个月起由经营收入承担；依托集团中国制造资源与墨西哥 NOM 认证能力，为本地大型零售商提供自有品牌 OEM 代工可作为第二增长曲线（第三年潜在 1,200–1,800 万比索），本计划将其列为上行空间而非基准预测。</w:t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执行路线图：90 天攻坚与首年里程碑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EXECUTION ROADMAP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三大平台不是并行硬上，而是「以统一 ERP 为底座、90 天内分步交付」。先完成合作方寄售 SKU 的主数据对接与条码化，再上 ERP／WMS，平台建于其 API 之上——若平台先于库存中台上线，将在第二周即出现超卖并摧毁客户信任。寄售模式下，CLG 的系统必须与合作方仓库实时对账，这是本项目的技术核心，由总经理直接负责。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1304"/>
        <w:gridCol w:w="4649"/>
        <w:gridCol w:w="1247"/>
        <w:gridCol w:w="1814"/>
      </w:tblGrid>
      <w:tr>
        <w:trPr>
          <w:tblHeader w:val="true"/>
        </w:trPr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阶段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时间</w:t>
            </w:r>
          </w:p>
        </w:tc>
        <w:tc>
          <w:tcPr>
            <w:tcW w:type="dxa" w:w="46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关键交付（并行推进）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责任人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验收标准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攻坚期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1–8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2026.10–11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寄售合作协议签署（墨西哥独家、最低供货承诺、结算价与账期锁定）　② 实体／RFC／e.firma／CFDI 4.0 开票通道；进口商名录与 IMMEX 申报　③ 寄售 SKU 主数据对接＋条码化＋NOM-050 合规审计　④ ERP＋WMS 上线　⑤ 集团官网上线　⑥ 蒙特雷 1,653㎡ 展厅与 3,306㎡ 仓库签约装修　⑦ 自有品牌 Logo／VI／产品设计与中国打样　⑧ IMPI 商标注册递交　⑨ Mercado Libre／Amazon MX 开店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（IT 全责）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 上线、蒙特雷交付、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寄售协议生效、官网上线</w:t>
            </w:r>
          </w:p>
        </w:tc>
      </w:tr>
      <w:tr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上线期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9–14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2026.12–2027.01</w:t>
            </w:r>
          </w:p>
        </w:tc>
        <w:tc>
          <w:tcPr>
            <w:tcW w:type="dxa" w:w="46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B2B/B2C 批发平台 V1.0 上线（客户分级、阶梯价、授信、下单—对账—开票闭环）　② 自有品牌 D2C 独立站上线　③ 公司介绍手册、产品图册＋分级价目表、代理商合同范本定稿　④ 经美国通道的首批蒙特雷铺货　⑤ 支付通道 SPEI/OXXO/Mercado Pago/MSI 接入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平台交易跑通、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手册与合同交付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放量期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15–52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2027.02–09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双城 180 家活跃 B2B 客户、30 家签约代理商　② 自有品牌首批量产（资金由经营收入承担）并上市　③ 大型渠道准入谈判　④ 第 4 个月起经营现金流自给，扩张支出全部内生　⑤ IFRS／US GAAP 账套与审计对接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收入 4,950 万比索、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转正、审计出具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组织架构与人力配置（精简至 15 人）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ORGANIZATION &amp; HEADCOUNT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871"/>
        <w:gridCol w:w="1871"/>
        <w:gridCol w:w="1247"/>
        <w:gridCol w:w="2154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职能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墨西哥城（总部）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蒙特雷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合计</w:t>
            </w:r>
          </w:p>
        </w:tc>
        <w:tc>
          <w:tcPr>
            <w:tcW w:type="dxa" w:w="215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月度全负荷成本（比索）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高管（总经理一人统管两城）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243,000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销售与展厅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295,650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仓储与物流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44,550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电商与 IT 开发（总经理直属）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121,500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财务、采购与行政（兼客服）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47,250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设计与品牌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外包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外包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不设编制，按项目计费</w:t>
            </w:r>
          </w:p>
        </w:tc>
      </w:tr>
      <w:tr>
        <w:tc>
          <w:tcPr>
            <w:tcW w:type="dxa" w:w="294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合计编制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10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5</w:t>
            </w:r>
          </w:p>
        </w:tc>
        <w:tc>
          <w:tcPr>
            <w:tcW w:type="dxa" w:w="124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15</w:t>
            </w:r>
          </w:p>
        </w:tc>
        <w:tc>
          <w:tcPr>
            <w:tcW w:type="dxa" w:w="215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751,950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0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全负荷成本 = 税前月薪 × 1.35（IMSS 社保、INFONAVIT 住房、SAR、年终奖 15 天、休假金及州工资税 ISN 约 3%），为墨西哥标准测算惯例；满编月成本合计 751,950 比索，年化 902 万比索。首年按分批到岗约 75% 计为 680 万比索，加 2% 销售提成 100 万比索，首年人力总成本 780 万比索（占收入 15.8%）。与原始方案的 62 人编制相比压缩 76%，年化人工节省约 1,780 万比索。编制得以如此精简，是因为仓储主体在合作方仓库、干线与末端配送由集团自有物流承担、终端覆盖由代理商网络完成，产品与平面设计按项目外包——15 人只负责决策、系统、大客户与渠道管理这四件事。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总经理一人统管两城：核心地位与成本效率的统一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本方案取消蒙特雷独立分公司经理层，由总经理一人同时担任两座城市的最高经营负责人，蒙特雷仅设销售主管（月薪 4.5 万比索）直接向总经理汇报——仅此一项每年节省全负荷人工约 130 万比索，更重要的是消除了双城之间的决策时延与协调损耗。15 人编制之下，总经理与每一位员工之间最多只隔一层。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总经理同时承担三重职能：墨西哥平台首席执行者、实际履行 CTO 职责并直接管辖全部 IT 与数字平台开发（2 人开发团队无中间层级直接汇报）、以及首席商品官（寄售货源的定价权即本项目的护城河，不可下放）。直接汇报对象：销售总监（墨城）· 蒙特雷销售主管 · IT 开发团队 2 人 · 财务行政 · 外包设计团队。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投资人视角：15 人编制、两城同步、90 天交付三大平台，只有在单一决策者压缩三个角色、且非核心职能全部外包与外部化的结构下才可能实现；计划坦承这是最大优势与最大单点风险，缓释措施为——第 12 个月视业绩聘任副手、为核心管理者设立期权池、为总经理投保关键人寿险，并在投资人尽调前完成书面接班安排。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首年营业费用结构（合计 2,060 万比索，占收入 41.6%）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964"/>
        <w:gridCol w:w="794"/>
        <w:gridCol w:w="3345"/>
        <w:gridCol w:w="1020"/>
        <w:gridCol w:w="1020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  <w:tc>
          <w:tcPr>
            <w:tcW w:type="dxa" w:w="334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人力（全负荷，分批到岗）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6.8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13.7%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专业服务（律师、报关、商标、审计、税务）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0.9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1.8%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租金（墨城 12 个月＋蒙特雷 5 个月当量）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6.35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12.8%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安保、保险、水电与设施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0.6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市场推广与渠道开发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3.0%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差旅、样品与展会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0.5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销售提成（收入 2%）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坏账计提（B2B 收入 1.5%）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0.6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物流与末端配送（自有物流按成本结算）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IT 运维、ERP/WMS 订阅与设计外包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1.35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2.7%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投资需求与资金用途（启动资金 100 万美元）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INVESTMENT REQUIREMENT &amp; USE OF FUNDS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因 2 亿比索货源以寄售方式无偿供给、售出后结算，本项目不存在采购备货资金需求。启动资金合计 1,769 万比索，取整融资 1,850 万比索（100 万美元）——较原始方案下降 75%。成本控制原则有二：展厅采用模块化陈列与既有结构，装修预算压缩至常规方案的 20%；货架、叉车、配送车辆与全部办公设备一律采购二手（墨西哥工业设备二手市场成熟，同等规格通常为新品的 35–45%，不影响运营效率，唯一代价是账面资产规模较小，而这恰恰符合轻资产定位）。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757"/>
        <w:gridCol w:w="1361"/>
        <w:gridCol w:w="3005"/>
      </w:tblGrid>
      <w:tr>
        <w:trPr>
          <w:tblHeader w:val="true"/>
        </w:trPr>
        <w:tc>
          <w:tcPr>
            <w:tcW w:type="dxa" w:w="56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投资项目（前 3 个月一次性投入）</w:t>
            </w:r>
          </w:p>
        </w:tc>
        <w:tc>
          <w:tcPr>
            <w:tcW w:type="dxa" w:w="175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比索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</w:t>
            </w:r>
          </w:p>
        </w:tc>
        <w:tc>
          <w:tcPr>
            <w:tcW w:type="dxa" w:w="300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蒙特雷展厅装修（1,653㎡，模块化陈列）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728,000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39,351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仅为常规装修预算的 20%；利用既有结构与照明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蒙特雷仓库货架与设备（全部二手）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二手横梁货架、二手叉车与托盘车，约为新品 40%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ERP＋WMS（云端订阅制，与合作方仓库对账）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轻量 SaaS，不自建、不上重型 ERP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三大平台开发（官网／B2B 批发／自有品牌 D2C）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1,300,000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 2 人团队为主 + 定向外包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品牌与产品设计、IMPI 商标注册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48,649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设计按项目外包；商标须在发布前递交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公司手册、产品图册＋价目表、代理商资料包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450,000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24,324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中／西／英三语，首批小批量印刷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二手配送车 2 台＋二手办公 IT 设备、家具、POS、监控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27,027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全部二手采购，不为新品付溢价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个月人力成本（15 人分批到岗）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1,400,000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75,676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个月起由经营收入承担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个月租金（双城）＋运营费用（物流、市场、专业服务、水电安保）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2,000,000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108,108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蒙特雷争取 3 个月免租期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租赁押金与保证金（双城）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2,900,000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156,757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可回收资产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实体设立、RFC、IMMEX、NOM 认证、清关与许可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81,081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合规启动一次性支出，不可压缩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营运资金（应收账款周转；寄售模式下无备货资金）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3,000,000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162,162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仅为账期垫付，占收入 6%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不可预见费（10%）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1,607,800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86,908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</w:p>
        </w:tc>
        <w:tc>
          <w:tcPr>
            <w:tcW w:type="dxa" w:w="3402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启动资金合计 / 融资额（取整）</w:t>
            </w:r>
          </w:p>
        </w:tc>
        <w:tc>
          <w:tcPr>
            <w:tcW w:type="dxa" w:w="175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17,685,800 / 18,500,000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955,989 / 1,000,000</w:t>
            </w:r>
          </w:p>
        </w:tc>
        <w:tc>
          <w:tcPr>
            <w:tcW w:type="dxa" w:w="3005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场地与信息化 24%｜前3个月运营 19%｜押金 16%｜营运资金与备用 26%｜合规 8%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第 4 个月起的内生再投资计划（不再需要追加股权融资）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876"/>
        <w:gridCol w:w="1701"/>
        <w:gridCol w:w="1814"/>
      </w:tblGrid>
      <w:tr>
        <w:trPr>
          <w:tblHeader w:val="true"/>
        </w:trPr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期间</w:t>
            </w:r>
          </w:p>
        </w:tc>
        <w:tc>
          <w:tcPr>
            <w:tcW w:type="dxa" w:w="487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再投资项目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金额（比索）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资金来源</w:t>
            </w:r>
          </w:p>
        </w:tc>
      </w:tr>
      <w:tr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4–6 个月</w:t>
            </w:r>
          </w:p>
        </w:tc>
        <w:tc>
          <w:tcPr>
            <w:tcW w:type="dxa" w:w="48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自有品牌首批量产订金、平台 V1.0 迭代、SKU 摄影与素材库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1,800,000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7–12 个月</w:t>
            </w:r>
          </w:p>
        </w:tc>
        <w:tc>
          <w:tcPr>
            <w:tcW w:type="dxa" w:w="487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SKU 品类扩展、市场推广加码、代理商体系铺开、第三城前置筹备、平台 V2.0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5,500,000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第二年全年</w:t>
            </w:r>
          </w:p>
        </w:tc>
        <w:tc>
          <w:tcPr>
            <w:tcW w:type="dxa" w:w="48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两座新城铺设、自有品牌品类扩展、团队扩编至 52 人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12,000,000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双城租金模型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304"/>
        <w:gridCol w:w="1361"/>
        <w:gridCol w:w="1417"/>
        <w:gridCol w:w="1701"/>
        <w:gridCol w:w="1701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场地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面积（㎡）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美元/㎡/月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月租（美元）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年租（比索）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墨西哥城：展厅＋集团总部办公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14.00＋CAM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214,600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2,575,200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蒙特雷：展厅＋分公司办公（500 坪）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1,653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9.00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14,877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275,225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3,302,694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蒙特雷：仓库（1,000 坪）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3,306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23,142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428,127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5,137,524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蒙特雷：物业管理费 CAM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4,959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0.55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2,727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50,455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605,455</w:t>
            </w:r>
          </w:p>
        </w:tc>
      </w:tr>
      <w:tr>
        <w:tc>
          <w:tcPr>
            <w:tcW w:type="dxa" w:w="260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双城满编运行合计</w:t>
            </w:r>
          </w:p>
        </w:tc>
        <w:tc>
          <w:tcPr>
            <w:tcW w:type="dxa" w:w="130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5,759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—</w:t>
            </w:r>
          </w:p>
        </w:tc>
        <w:tc>
          <w:tcPr>
            <w:tcW w:type="dxa" w:w="141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52,346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968,407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11,620,873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关键节省与谈判要点：因寄售货源存放于合作方位于墨西哥城的既有仓库，CLG 在墨城无需自建大仓，仅保留 800㎡ 展厅与总部办公——相较自租 5,000㎡ 仓库每年直接节省约 700 万比索。蒙特雷工业地产 2026 年一季度空置率 7.5%、报价 7.00 美元/㎡/月（Colliers），应争取 3–5 年期、3 个月免租期并将年涨幅锁定于美元 CPI 或 3%；展厅须取 flex／工业型空间而非甲级写字楼（甲级报价达 18.88 美元/㎡/月，Solili 2026年6月），选错每年多支出约 19.5 万美元。租金是本方案唯一未被压缩的固定成本——它直接决定展厅规模与成交场所。首年实付 635 万比索（占收入 12.8%），第二年约 9.2%、第三年约 6.3%。</w:t>
      </w:r>
    </w:p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首年季度财务预测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FY1 QUARTERLY FORECAST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417"/>
        <w:gridCol w:w="1417"/>
        <w:gridCol w:w="1417"/>
        <w:gridCol w:w="1417"/>
        <w:gridCol w:w="1814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项目（百万比索）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第四季度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第一年合计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营业收入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10.5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14.0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19.0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49.5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毛利润（毛利率 50%）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5.25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9.5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24.75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营业费用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4.5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5.4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5.7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20.6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EBITDA（EBITDA 率）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(1.50)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0.25（2.4%）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1.60（11.4%）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3.80（20.0%）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4.15（8.4%）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净利润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(1.74)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(0.01)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1.32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2.60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2.17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启动资金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个月起内生</w:t>
            </w:r>
          </w:p>
        </w:tc>
      </w:tr>
    </w:tbl>
    <w:p>
      <w:pPr>
        <w:spacing w:before="0" w:after="0" w:line="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在 15 人编制与全面二手设备的成本结构下，首年即实现 EBITDA 415 万比索（8.4%）与净利润 217 万比索（4.4%）：第一季度小幅亏损仅源于场地建设与团队先行投入，第二季度单季即转正，第四季度 EBITDA 率达 20.0%。</w:t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08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三年扩张计划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THREE-YEAR EXPANSION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65"/>
        <w:gridCol w:w="3997"/>
        <w:gridCol w:w="652"/>
        <w:gridCol w:w="992"/>
        <w:gridCol w:w="765"/>
        <w:gridCol w:w="1049"/>
        <w:gridCol w:w="1049"/>
        <w:gridCol w:w="822"/>
      </w:tblGrid>
      <w:tr>
        <w:trPr>
          <w:tblHeader w:val="true"/>
        </w:trPr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年度</w:t>
            </w:r>
          </w:p>
        </w:tc>
        <w:tc>
          <w:tcPr>
            <w:tcW w:type="dxa" w:w="399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新增城市（选址逻辑）</w:t>
            </w:r>
          </w:p>
        </w:tc>
        <w:tc>
          <w:tcPr>
            <w:tcW w:type="dxa" w:w="65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自建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城市</w:t>
            </w:r>
          </w:p>
        </w:tc>
        <w:tc>
          <w:tcPr>
            <w:tcW w:type="dxa" w:w="99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展厅/仓库</w:t>
            </w:r>
          </w:p>
        </w:tc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代理商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EBITDA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2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净利润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墨西哥城（集团总部＋展厅）、蒙特雷（展厅＋仓库）——量与利的组合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 / 1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49.5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4.15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2.17</w:t>
            </w:r>
          </w:p>
        </w:tc>
      </w:tr>
      <w:tr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</w:t>
            </w:r>
          </w:p>
        </w:tc>
        <w:tc>
          <w:tcPr>
            <w:tcW w:type="dxa" w:w="399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瓜达拉哈拉（第二大经济体、礼品零售密集）、蒂华纳（边境保税加工厂劳保、美墨跨境试点，与自有美国通道天然衔接）</w:t>
            </w:r>
          </w:p>
        </w:tc>
        <w:tc>
          <w:tcPr>
            <w:tcW w:type="dxa" w:w="65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99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 / 2</w:t>
            </w:r>
          </w:p>
        </w:tc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126.0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19.2</w:t>
            </w:r>
          </w:p>
        </w:tc>
        <w:tc>
          <w:tcPr>
            <w:tcW w:type="dxa" w:w="82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12.2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莱昂／巴希奥（制鞋皮革与工业劳保）、克雷塔罗（物流枢纽）、普埃布拉（纺织服装集群）；其余各州由代理商网络与越库配送覆盖，实现全国 32 州触达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 / 4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255.0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47.8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31.7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轻资产纪律：第三年自建 7 城但仅设 4 个仓库、团队仅 48 人，其余由 220 家代理商与越库配送覆盖全国——这正是第三年 EBITDA 利润率得以达到 18.8% 的原因。全部扩张资金自第 4 个月起由经营收入承担，三年内不再进行任何股权融资。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09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五年纳斯达克上市路径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THE NASDAQ PATH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（1）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按本版保守口径，第五年 CLG 目标营业收入约 4,220 万美元（7.8 亿比索）、净利率约 13%（净利润约 548 万美元）、自有品牌占收入 50% 以上——税前利润远超纳斯达克全球市场（Nasdaq Global Market）收益标准所要求的 100 万美元，并可同时满足股东权益 1,500 万美元、公众持股市值 800 万美元、400 名整手股东与股价 4 美元等各项门槛；若届时市值达 7,500 万美元以上，亦可选择市值标准申报。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（2）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可比公司框架：拉美及新兴市场纯分销企业的交易倍数约为 0.4–0.9 倍 EV/Revenue 与 14–20 倍 P/E，而拥有自有渠道的品牌消费品公司为 1.5–3.0 倍 EV/Revenue 与 20–28 倍 P/E；鉴于 CLG 届时自有品牌占比约 50%、毛利率 45% 左右、三年复合增速约 45%，可辩护的定价基准为 1.8 倍 EV/Revenue 或 22 倍 P/E（PEG 显著低于 1.0）。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（3）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据此隐含企业价值按收入倍数约 7,600 万美元、按盈利倍数约 1.21 亿美元，即 7,500 万–1.2 亿美元（14–22 亿比索）的可信上市区间，相当于对首年 100 万美元启动资金 75–120 倍的回报；三项不可妥协的前提：自第一年起由四大或 PCAOB 注册所出具 US GAAP／IFRS 审计报告、即刻搭建开曼或特拉华控股公司之于墨西哥 S.A. de C.V. 的离岸架构、自第一天建立符合 SOX 的内控与常设资料室。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10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主要风险与对策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KEY RISKS &amp; MITIGANTS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361"/>
        <w:gridCol w:w="5556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敞口</w:t>
            </w:r>
          </w:p>
        </w:tc>
        <w:tc>
          <w:tcPr>
            <w:tcW w:type="dxa" w:w="555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对策（与 CLG 实际结构挂钩）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合作方供货依赖　2 亿比索寄售货源由合作方单一供给，若供货中断或结算条件变更，将直接影响 74% 的首年收入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首年收入 3,660 万比索</w:t>
            </w:r>
          </w:p>
        </w:tc>
        <w:tc>
          <w:tcPr>
            <w:tcW w:type="dxa" w:w="555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以合同而非资金对冲：签署书面寄售协议，明确墨西哥独家经销权、最低供货承诺与品类清单、结算价与调价机制、账期与对账规则、不少于 3 年期限及终止过渡安排；ERP 与合作方仓库实时对账；保留中国直采备份通道与集团自有物流，可在 45 天内以正常进口补位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库存资金与滞销风险　在自购模式下本为最大风险项（2 亿比索资本占用与跌价）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已基本消除</w:t>
            </w:r>
          </w:p>
        </w:tc>
        <w:tc>
          <w:tcPr>
            <w:tcW w:type="dxa" w:w="555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寄售模式下 CLG 不垫付采购款、不持有库存所有权：资金占用为零、滞销跌价由合作方承担、进口汇率波动不影响 CLG 成本。CLG 仅承担销售与保管责任（投保保管人责任险，年费约 15–25 万比索）。此为本计划最显著的结构性优势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物流与海关风险　亚洲原产消费品在墨西哥太平洋港口查验趋严，归类或估价失当可致货物扣押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已大幅降低</w:t>
            </w:r>
          </w:p>
        </w:tc>
        <w:tc>
          <w:tcPr>
            <w:tcW w:type="dxa" w:w="555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货物经「中国→美国→墨西哥」路径，由集团自有物流公司全程承运：在美国完成集拼、分批与文件预审，再经新拉雷多陆路口岸入墨、2 小时直达蒙特雷仓库。相较亚洲直航至曼萨尼约，该路径规避了对亚洲直航货的最严查验与港口拥堵，文件与实物链条均由集团掌控；陆运段短、路线固定，货损与失窃风险同步下降，并带来 8–12% 的永久性到岸成本优势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B2B 应收账款风险　正规客户要求 30–60 天账期，墨西哥中小批发商坏账率 3–6%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首年计提 60 万；第三年敞口约 780 万</w:t>
            </w:r>
          </w:p>
        </w:tc>
        <w:tc>
          <w:tcPr>
            <w:tcW w:type="dxa" w:w="555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分层授信：一级客户（墨城高周转买家，约占 B2B 收入 55%）一律现金／SPEI，零信用风险；二级正规中小企业 30 天并取本票＋个人担保；三级工业大客户 60 天并投保信用险或反向保理；10 万比索以上强制征信；大额应收经 NAFIN 无追索保理 48 小时变现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关键人与人手风险　15 人编制下总经理一人统管两城并全责 IT，单点依赖显著；任一核心岗位离职即形成缺口；寄售货源价格优势窗口约 18–24 个月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执行高度集中；第三年贸易毛利率递减 10 个百分点（已计入模型）</w:t>
            </w:r>
          </w:p>
        </w:tc>
        <w:tc>
          <w:tcPr>
            <w:tcW w:type="dxa" w:w="555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窗口即战略：用 18 个月锁定 220 家带独家条款与最低采购量的代理商，渠道关系在价格优势消失后依然存续；自有品牌为永久护城河，第三年 39% 毛利来自自有知识产权。精简编制的缓释设计：关键流程固化于 ERP 与书面 SOP 而非个人经验，设计、法务、报关、配送均有外部合作方可即时补位；总经理层面以书面接班安排、期权池、关键人寿险与第 12 个月视业绩增设副手缓释，并在尽调前主动披露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11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投资人监控看板（KPI）与合规前置事项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KPI DASHBOARD &amp; COMPLIANCE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794"/>
        <w:gridCol w:w="794"/>
        <w:gridCol w:w="2041"/>
        <w:gridCol w:w="850"/>
        <w:gridCol w:w="907"/>
        <w:gridCol w:w="907"/>
      </w:tblGrid>
      <w:tr>
        <w:trPr>
          <w:tblHeader w:val="true"/>
        </w:trPr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204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活跃 B2B 客户数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520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1,150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寄售货源累计去化率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88%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代理商数量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220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库存资金占用（比索）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应收账款周转天数 DSO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≤42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≤50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≤55 天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人员编制 / 人均产出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 / 3.30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26 / 4.85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 / 5.31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6"/>
              </w:rPr>
              <w:t>开业前必须完成的五项前置事项（缺一即无法营业）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① 寄售合作协议（首要）：墨西哥独家经销、最低供货承诺与品类清单、结算价与调价机制、账期与对账规则、保管责任与保险归属、不少于 3 年期限及终止过渡安排。此协议是全部财务预测的法律基础，须先于一切支出完成签署。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② S.A. de C.V. 实体、外资登记 RNIE、RFC、e.firma、数字签章 CSD 及 PAC 对接，并具备开具 CFDI 4.0 与货运 Carta Porte 附件的能力——否则无法向任何正规企业客户销售（买方无法抵扣增值税），蒙特雷工业客户论证即不成立。预留 6–10 周。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③ 进口商名录（Padrón de Importadores）及服装纺织类特定行业名录；自有品牌与补货经美国通道入墨，须同步完成美墨两端报关主体与文件体系；消费品关税 0–35%，另有 16% 增值税形成现金垫付（已计入营运资金）。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④ NOM 强制认证与标签：NOM-050-SCFI（西语标签、原产国、进口商名称／RFC／地址、净含量、保修说明）适用于生活用品、厨房、服装、文具、礼品；服装另需 NOM-004-SCFI；劳保品类风险最高，工业客户采购前必索取符合性证书。须对寄售库存做 NOM-050 合规审计——若无西语标签，返工成本承担方须在寄售协议中事先约定，不得默认由 CLG 承担。</w:t>
            </w:r>
          </w:p>
          <w:p>
            <w:pPr>
              <w:spacing w:before="0" w:after="50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⑤ IMPI 商标先行注册（墨西哥为申请在先制，抢注者可合法阻断 CLG 使用自有品牌，须在首份图册印刷前完成两个品牌全部相关尼斯类别的递交，并同周注册 .com.mx 域名与社媒账号）；ERP／WMS 须先于三大平台上线并与合作方仓库实时对账（寄售模式下为财务与法律双重要求）；关联交易（自有物流与中国采购主体）须按独立交易原则定价并出具转让定价报告，否则美国审计师不予签字。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907" w:bottom="680" w:left="90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single" w:sz="6" w:space="0" w:color="C9D1D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504"/>
      <w:gridCol w:w="1587"/>
    </w:tblGrid>
    <w:tr>
      <w:tc>
        <w:tcPr>
          <w:tcW w:type="dxa" w:w="8504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4"/>
            </w:rPr>
            <w:t>CLG GROUP · MEXICO  |  商业计划书（保守测算版）  |  本文件含商业机密，未经书面许可不得复制或转发</w:t>
          </w:r>
        </w:p>
      </w:tc>
      <w:tc>
        <w:tcPr>
          <w:tcW w:type="dxa" w:w="1587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第 </w:t>
          </w:r>
          <w:r>
            <w:rPr>
              <w:rFonts w:ascii="Calibri" w:hAnsi="Calibri" w:eastAsia="Microsoft YaHei"/>
              <w:b w:val="0"/>
              <w:i w:val="0"/>
              <w:color w:val="0B2545"/>
              <w:sz w:val="15"/>
            </w:rPr>
            <w:fldChar w:fldCharType="begin"/>
            <w:instrText xml:space="preserve"> PAGE </w:instrText>
            <w:fldChar w:fldCharType="end"/>
          </w:r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single" w:sz="6" w:space="0" w:color="B08D3F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6236"/>
      <w:gridCol w:w="3855"/>
    </w:tblGrid>
    <w:tr>
      <w:tc>
        <w:tcPr>
          <w:tcW w:type="dxa" w:w="6236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</w:pPr>
          <w:r/>
          <w:r>
            <w:rPr>
              <w:rFonts w:ascii="Calibri" w:hAnsi="Calibri" w:eastAsia="Microsoft YaHei"/>
              <w:b/>
              <w:i w:val="0"/>
              <w:color w:val="0B2545"/>
              <w:sz w:val="15"/>
            </w:rPr>
            <w:t>CLG 集团  |  墨西哥市场商业计划书</w:t>
          </w:r>
        </w:p>
      </w:tc>
      <w:tc>
        <w:tcPr>
          <w:tcW w:type="dxa" w:w="3855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>2026年9月  ·  严格保密  ·  仅供投资人审阅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