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投资要点与核心财务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INVESTMENT HIGHLIGHTS &amp; FINANCIALS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7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7"/>
        </w:rPr>
        <w:t>01  零库存资本占用：2 亿比索货源以寄售方式无偿供货</w:t>
      </w:r>
      <w:r>
        <w:rPr>
          <w:rFonts w:ascii="Calibri" w:hAnsi="Calibri" w:eastAsia="Microsoft YaHei"/>
          <w:b w:val="0"/>
          <w:i w:val="0"/>
          <w:color w:val="1A1A1A"/>
          <w:sz w:val="17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7"/>
        </w:rPr>
      </w:r>
    </w:p>
    <w:p>
      <w:pPr>
        <w:spacing w:before="0" w:after="60" w:lineRule="auto" w:line="262"/>
        <w:ind w:left="181"/>
        <w:jc w:val="both"/>
      </w:pPr>
      <w:r>
        <w:rPr>
          <w:rFonts w:ascii="Calibri" w:hAnsi="Calibri" w:eastAsia="Microsoft YaHei"/>
          <w:b w:val="0"/>
          <w:i w:val="0"/>
          <w:color w:val="33404F"/>
          <w:sz w:val="15"/>
        </w:rPr>
        <w:t>合作方将其位于墨西哥城仓库的约 2 亿比索（1,080 万美元）低价实物库存，以寄售（consignación）方式无偿交由 CLG 销售，售出后按约定结算价付款。CLG 不垫付一分钱采购款，不承担库存资金占用、滞销跌价与进口汇率风险——本项目的资产负债表上没有最容易出问题的那一项。因货源成本极低，售价可定在市场价以下 15–20% 仍实现 47% 综合毛利率，本地同业毛利率天花板仅 20–25%。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7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7"/>
        </w:rPr>
        <w:t>02  总投资金额约 105 万美元，且首年净利润即达 1,028 万比索</w:t>
      </w:r>
      <w:r>
        <w:rPr>
          <w:rFonts w:ascii="Calibri" w:hAnsi="Calibri" w:eastAsia="Microsoft YaHei"/>
          <w:b w:val="0"/>
          <w:i w:val="0"/>
          <w:color w:val="1A1A1A"/>
          <w:sz w:val="17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7"/>
        </w:rPr>
      </w:r>
    </w:p>
    <w:p>
      <w:pPr>
        <w:spacing w:before="0" w:after="60" w:lineRule="auto" w:line="262"/>
        <w:ind w:left="181"/>
        <w:jc w:val="both"/>
      </w:pPr>
      <w:r>
        <w:rPr>
          <w:rFonts w:ascii="Calibri" w:hAnsi="Calibri" w:eastAsia="Microsoft YaHei"/>
          <w:b w:val="0"/>
          <w:i w:val="0"/>
          <w:color w:val="33404F"/>
          <w:sz w:val="15"/>
        </w:rPr>
        <w:t>无需备货资金，投资仅由人力、双城租金、运营费用与蒙特雷场地一次性建设构成。展厅采用模块化陈列，装修预算压缩至常规方案的 20%；货架、叉车、配送车辆与办公设备全部采购二手。总投资 1,950 万比索（约 105 万美元）覆盖前 3 个月全部支出与场地建设；自第 4 个月起，全部扩张性支出均由经营现金流滚动再投资，三年内不再需要追加股权融资。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7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7"/>
        </w:rPr>
        <w:t>03  保守口径：全部年度收入按原始业务测算的 60% 计列</w:t>
      </w:r>
      <w:r>
        <w:rPr>
          <w:rFonts w:ascii="Calibri" w:hAnsi="Calibri" w:eastAsia="Microsoft YaHei"/>
          <w:b w:val="0"/>
          <w:i w:val="0"/>
          <w:color w:val="1A1A1A"/>
          <w:sz w:val="17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7"/>
        </w:rPr>
      </w:r>
    </w:p>
    <w:p>
      <w:pPr>
        <w:spacing w:before="0" w:after="60" w:lineRule="auto" w:line="262"/>
        <w:ind w:left="181"/>
        <w:jc w:val="both"/>
      </w:pPr>
      <w:r>
        <w:rPr>
          <w:rFonts w:ascii="Calibri" w:hAnsi="Calibri" w:eastAsia="Microsoft YaHei"/>
          <w:b w:val="0"/>
          <w:i w:val="0"/>
          <w:color w:val="33404F"/>
          <w:sz w:val="15"/>
        </w:rPr>
        <w:t>各年度收入按内部测算值的 60% 计列（首年 9,900 万比索、第三年 5.10 亿比索），保留 40% 安全边际。18 人编制、总经理一人统管两城、设计与创意全部外包，增量覆盖由代理商网络（首年 60 家、第三年 440 家）而非自建团队实现。第三年 EBITDA 达 9,690 万比索，为总投资额的 5.0 倍；三年累计 EBITDA 为 8.0 倍、累计净利润为 5.4 倍。</w:t>
      </w:r>
    </w:p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105万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总投资金额（美元）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1,028万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首年净利润（比索）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18人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双城人员编制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1.566亿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三年累计 EBITDA（比索）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1.5–2.4亿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五年上市估值（美元）</w:t>
            </w:r>
          </w:p>
        </w:tc>
      </w:tr>
    </w:tbl>
    <w:p>
      <w:pPr>
        <w:spacing w:before="0" w:after="0" w:line="12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317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财务指标（单位：百万比索）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三年累计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营业收入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99.0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252.0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510.0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861.0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毛利润 / 毛利率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46.5 / 47.0%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113.4 / 45.0%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224.4 / 44.0%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384.3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营业费用 / 占收入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30.7 / 31.0%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69.6 / 27.6%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127.5 / 25.0%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227.8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EBITDA / EBITDA 率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15.9 / 16.0%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43.8 / 17.4%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96.9 / 19.0%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156.6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净利润 / 净利率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10.3 / 10.4%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29.1 / 11.6%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65.3 / 12.8%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104.7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6" w:after="1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自建城市 / 代理商 / 人员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 / 60 / 18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 / 180 / 38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7 / 440 / 72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6" w:after="1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人均产出 550→708 万</w:t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3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238228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_m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2382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3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24097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gi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2409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 w:lineRule="auto" w:line="264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注：汇率 1 美元 = 18.50 比索。综合毛利率由 50% 调降至 47%（第二、三年 45%／44%），系放量所需的渠道让价与第三年起转入常规补货的共同影响，已如实计入。</w:t>
      </w:r>
    </w:p>
    <w:p>
      <w:pPr>
        <w:keepNext/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7"/>
        </w:rPr>
        <w:t>首 年 分 季 度 损 益   FY1 QUARTERLY P&amp;L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417"/>
        <w:gridCol w:w="1417"/>
        <w:gridCol w:w="1417"/>
        <w:gridCol w:w="1417"/>
        <w:gridCol w:w="1814"/>
      </w:tblGrid>
      <w:tr>
        <w:trPr>
          <w:tblHeader w:val="true"/>
        </w:trPr>
        <w:tc>
          <w:tcPr>
            <w:tcW w:type="dxa" w:w="260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项目（百万比索）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第一季度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第二季度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第三季度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第四季度</w:t>
            </w:r>
          </w:p>
        </w:tc>
        <w:tc>
          <w:tcPr>
            <w:tcW w:type="dxa" w:w="181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第一年合计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营业收入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12.00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21.00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28.00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38.00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99.00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毛利润（毛利率 47%）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5.64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9.87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13.16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17.86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46.53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营业费用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6.40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7.30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8.00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8.95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30.65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EBITDA（EBITDA 率）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(0.76)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2.57（12.2%）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5.16（18.4%）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8.91（23.4%）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15.88（16.0%）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净利润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(1.03)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1.90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3.39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6.02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10.28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1" w:after="11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经营现金流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启动投资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自给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自给并再投资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自给并再投资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1" w:after="11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4 个月起内生</w:t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0"/>
      </w:pPr>
      <w:r>
        <w:br w:type="page"/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市场机会、双城战略与三年扩张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MARKET &amp; EXPANSION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3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2791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91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4365"/>
        <w:gridCol w:w="1531"/>
        <w:gridCol w:w="1417"/>
        <w:gridCol w:w="1417"/>
      </w:tblGrid>
      <w:tr>
        <w:trPr>
          <w:tblHeader w:val="true"/>
        </w:trPr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市场层级</w:t>
            </w:r>
          </w:p>
        </w:tc>
        <w:tc>
          <w:tcPr>
            <w:tcW w:type="dxa" w:w="436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口径定义</w:t>
            </w:r>
          </w:p>
        </w:tc>
        <w:tc>
          <w:tcPr>
            <w:tcW w:type="dxa" w:w="15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规模（比索）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规模（美元）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CLG 份额</w:t>
            </w:r>
          </w:p>
        </w:tc>
      </w:tr>
      <w:tr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TAM 总体市场</w:t>
            </w:r>
          </w:p>
        </w:tc>
        <w:tc>
          <w:tcPr>
            <w:tcW w:type="dxa" w:w="43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全国六大品类批发总值（估算，基于 INEGI 分行业收入与进口统计三角测算）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5,200 亿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281 亿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—</w:t>
            </w:r>
          </w:p>
        </w:tc>
      </w:tr>
      <w:tr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SAM 可服务市场</w:t>
            </w:r>
          </w:p>
        </w:tc>
        <w:tc>
          <w:tcPr>
            <w:tcW w:type="dxa" w:w="436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双城都会区（墨城 2,200万人 + 蒙特雷 550万人）占全国批发吞吐约 32%，其中亚洲进口高性价比细分约 35%</w:t>
            </w:r>
          </w:p>
        </w:tc>
        <w:tc>
          <w:tcPr>
            <w:tcW w:type="dxa" w:w="15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583 亿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31.5 亿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—</w:t>
            </w:r>
          </w:p>
        </w:tc>
      </w:tr>
      <w:tr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SOM 可获得份额</w:t>
            </w:r>
          </w:p>
        </w:tc>
        <w:tc>
          <w:tcPr>
            <w:tcW w:type="dxa" w:w="43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第一年 0.99 亿 / 第二年 2.52 亿 / 第三年 5.10 亿比索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5.10 亿（Y3）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0.28 亿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Y1 0.17% → Y3 0.54%</w:t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墨西哥城 CDMX —— 量 ( 现金引擎 )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伊斯塔帕拉帕 Central de Abastos：美洲最大批发市场，占地约 328 公顷、日均人流 9 万人次，为全国价格定价节点。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Tepito / La Merced 商圈数千家进口再批发商，是 CLG 的直接客户而非竞争者——按柜采购、全国分拨。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寄售货源就在合作方墨西哥城仓库，CLG 只需 800㎡ 展厅与总部办公，无需自建大仓。</w:t>
            </w:r>
          </w:p>
          <w:p>
            <w:pPr>
              <w:spacing w:before="0" w:after="50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客户特征：大批量、价格敏感、现金结算——回款快、应收风险低。</w:t>
            </w:r>
          </w:p>
        </w:tc>
        <w:tc>
          <w:tcPr>
            <w:tcW w:type="dxa" w:w="5046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蒙特雷 MONTERREY —— 利 ( 品质引擎 )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新莱昂州 14,000 余家工业企业，劳保与工装属刚性、可续约的重复性采购。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人均 GDP 为全国均值约 1.6 倍，同一 SKU 毛利率较墨城高 3–6 个百分点。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正规企业客户强制要求 CFDI 4.0 电子发票与账期——非正规同业无法提供的结构性壁垒。</w:t>
            </w:r>
          </w:p>
          <w:p>
            <w:pPr>
              <w:spacing w:before="0" w:after="50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· 距新拉雷多陆港 2 小时，是「中国→美国→墨西哥」自有物流通道的落地终点。</w:t>
            </w:r>
          </w:p>
        </w:tc>
      </w:tr>
    </w:tbl>
    <w:p>
      <w:pPr>
        <w:spacing w:before="0" w:after="0" w:line="10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65"/>
        <w:gridCol w:w="3997"/>
        <w:gridCol w:w="652"/>
        <w:gridCol w:w="992"/>
        <w:gridCol w:w="765"/>
        <w:gridCol w:w="1049"/>
        <w:gridCol w:w="1049"/>
        <w:gridCol w:w="822"/>
      </w:tblGrid>
      <w:tr>
        <w:trPr>
          <w:tblHeader w:val="true"/>
        </w:trPr>
        <w:tc>
          <w:tcPr>
            <w:tcW w:type="dxa" w:w="76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年度</w:t>
            </w:r>
          </w:p>
        </w:tc>
        <w:tc>
          <w:tcPr>
            <w:tcW w:type="dxa" w:w="399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新增城市（选址逻辑）</w:t>
            </w:r>
          </w:p>
        </w:tc>
        <w:tc>
          <w:tcPr>
            <w:tcW w:type="dxa" w:w="65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自建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城市</w:t>
            </w:r>
          </w:p>
        </w:tc>
        <w:tc>
          <w:tcPr>
            <w:tcW w:type="dxa" w:w="99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展厅/仓库</w:t>
            </w:r>
          </w:p>
        </w:tc>
        <w:tc>
          <w:tcPr>
            <w:tcW w:type="dxa" w:w="76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代理商</w:t>
            </w:r>
          </w:p>
        </w:tc>
        <w:tc>
          <w:tcPr>
            <w:tcW w:type="dxa" w:w="104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收入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104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EBITDA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82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净利润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</w:tr>
      <w:tr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第一年</w:t>
            </w:r>
          </w:p>
        </w:tc>
        <w:tc>
          <w:tcPr>
            <w:tcW w:type="dxa" w:w="399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墨西哥城（集团总部＋展厅）、蒙特雷（展厅＋仓库）——量与利的组合</w:t>
            </w:r>
          </w:p>
        </w:tc>
        <w:tc>
          <w:tcPr>
            <w:tcW w:type="dxa" w:w="65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2</w:t>
            </w:r>
          </w:p>
        </w:tc>
        <w:tc>
          <w:tcPr>
            <w:tcW w:type="dxa" w:w="99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2 / 1</w:t>
            </w:r>
          </w:p>
        </w:tc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60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99.0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15.9</w:t>
            </w:r>
          </w:p>
        </w:tc>
        <w:tc>
          <w:tcPr>
            <w:tcW w:type="dxa" w:w="82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10.3</w:t>
            </w:r>
          </w:p>
        </w:tc>
      </w:tr>
      <w:tr>
        <w:tc>
          <w:tcPr>
            <w:tcW w:type="dxa" w:w="76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第二年</w:t>
            </w:r>
          </w:p>
        </w:tc>
        <w:tc>
          <w:tcPr>
            <w:tcW w:type="dxa" w:w="399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瓜达拉哈拉（第二大经济体、礼品零售密集）、蒂华纳（边境保税加工厂劳保、美墨跨境试点）</w:t>
            </w:r>
          </w:p>
        </w:tc>
        <w:tc>
          <w:tcPr>
            <w:tcW w:type="dxa" w:w="65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4</w:t>
            </w:r>
          </w:p>
        </w:tc>
        <w:tc>
          <w:tcPr>
            <w:tcW w:type="dxa" w:w="99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4 / 2</w:t>
            </w:r>
          </w:p>
        </w:tc>
        <w:tc>
          <w:tcPr>
            <w:tcW w:type="dxa" w:w="76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180</w:t>
            </w:r>
          </w:p>
        </w:tc>
        <w:tc>
          <w:tcPr>
            <w:tcW w:type="dxa" w:w="104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252.0</w:t>
            </w:r>
          </w:p>
        </w:tc>
        <w:tc>
          <w:tcPr>
            <w:tcW w:type="dxa" w:w="104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43.8</w:t>
            </w:r>
          </w:p>
        </w:tc>
        <w:tc>
          <w:tcPr>
            <w:tcW w:type="dxa" w:w="82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29.1</w:t>
            </w:r>
          </w:p>
        </w:tc>
      </w:tr>
      <w:tr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第三年</w:t>
            </w:r>
          </w:p>
        </w:tc>
        <w:tc>
          <w:tcPr>
            <w:tcW w:type="dxa" w:w="399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莱昂／巴希奥（制鞋皮革与工业劳保）、克雷塔罗（物流枢纽）、普埃布拉（纺织服装集群）；其余各州由代理商与越库配送覆盖</w:t>
            </w:r>
          </w:p>
        </w:tc>
        <w:tc>
          <w:tcPr>
            <w:tcW w:type="dxa" w:w="65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7</w:t>
            </w:r>
          </w:p>
        </w:tc>
        <w:tc>
          <w:tcPr>
            <w:tcW w:type="dxa" w:w="99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7 / 4</w:t>
            </w:r>
          </w:p>
        </w:tc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440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510.0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96.9</w:t>
            </w:r>
          </w:p>
        </w:tc>
        <w:tc>
          <w:tcPr>
            <w:tcW w:type="dxa" w:w="82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65.3</w:t>
            </w:r>
          </w:p>
        </w:tc>
      </w:tr>
    </w:tbl>
    <w:p>
      <w:pPr>
        <w:spacing w:before="0" w:after="0" w:line="1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业务板块一：B2B / B2C 批发分销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WHOLESALE DISTRIBUTION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3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197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7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74"/>
        <w:jc w:val="both"/>
      </w:pPr>
      <w:r>
        <w:rPr>
          <w:rFonts w:ascii="Calibri" w:hAnsi="Calibri" w:eastAsia="Microsoft YaHei"/>
          <w:b w:val="0"/>
          <w:i w:val="0"/>
          <w:color w:val="5A6472"/>
          <w:sz w:val="15"/>
        </w:rPr>
        <w:t>渠道次序（重要）：第 1 个月即开设 Mercado Libre 与 Amazon MX 官方旗舰店——先借平台流量实现零营销费的即时销售，并对数千个 SKU 进行真实价格与需求测试，其数据价值高于销售额本身，直接指导自有品牌选品；自建 D2C 平台随后承接被验证的客户。首年 B2C 收入 1,080 万比索中约 70% 来自第三方平台。支付端须在上线前完成 SPEI、OXXO Pay、Mercado Pago、免息分期（MSI）与 BNPL 接入。品类毛利率较原测算整体下调 3–4 个百分点，作为放量所需的渠道让价成本。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业务板块二：自有品牌开发、生产与销售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OWN-BRAND DEVELOPMENT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1134"/>
        <w:gridCol w:w="1134"/>
        <w:gridCol w:w="1247"/>
        <w:gridCol w:w="3175"/>
      </w:tblGrid>
      <w:tr>
        <w:trPr>
          <w:tblHeader w:val="true"/>
        </w:trPr>
        <w:tc>
          <w:tcPr>
            <w:tcW w:type="dxa" w:w="226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自有品牌指标</w:t>
            </w:r>
          </w:p>
        </w:tc>
        <w:tc>
          <w:tcPr>
            <w:tcW w:type="dxa" w:w="113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113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113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  <w:tc>
          <w:tcPr>
            <w:tcW w:type="dxa" w:w="124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第五年目标</w:t>
            </w:r>
          </w:p>
        </w:tc>
        <w:tc>
          <w:tcPr>
            <w:tcW w:type="dxa" w:w="317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战略含义</w:t>
            </w:r>
          </w:p>
        </w:tc>
      </w:tr>
      <w:tr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自有品牌收入（百万比索）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9.0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50.4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163.2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约 780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四年 CAGR 约 205%</w:t>
            </w:r>
          </w:p>
        </w:tc>
      </w:tr>
      <w:tr>
        <w:tc>
          <w:tcPr>
            <w:tcW w:type="dxa" w:w="226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占集团总收入比重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20%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32%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50%+</w:t>
            </w:r>
          </w:p>
        </w:tc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估值倍数的首要驱动因子</w:t>
            </w:r>
          </w:p>
        </w:tc>
      </w:tr>
      <w:tr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自有品牌毛利率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38%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52%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58%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62%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模具与认证摊销完毕后爬升</w:t>
            </w:r>
          </w:p>
        </w:tc>
      </w:tr>
      <w:tr>
        <w:tc>
          <w:tcPr>
            <w:tcW w:type="dxa" w:w="226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占集团毛利总额比重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7%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23%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42%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约 58%</w:t>
            </w:r>
          </w:p>
        </w:tc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利润结构由贸易转向品牌</w:t>
            </w:r>
          </w:p>
        </w:tc>
      </w:tr>
      <w:tr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贸易业务毛利率（递减）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49%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44%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38%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35%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4" w:after="1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寄售货源第二年末去化 81%，第三年转常规补货</w:t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3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4000" cy="25770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bra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57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271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投资逻辑一句话：「前两年，寄售货源以零资金占用供养建设；第三至五年，自有品牌供养估值。」纯分销商的国际可比估值为 0.3–0.6 倍 EV/Revenue，而拥有自有渠道的品牌消费品公司为 1.5–3.0 倍。CLG 用自身经营现金流、而非投资人资金完成这一转型。自有品牌首批开发资金仅需 90 万比索（设计＋打样＋商标，设计外包），量产资金自第 4 个月起由经营收入承担；依托集团中国制造资源与墨西哥 NOM 认证能力，为本地大型零售商提供自有品牌 OEM 代工可作为第二增长曲线（第三年潜在 2,400–3,600 万比索），列为上行空间而非基准预测。</w:t>
      </w:r>
    </w:p>
    <w:p>
      <w:pPr>
        <w:spacing w:before="0" w:after="0" w:line="1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执行路线图：90 天攻坚与首年里程碑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EXECUTION ROADMAP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1304"/>
        <w:gridCol w:w="4649"/>
        <w:gridCol w:w="1247"/>
        <w:gridCol w:w="1814"/>
      </w:tblGrid>
      <w:tr>
        <w:trPr>
          <w:tblHeader w:val="true"/>
        </w:trPr>
        <w:tc>
          <w:tcPr>
            <w:tcW w:type="dxa" w:w="107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时间</w:t>
            </w:r>
          </w:p>
        </w:tc>
        <w:tc>
          <w:tcPr>
            <w:tcW w:type="dxa" w:w="464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关键交付（并行推进）</w:t>
            </w:r>
          </w:p>
        </w:tc>
        <w:tc>
          <w:tcPr>
            <w:tcW w:type="dxa" w:w="124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责任人</w:t>
            </w:r>
          </w:p>
        </w:tc>
        <w:tc>
          <w:tcPr>
            <w:tcW w:type="dxa" w:w="181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07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第一阶段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攻坚期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1–8 周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2026.10–11</w:t>
            </w:r>
          </w:p>
        </w:tc>
        <w:tc>
          <w:tcPr>
            <w:tcW w:type="dxa" w:w="46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① 寄售合作协议签署（墨西哥独家、最低供货承诺、结算价与账期锁定）　② 实体／RFC／e.firma／CFDI 4.0 开票通道；进口商名录与 IMMEX 申报　③ 寄售 SKU 主数据对接＋条码化＋NOM-050 合规审计　④ ERP＋WMS 上线　⑤ 集团官网上线　⑥ 蒙特雷展厅与仓库签约、模块化装修、二手设备到位　⑦ 自有品牌 Logo／VI／产品设计与中国打样　⑧ IMPI 商标注册递交　⑨ Mercado Libre／Amazon MX 开店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总经理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（IT 全责）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ERP 上线、蒙特雷交付、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寄售协议生效、官网上线</w:t>
            </w:r>
          </w:p>
        </w:tc>
      </w:tr>
      <w:tr>
        <w:tc>
          <w:tcPr>
            <w:tcW w:type="dxa" w:w="107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第二阶段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上线期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9–14 周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2026.12–2027.01</w:t>
            </w:r>
          </w:p>
        </w:tc>
        <w:tc>
          <w:tcPr>
            <w:tcW w:type="dxa" w:w="464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① B2B/B2C 批发平台 V1.0 上线（客户分级、阶梯价、授信、下单—对账—开票闭环）　② 自有品牌 D2C 独立站上线　③ 公司介绍手册、产品图册＋分级价目表、代理商合同范本定稿　④ 经美国通道的首批蒙特雷铺货　⑤ 支付通道接入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总经理 ·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销售总监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平台交易跑通、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手册与合同交付</w:t>
            </w:r>
          </w:p>
        </w:tc>
      </w:tr>
      <w:tr>
        <w:tc>
          <w:tcPr>
            <w:tcW w:type="dxa" w:w="107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第三阶段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放量期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15–52 周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2027.02–09</w:t>
            </w:r>
          </w:p>
        </w:tc>
        <w:tc>
          <w:tcPr>
            <w:tcW w:type="dxa" w:w="46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① 双城 360 家活跃 B2B 客户、60 家签约代理商、80 名兼职销售代表签订长期提成协议　② 自有品牌首批量产（资金由经营收入承担）并上市　③ 大型渠道准入谈判　④ 第 4 个月起经营现金流自给，扩张支出全部内生　⑤ IFRS／US GAAP 账套与审计对接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总经理 ·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销售总监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收入 9,900 万比索、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EBITDA 1,588 万、审计出具</w:t>
            </w:r>
          </w:p>
        </w:tc>
      </w:tr>
    </w:tbl>
    <w:p>
      <w:pPr>
        <w:spacing w:before="0" w:after="0" w:line="12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组织架构与人力配置（18 人）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ORGANIZATION &amp; HEADCOUNT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1871"/>
        <w:gridCol w:w="1871"/>
        <w:gridCol w:w="1247"/>
        <w:gridCol w:w="2154"/>
      </w:tblGrid>
      <w:tr>
        <w:trPr>
          <w:tblHeader w:val="true"/>
        </w:trPr>
        <w:tc>
          <w:tcPr>
            <w:tcW w:type="dxa" w:w="294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职能</w:t>
            </w:r>
          </w:p>
        </w:tc>
        <w:tc>
          <w:tcPr>
            <w:tcW w:type="dxa" w:w="187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墨西哥城（总部）</w:t>
            </w:r>
          </w:p>
        </w:tc>
        <w:tc>
          <w:tcPr>
            <w:tcW w:type="dxa" w:w="187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蒙特雷</w:t>
            </w:r>
          </w:p>
        </w:tc>
        <w:tc>
          <w:tcPr>
            <w:tcW w:type="dxa" w:w="124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合计</w:t>
            </w:r>
          </w:p>
        </w:tc>
        <w:tc>
          <w:tcPr>
            <w:tcW w:type="dxa" w:w="215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月度全负荷成本（比索）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高管（总经理一人统管两城）· 全职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—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243,000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销售与展厅 · 全职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</w:t>
            </w:r>
          </w:p>
        </w:tc>
        <w:tc>
          <w:tcPr>
            <w:tcW w:type="dxa" w:w="215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351,450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仓储与物流 · 全职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59,400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电商与 IT 开发（总经理直属）· 全职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—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215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121,500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财务、采购与行政（兼客服）· 全职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—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47,250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全职编制合计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12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6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18</w:t>
            </w:r>
          </w:p>
        </w:tc>
        <w:tc>
          <w:tcPr>
            <w:tcW w:type="dxa" w:w="215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815,400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兼职销售代表（长期提成协议，不入编制）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首年 50 名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首年 30 名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首年 80 名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零固定人工，按回款计提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设计、摄影、代运营、法务、报关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外包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外包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</w:t>
            </w:r>
          </w:p>
        </w:tc>
        <w:tc>
          <w:tcPr>
            <w:tcW w:type="dxa" w:w="215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不设编制，按项目计费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100" w:lineRule="auto" w:line="269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全负荷成本 = 税前月薪 × 1.35（IMSS 社保、INFONAVIT 住房、SAR、年终奖 15 天、休假金及州工资税 ISN 约 3%）。满编月成本 815,400 比索、年化 978 万比索；首年按分批到岗约 75% 计为 730 万比索，加 2% 销售提成 198 万比索，首年人力总成本 928 万比索（仅占收入 9.4%）。上表 18 人全部为全职正式编制，其中销售与展厅 10 人为全职销售人员，签订正式劳动合同并计入 IMSS 社保。在此之外，公司将在两城及周边州大量招募兼职销售代表，签订长期提成协议——无底薪、不入编制、不产生任何固定人工成本，仅按实际回款计提佣金；首年目标 80 名（墨城 50 / 蒙特雷 30），第二年 220 名，第三年 500 名。兼职提成与代理商返利同源，已计入「销售提成」与「代理商返利与渠道费用」两个科目（合计占收入 4.5%），不另增支出。这一「全职精兵 + 兼职提成大军 + 代理商网络」三层结构，是 18 人编制得以支撑 9,900 万比索首年收入的根本原因。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总经理一人统管两城：核心地位与成本效率的统一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本方案取消蒙特雷独立分公司经理层，由总经理一人同时担任两座城市的最高经营负责人，蒙特雷仅设销售主管（月薪 4.5 万比索）直接向总经理汇报——每年节省全负荷人工约 130 万比索，更消除了双城之间的决策时延。18 人编制之下，总经理与每一位员工之间最多只隔一层。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总经理同时承担三重职能：墨西哥平台首席执行者、实际履行 CTO 职责并直接管辖全部 IT 与数字平台开发（2 人开发团队无中间层级直接汇报）、以及首席商品官（寄售货源的定价权即本项目的护城河，不可下放）。直接汇报对象：销售总监（墨城）· 蒙特雷销售主管 · IT 开发团队 2 人 · 财务行政 · 外包设计团队。</w:t>
            </w:r>
          </w:p>
          <w:p>
            <w:pPr>
              <w:spacing w:before="0" w:after="50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投资人视角：18 人全职编制 + 兼职提成销售队伍 + 代理商网络、两城同步、90 天交付三大平台，只有在单一决策者压缩三个角色、且非核心职能全部外部化的结构下才可能实现；计划坦承这是最大优势与最大单点风险，缓释措施为——第 12 个月视业绩聘任副手、为核心管理者设立期权池、为总经理投保关键人寿险，并在投资人尽调前完成书面接班安排。</w:t>
            </w:r>
          </w:p>
        </w:tc>
      </w:tr>
    </w:tbl>
    <w:p>
      <w:pPr>
        <w:spacing w:before="0" w:after="0" w:line="1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keepNext/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7"/>
        </w:rPr>
        <w:t>首年营业费用结构（合计 3,065 万比索，占收入 31.0%）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964"/>
        <w:gridCol w:w="794"/>
        <w:gridCol w:w="3345"/>
        <w:gridCol w:w="1020"/>
        <w:gridCol w:w="1020"/>
      </w:tblGrid>
      <w:tr>
        <w:trPr>
          <w:tblHeader w:val="true"/>
        </w:trPr>
        <w:tc>
          <w:tcPr>
            <w:tcW w:type="dxa" w:w="294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费用科目</w:t>
            </w:r>
          </w:p>
        </w:tc>
        <w:tc>
          <w:tcPr>
            <w:tcW w:type="dxa" w:w="96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占收入</w:t>
            </w:r>
          </w:p>
        </w:tc>
        <w:tc>
          <w:tcPr>
            <w:tcW w:type="dxa" w:w="334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费用科目</w:t>
            </w:r>
          </w:p>
        </w:tc>
        <w:tc>
          <w:tcPr>
            <w:tcW w:type="dxa" w:w="1020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1020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占收入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人力（全负荷，分批到岗）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7.3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7.4%</w:t>
            </w:r>
          </w:p>
        </w:tc>
        <w:tc>
          <w:tcPr>
            <w:tcW w:type="dxa" w:w="33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专业服务（律师、报关、商标、审计、税务）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1.0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1.0%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租金（墨城 12 个月＋蒙特雷 5 个月当量）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6.35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6.4%</w:t>
            </w:r>
          </w:p>
        </w:tc>
        <w:tc>
          <w:tcPr>
            <w:tcW w:type="dxa" w:w="334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安保、保险、水电与设施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0.8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0.8%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市场推广与渠道开发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3.5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3.5%</w:t>
            </w:r>
          </w:p>
        </w:tc>
        <w:tc>
          <w:tcPr>
            <w:tcW w:type="dxa" w:w="33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差旅、样品与展会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0.8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0.8%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代理商返利与渠道费用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2.5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2.5%</w:t>
            </w:r>
          </w:p>
        </w:tc>
        <w:tc>
          <w:tcPr>
            <w:tcW w:type="dxa" w:w="334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坏账计提（B2B 收入 1.5%）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1.2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1.2%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物流与末端配送（自有物流按成本结算）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2.5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2.5%</w:t>
            </w:r>
          </w:p>
        </w:tc>
        <w:tc>
          <w:tcPr>
            <w:tcW w:type="dxa" w:w="33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IT 运维、ERP/WMS 订阅与设计外包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1.5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1.5%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销售提成（收入 2%）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2.0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2.0%</w:t>
            </w:r>
          </w:p>
        </w:tc>
        <w:tc>
          <w:tcPr>
            <w:tcW w:type="dxa" w:w="334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其他与不可预见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1.2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1.2%</w:t>
            </w:r>
          </w:p>
        </w:tc>
      </w:tr>
    </w:tbl>
    <w:p>
      <w:pPr>
        <w:spacing w:before="0" w:after="0" w:line="1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07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投资需求与资金用途（总投资金额约 105 万美元）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USE OF FUNDS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80" w:lineRule="auto" w:line="271"/>
        <w:jc w:val="both"/>
      </w:pPr>
      <w:r>
        <w:rPr>
          <w:rFonts w:ascii="Calibri" w:hAnsi="Calibri" w:eastAsia="Microsoft YaHei"/>
          <w:b w:val="0"/>
          <w:i w:val="0"/>
          <w:color w:val="1A1A1A"/>
          <w:sz w:val="15"/>
        </w:rPr>
        <w:t>因 2 亿比索货源以寄售方式无偿供给、售出后结算，本项目不存在采购备货资金需求。总投资合计 1,890 万比索，取整 1,950 万比索（约 105 万美元）。成本控制原则有二：展厅采用模块化陈列与既有结构，装修预算压缩至常规方案的 20%；货架、叉车、配送车辆与全部办公设备一律采购二手（墨西哥工业设备二手市场成熟，同等规格通常为新品的 35–45%，不影响运营效率）。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757"/>
        <w:gridCol w:w="1361"/>
        <w:gridCol w:w="3005"/>
      </w:tblGrid>
      <w:tr>
        <w:trPr>
          <w:tblHeader w:val="true"/>
        </w:trPr>
        <w:tc>
          <w:tcPr>
            <w:tcW w:type="dxa" w:w="56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投资项目（前 3 个月一次性投入）</w:t>
            </w:r>
          </w:p>
        </w:tc>
        <w:tc>
          <w:tcPr>
            <w:tcW w:type="dxa" w:w="175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比索</w:t>
            </w:r>
          </w:p>
        </w:tc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美元</w:t>
            </w:r>
          </w:p>
        </w:tc>
        <w:tc>
          <w:tcPr>
            <w:tcW w:type="dxa" w:w="300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蒙特雷展厅装修（1,653㎡，模块化陈列）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728,000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39,351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仅为常规装修预算的 20%；利用既有结构与照明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蒙特雷仓库货架与设备（全部二手）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37,838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二手横梁货架、二手叉车与托盘车，约为新品 40%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ERP＋WMS（云端订阅制，与合作方仓库对账）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37,838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轻量 SaaS，不自建、不上重型 ERP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三大平台开发（官网／B2B 批发／自有品牌 D2C）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1,300,000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70,270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自有 2 人团队为主 + 定向外包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品牌与产品设计、IMPI 商标注册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48,649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设计按项目外包；商标须在发布前递交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公司手册、产品图册＋价目表、代理商资料包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450,000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24,324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中／西／英三语，首批小批量印刷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二手配送车 2 台＋二手办公 IT 设备、家具、POS、监控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27,027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全部二手采购，不为新品付溢价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前 3 个月人力成本（18 人分批到岗）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1,700,000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91,892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4 个月起由经营收入承担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前 3 个月租金（双城）＋运营费用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2,300,000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124,324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蒙特雷争取 3 个月免租期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租赁押金与保证金（双城）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2,900,000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156,757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可回收资产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11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营运资金（应收账款周转；寄售模式下无备货资金）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5,000,000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270,270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仅为账期垫付，占收入 5%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不可预见费（10%）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1,717,800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92,854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—</w:t>
            </w:r>
          </w:p>
        </w:tc>
      </w:tr>
      <w:tr>
        <w:tc>
          <w:tcPr>
            <w:tcW w:type="dxa" w:w="56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  <w:jc w:val="center"/>
            </w:pPr>
            <w:r/>
          </w:p>
        </w:tc>
        <w:tc>
          <w:tcPr>
            <w:tcW w:type="dxa" w:w="3402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总投资金额合计 / 取整</w:t>
            </w:r>
          </w:p>
        </w:tc>
        <w:tc>
          <w:tcPr>
            <w:tcW w:type="dxa" w:w="175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18,895,800 / 19,500,000</w:t>
            </w:r>
          </w:p>
        </w:tc>
        <w:tc>
          <w:tcPr>
            <w:tcW w:type="dxa" w:w="136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1,021,395 / 1,054,054</w:t>
            </w:r>
          </w:p>
        </w:tc>
        <w:tc>
          <w:tcPr>
            <w:tcW w:type="dxa" w:w="3005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第 4 个月起全部扩张支出由经营收入内生</w:t>
            </w:r>
          </w:p>
        </w:tc>
      </w:tr>
    </w:tbl>
    <w:p>
      <w:pPr>
        <w:spacing w:before="0" w:after="0" w:line="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60" w:lineRule="auto" w:line="264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注：实体设立、RFC、IMMEX、NOM 认证、清关与进出口许可等合规启动支出，不计入本项目投资预算，由集团层面单独承担。其余合规执行工作仍按第 09 节「开业前必须完成的五项前置事项」的时间要求推进，不因预算归属而延后。</w:t>
      </w:r>
    </w:p>
    <w:p>
      <w:pPr>
        <w:spacing w:before="0" w:after="0" w:line="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3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178183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d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781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3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209603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l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2096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keepNext/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7"/>
        </w:rPr>
        <w:t>双城租金模型（首年实付 635 万比索，仅占收入 6.4%）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304"/>
        <w:gridCol w:w="1361"/>
        <w:gridCol w:w="1417"/>
        <w:gridCol w:w="1701"/>
        <w:gridCol w:w="1701"/>
      </w:tblGrid>
      <w:tr>
        <w:trPr>
          <w:tblHeader w:val="true"/>
        </w:trPr>
        <w:tc>
          <w:tcPr>
            <w:tcW w:type="dxa" w:w="260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场地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面积（㎡）</w:t>
            </w:r>
          </w:p>
        </w:tc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美元/㎡/月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月租（美元）</w:t>
            </w:r>
          </w:p>
        </w:tc>
        <w:tc>
          <w:tcPr>
            <w:tcW w:type="dxa" w:w="170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月租（比索）</w:t>
            </w:r>
          </w:p>
        </w:tc>
        <w:tc>
          <w:tcPr>
            <w:tcW w:type="dxa" w:w="170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年租（比索）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墨西哥城：展厅＋集团总部办公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14.00＋CAM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11,600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214,600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2,575,200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蒙特雷：展厅＋办公（500 坪）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1,653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9.00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14,877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275,225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3,302,694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蒙特雷：仓库（1,000 坪）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3,306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7.00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23,142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428,127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5,137,524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蒙特雷：物业管理费 CAM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4,959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0.55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2,727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50,455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605,455</w:t>
            </w:r>
          </w:p>
        </w:tc>
      </w:tr>
      <w:tr>
        <w:tc>
          <w:tcPr>
            <w:tcW w:type="dxa" w:w="2608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双城满编运行合计</w:t>
            </w:r>
          </w:p>
        </w:tc>
        <w:tc>
          <w:tcPr>
            <w:tcW w:type="dxa" w:w="130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5,759</w:t>
            </w:r>
          </w:p>
        </w:tc>
        <w:tc>
          <w:tcPr>
            <w:tcW w:type="dxa" w:w="136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—</w:t>
            </w:r>
          </w:p>
        </w:tc>
        <w:tc>
          <w:tcPr>
            <w:tcW w:type="dxa" w:w="141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52,346</w:t>
            </w:r>
          </w:p>
        </w:tc>
        <w:tc>
          <w:tcPr>
            <w:tcW w:type="dxa" w:w="170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968,407</w:t>
            </w:r>
          </w:p>
        </w:tc>
        <w:tc>
          <w:tcPr>
            <w:tcW w:type="dxa" w:w="170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11,620,873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120" w:lineRule="auto" w:line="269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关键节省与谈判要点：寄售货源存放于合作方墨西哥城既有仓库，CLG 在墨城无需自建大仓，仅保留 800㎡ 展厅与总部办公——相较自租 5,000㎡ 仓库每年直接节省约 700 万比索。蒙特雷工业地产 2026 年一季度空置率 7.5%、报价 7.00 美元/㎡/月（Colliers），应争取 3–5 年期、3 个月免租期并将年涨幅锁定于美元 CPI 或 3%；展厅须取 flex／工业型空间而非甲级写字楼（甲级报价达 18.88 美元/㎡/月，Solili 2026年6月），选错每年多支出约 19.5 万美元。首年实付 635 万比索，仅占收入 6.4%，第二年约 4.6%、第三年约 3.3%——收入上调而场地不变，租金占比直接减半，这是利润率跃升最直接的来源。</w:t>
      </w:r>
    </w:p>
    <w:p>
      <w:pPr>
        <w:spacing w:before="0" w:after="0" w:line="12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5386"/>
        <w:gridCol w:w="1531"/>
        <w:gridCol w:w="1701"/>
      </w:tblGrid>
      <w:tr>
        <w:trPr>
          <w:tblHeader w:val="true"/>
        </w:trPr>
        <w:tc>
          <w:tcPr>
            <w:tcW w:type="dxa" w:w="147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期间</w:t>
            </w:r>
          </w:p>
        </w:tc>
        <w:tc>
          <w:tcPr>
            <w:tcW w:type="dxa" w:w="5386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 4 个月起的内生再投资（不再需要追加股权融资）</w:t>
            </w:r>
          </w:p>
        </w:tc>
        <w:tc>
          <w:tcPr>
            <w:tcW w:type="dxa" w:w="15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金额（比索）</w:t>
            </w:r>
          </w:p>
        </w:tc>
        <w:tc>
          <w:tcPr>
            <w:tcW w:type="dxa" w:w="170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资金来源</w:t>
            </w:r>
          </w:p>
        </w:tc>
      </w:tr>
      <w:tr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4–6 个月</w:t>
            </w:r>
          </w:p>
        </w:tc>
        <w:tc>
          <w:tcPr>
            <w:tcW w:type="dxa" w:w="538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自有品牌首批量产订金、平台 V1.0 迭代、SKU 摄影与素材库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约 3,500,000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经营现金流</w:t>
            </w:r>
          </w:p>
        </w:tc>
      </w:tr>
      <w:tr>
        <w:tc>
          <w:tcPr>
            <w:tcW w:type="dxa" w:w="147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7–12 个月</w:t>
            </w:r>
          </w:p>
        </w:tc>
        <w:tc>
          <w:tcPr>
            <w:tcW w:type="dxa" w:w="5386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SKU 品类扩展、市场推广加码、代理商体系铺开（60 家）、第三城前置筹备、平台 V2.0</w:t>
            </w:r>
          </w:p>
        </w:tc>
        <w:tc>
          <w:tcPr>
            <w:tcW w:type="dxa" w:w="15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约 9,000,000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经营现金流</w:t>
            </w:r>
          </w:p>
        </w:tc>
      </w:tr>
      <w:tr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第二年全年</w:t>
            </w:r>
          </w:p>
        </w:tc>
        <w:tc>
          <w:tcPr>
            <w:tcW w:type="dxa" w:w="538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两座新城铺设、自有品牌品类扩展、代理商扩至 180 家、团队扩编至 38 人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约 25,000,000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2" w:after="1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经营现金流</w:t>
            </w:r>
          </w:p>
        </w:tc>
      </w:tr>
    </w:tbl>
    <w:p>
      <w:pPr>
        <w:spacing w:before="0" w:after="0" w:line="12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08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五年纳斯达克上市路径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THE NASDAQ PATH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4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4"/>
        </w:rPr>
        <w:t>（1）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>按本版口径，第五年 CLG 目标营业收入约 8,430 万美元（15.6 亿比索）、净利率约 13%（净利润约 1,096 万美元）、自有品牌占收入 50% 以上——税前利润远超纳斯达克全球市场（Nasdaq Global Market）收益标准所要求的 100 万美元，并可同时满足股东权益 1,500 万美元、公众持股市值 800 万美元、400 名整手股东与股价 4 美元等各项门槛。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4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4"/>
        </w:rPr>
        <w:t>（2）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>可比公司框架：拉美及新兴市场纯分销企业的交易倍数约为 0.4–0.9 倍 EV/Revenue 与 14–20 倍 P/E，而拥有自有渠道的品牌消费品公司为 1.5–3.0 倍 EV/Revenue 与 20–28 倍 P/E；鉴于 CLG 届时自有品牌占比约 50%、毛利率 43% 左右、三年复合增速约 45%，可辩护的定价基准为 1.8 倍 EV/Revenue 或 22 倍 P/E。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4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4"/>
        </w:rPr>
        <w:t>（3）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>据此隐含企业价值按收入倍数约 1.52 亿美元、按盈利倍数约 2.41 亿美元，即 1.5 亿–2.4 亿美元（28–44 亿比索）的可信上市区间，相当于对总投资 105 万美元 145–230 倍的回报；三项不可妥协的前提：自第一年起由四大或 PCAOB 注册所出具 US GAAP／IFRS 审计报告、即刻搭建开曼或特拉华控股公司之于墨西哥 S.A. de C.V. 的离岸架构、自第一天建立符合 SOX 的内控与常设资料室。</w:t>
      </w:r>
    </w:p>
    <w:p>
      <w:pPr>
        <w:spacing w:before="0" w:after="0" w:line="10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09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keepNext/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主要风险、对策与投资人监控看板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RISKS &amp; KPI DASHBOARD</w:t>
            </w:r>
          </w:p>
        </w:tc>
      </w:tr>
    </w:tbl>
    <w:p>
      <w:pPr>
        <w:keepNext/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1361"/>
        <w:gridCol w:w="5783"/>
      </w:tblGrid>
      <w:tr>
        <w:trPr>
          <w:tblHeader w:val="true"/>
        </w:trPr>
        <w:tc>
          <w:tcPr>
            <w:tcW w:type="dxa" w:w="294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敞口</w:t>
            </w:r>
          </w:p>
        </w:tc>
        <w:tc>
          <w:tcPr>
            <w:tcW w:type="dxa" w:w="5783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对策（与 CLG 实际结构挂钩）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合作方供货依赖　2 亿比索寄售货源由合作方单一供给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首年收入 7,920 万比索</w:t>
            </w:r>
          </w:p>
        </w:tc>
        <w:tc>
          <w:tcPr>
            <w:tcW w:type="dxa" w:w="57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以合同而非资金对冲：书面寄售协议明确墨西哥独家经销权、最低供货承诺与品类清单、结算价与调价机制、账期与对账规则、不少于 3 年期限及终止过渡安排；ERP 与合作方仓库实时对账；保留中国直采备份通道与集团自有物流，可在 45 天内以正常进口补位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库存资金与滞销风险　自购模式下本为最大风险项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已基本消除</w:t>
            </w:r>
          </w:p>
        </w:tc>
        <w:tc>
          <w:tcPr>
            <w:tcW w:type="dxa" w:w="578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寄售模式下 CLG 不垫付采购款、不持有库存所有权：资金占用为零、滞销跌价由合作方承担、进口汇率波动不影响 CLG 成本。CLG 仅承担销售与保管责任（投保保管人责任险，年费约 15–25 万比索）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物流与海关风险　亚洲原产消费品在墨西哥太平洋港口查验趋严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已大幅降低</w:t>
            </w:r>
          </w:p>
        </w:tc>
        <w:tc>
          <w:tcPr>
            <w:tcW w:type="dxa" w:w="57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货物经「中国→美国→墨西哥」路径，由集团自有物流公司全程承运：在美国完成集拼、分批与文件预审，再经新拉雷多陆路口岸入墨、2 小时直达蒙特雷仓库，规避对亚洲直航货的最严查验与港口拥堵；陆运段短、路线固定，货损与失窃风险同步下降，并带来 8–12% 的永久性到岸成本优势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B2B 应收账款风险　正规客户要求 30–60 天账期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首年计提 120 万；第三年敞口约 1,560 万</w:t>
            </w:r>
          </w:p>
        </w:tc>
        <w:tc>
          <w:tcPr>
            <w:tcW w:type="dxa" w:w="578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分层授信：一级客户（墨城高周转买家，约占 B2B 收入 55%）一律现金／SPEI，零信用风险；二级正规中小企业 30 天并取本票＋个人担保；三级工业大客户 60 天并投保信用险或反向保理；10 万比索以上强制征信；大额应收经 NAFIN 无追索保理 48 小时变现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关键人与人手风险　18 人编制下总经理一人统管两城并全责 IT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执行高度集中；第三年贸易毛利率递减</w:t>
            </w:r>
          </w:p>
        </w:tc>
        <w:tc>
          <w:tcPr>
            <w:tcW w:type="dxa" w:w="57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8" w:after="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窗口即战略：用 18 个月锁定 440 家带独家条款与最低采购量的代理商；自有品牌为永久护城河，第三年 42% 毛利来自自有知识产权；关键流程固化于 ERP 与书面 SOP，设计、法务、报关、配送均有外部合作方即时补位；总经理层面以书面接班安排、期权池、关键人寿险与第 12 个月增设副手缓释</w:t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794"/>
        <w:gridCol w:w="794"/>
        <w:gridCol w:w="794"/>
        <w:gridCol w:w="2041"/>
        <w:gridCol w:w="850"/>
        <w:gridCol w:w="907"/>
        <w:gridCol w:w="907"/>
      </w:tblGrid>
      <w:tr>
        <w:trPr>
          <w:tblHeader w:val="true"/>
        </w:trPr>
        <w:tc>
          <w:tcPr>
            <w:tcW w:type="dxa" w:w="187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  <w:tc>
          <w:tcPr>
            <w:tcW w:type="dxa" w:w="204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850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90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90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</w:tr>
      <w:tr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活跃 B2B 客户数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360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1,040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2,300</w:t>
            </w:r>
          </w:p>
        </w:tc>
        <w:tc>
          <w:tcPr>
            <w:tcW w:type="dxa" w:w="204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寄售货源累计去化率</w:t>
            </w:r>
          </w:p>
        </w:tc>
        <w:tc>
          <w:tcPr>
            <w:tcW w:type="dxa" w:w="85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23%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81%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100%→转常规补货</w:t>
            </w:r>
          </w:p>
        </w:tc>
      </w:tr>
      <w:tr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代理商数量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60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180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440</w:t>
            </w:r>
          </w:p>
        </w:tc>
        <w:tc>
          <w:tcPr>
            <w:tcW w:type="dxa" w:w="204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兼职销售代表（提成制）</w:t>
            </w:r>
          </w:p>
        </w:tc>
        <w:tc>
          <w:tcPr>
            <w:tcW w:type="dxa" w:w="85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80</w:t>
            </w:r>
          </w:p>
        </w:tc>
        <w:tc>
          <w:tcPr>
            <w:tcW w:type="dxa" w:w="90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220</w:t>
            </w:r>
          </w:p>
        </w:tc>
        <w:tc>
          <w:tcPr>
            <w:tcW w:type="dxa" w:w="90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500</w:t>
            </w:r>
          </w:p>
        </w:tc>
      </w:tr>
      <w:tr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应收账款周转天数 DSO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≤42 天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≤50 天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≤55 天</w:t>
            </w:r>
          </w:p>
        </w:tc>
        <w:tc>
          <w:tcPr>
            <w:tcW w:type="dxa" w:w="204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全职编制 / 人均产出</w:t>
            </w:r>
          </w:p>
        </w:tc>
        <w:tc>
          <w:tcPr>
            <w:tcW w:type="dxa" w:w="85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18 / 5.50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38 / 6.63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72 / 7.08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开业前必须完成的五项前置事项（缺一即无法营业）</w:t>
            </w:r>
          </w:p>
          <w:p>
            <w:pPr>
              <w:spacing w:before="0" w:after="24" w:line="252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① 寄售合作协议（首要）：墨西哥独家经销、最低供货承诺与品类清单、结算价与调价机制、账期与对账规则、保管责任与保险归属、不少于 3 年期限及终止过渡安排。此协议是全部财务预测的法律基础，须先于一切支出完成签署。</w:t>
            </w:r>
          </w:p>
          <w:p>
            <w:pPr>
              <w:spacing w:before="0" w:after="24" w:line="252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② S.A. de C.V. 实体、外资登记 RNIE、RFC、e.firma、数字签章 CSD 及 PAC 对接，并具备开具 CFDI 4.0 与货运 Carta Porte 附件的能力——否则无法向任何正规企业客户销售，蒙特雷工业客户论证即不成立。预留 6–10 周。</w:t>
            </w:r>
          </w:p>
          <w:p>
            <w:pPr>
              <w:spacing w:before="0" w:after="24" w:line="252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③ 进口商名录（Padrón de Importadores）及服装纺织类特定行业名录；自有品牌与补货经美国通道入墨，须同步完成美墨两端报关主体与文件体系；消费品关税 0–35%，另有 16% 增值税形成现金垫付（已计入营运资金）。</w:t>
            </w:r>
          </w:p>
          <w:p>
            <w:pPr>
              <w:spacing w:before="0" w:after="24" w:line="252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④ NOM 强制认证与标签：NOM-050-SCFI 适用于生活用品、厨房、服装、文具、礼品；服装另需 NOM-004-SCFI；劳保品类风险最高，工业客户采购前必索取符合性证书。须对寄售库存做 NOM-050 合规审计——若无西语标签，返工成本承担方须在寄售协议中事先约定。</w:t>
            </w:r>
          </w:p>
          <w:p>
            <w:pPr>
              <w:spacing w:before="0" w:after="50" w:line="252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⑤ IMPI 商标先行注册（墨西哥为申请在先制，须在首份图册印刷前完成两个品牌全部相关尼斯类别的递交）；ERP／WMS 须先于三大平台上线并与合作方仓库实时对账；关联交易须按独立交易原则定价并出具转让定价报告，否则美国审计师不予签字。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822" w:right="907" w:bottom="680" w:left="90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single" w:sz="6" w:space="0" w:color="C9D1DA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8504"/>
      <w:gridCol w:w="1587"/>
    </w:tblGrid>
    <w:tr>
      <w:tc>
        <w:tcPr>
          <w:tcW w:type="dxa" w:w="8504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40" w:after="0"/>
          </w:pPr>
          <w:r/>
          <w:r>
            <w:rPr>
              <w:rFonts w:ascii="Calibri" w:hAnsi="Calibri" w:eastAsia="Microsoft YaHei"/>
              <w:b w:val="0"/>
              <w:i w:val="0"/>
              <w:color w:val="5A6472"/>
              <w:sz w:val="14"/>
            </w:rPr>
            <w:t>CLG GROUP · MEXICO  |  墨西哥商业计划书  |  本文件含商业机密，未经书面许可不得复制或转发</w:t>
          </w:r>
        </w:p>
      </w:tc>
      <w:tc>
        <w:tcPr>
          <w:tcW w:type="dxa" w:w="1587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40" w:after="0"/>
            <w:jc w:val="right"/>
          </w:pPr>
          <w:r/>
          <w:r>
            <w:rPr>
              <w:rFonts w:ascii="Calibri" w:hAnsi="Calibri" w:eastAsia="Microsoft YaHei"/>
              <w:b w:val="0"/>
              <w:i w:val="0"/>
              <w:color w:val="5A6472"/>
              <w:sz w:val="15"/>
            </w:rPr>
            <w:t xml:space="preserve">第 </w:t>
          </w:r>
          <w:r>
            <w:rPr>
              <w:rFonts w:ascii="Calibri" w:hAnsi="Calibri" w:eastAsia="Microsoft YaHei"/>
              <w:b w:val="0"/>
              <w:i w:val="0"/>
              <w:color w:val="0B2545"/>
              <w:sz w:val="15"/>
            </w:rPr>
            <w:fldChar w:fldCharType="begin"/>
            <w:instrText xml:space="preserve"> PAGE </w:instrText>
            <w:fldChar w:fldCharType="end"/>
          </w:r>
          <w:r>
            <w:rPr>
              <w:rFonts w:ascii="Calibri" w:hAnsi="Calibri" w:eastAsia="Microsoft YaHei"/>
              <w:b w:val="0"/>
              <w:i w:val="0"/>
              <w:color w:val="5A6472"/>
              <w:sz w:val="15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nil"/>
        <w:left w:val="nil"/>
        <w:bottom w:val="single" w:sz="6" w:space="0" w:color="B08D3F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6236"/>
      <w:gridCol w:w="3855"/>
    </w:tblGrid>
    <w:tr>
      <w:tc>
        <w:tcPr>
          <w:tcW w:type="dxa" w:w="6236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30"/>
          </w:pPr>
          <w:r/>
          <w:r>
            <w:rPr>
              <w:rFonts w:ascii="Calibri" w:hAnsi="Calibri" w:eastAsia="Microsoft YaHei"/>
              <w:b/>
              <w:i w:val="0"/>
              <w:color w:val="0B2545"/>
              <w:sz w:val="15"/>
            </w:rPr>
            <w:t>CLG 集团  |  墨西哥商业计划书</w:t>
          </w:r>
        </w:p>
      </w:tc>
      <w:tc>
        <w:tcPr>
          <w:tcW w:type="dxa" w:w="385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30"/>
            <w:jc w:val="right"/>
          </w:pPr>
          <w:r/>
          <w:r>
            <w:rPr>
              <w:rFonts w:ascii="Calibri" w:hAnsi="Calibri" w:eastAsia="Microsoft YaHei"/>
              <w:b w:val="0"/>
              <w:i w:val="0"/>
              <w:color w:val="5A6472"/>
              <w:sz w:val="15"/>
            </w:rPr>
            <w:t>编制人：总经理 John Kim  ·  2026年9月  ·  严格保密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CLG 集团 · 墨西哥商业计划书</dc:title>
  <dc:subject>极致轻资产 · 寄售零库存 · 自有品牌长期化</dc:subject>
  <dc:creator>John Kim</dc:creator>
  <cp:keywords/>
  <dc:description>编制人：总经理 John Kim</dc:description>
  <cp:lastModifiedBy>John Kim</cp:lastModifiedBy>
  <cp:revision>1</cp:revision>
  <dcterms:created xsi:type="dcterms:W3CDTF">2013-12-23T23:15:00Z</dcterms:created>
  <dcterms:modified xsi:type="dcterms:W3CDTF">2013-12-23T23:15:00Z</dcterms:modified>
  <cp:category/>
</cp:coreProperties>
</file>