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shd w:val="clear" w:color="auto" w:fill="0B2545"/>
            <w:tcMar>
              <w:top w:w="140" w:type="dxa"/>
              <w:left w:w="220" w:type="dxa"/>
              <w:bottom w:w="120" w:type="dxa"/>
              <w:right w:w="180" w:type="dxa"/>
            </w:tcMar>
          </w:tcPr>
          <w:p>
            <w:pPr>
              <w:spacing w:after="20"/>
            </w:pPr>
            <w:r/>
            <w:r>
              <w:rPr>
                <w:rFonts w:ascii="Calibri" w:hAnsi="Calibri" w:eastAsia="Microsoft YaHei"/>
                <w:b/>
                <w:i w:val="0"/>
                <w:color w:val="B08D3F"/>
                <w:sz w:val="16"/>
              </w:rPr>
              <w:t>CLG GROUP  ·  MEXICO</w:t>
            </w:r>
          </w:p>
          <w:p>
            <w:pPr>
              <w:spacing w:after="40"/>
            </w:pPr>
            <w:r>
              <w:rPr>
                <w:rFonts w:ascii="Calibri" w:hAnsi="Calibri" w:eastAsia="Microsoft YaHei"/>
                <w:b/>
                <w:i w:val="0"/>
                <w:color w:val="FFFFFF"/>
                <w:sz w:val="42"/>
              </w:rPr>
              <w:t>墨西哥市场商业计划书</w:t>
            </w:r>
          </w:p>
          <w:p>
            <w:pPr>
              <w:spacing w:after="60"/>
            </w:pPr>
            <w:r>
              <w:rPr>
                <w:rFonts w:ascii="Calibri" w:hAnsi="Calibri" w:eastAsia="Microsoft YaHei"/>
                <w:b w:val="0"/>
                <w:i w:val="0"/>
                <w:color w:val="CFD7E3"/>
                <w:sz w:val="21"/>
              </w:rPr>
              <w:t>双城起步 · 全国批发网络 · 自有品牌战略</w:t>
            </w:r>
          </w:p>
          <w:p>
            <w:pPr>
              <w:spacing w:after="0"/>
            </w:pPr>
            <w:r>
              <w:rPr>
                <w:rFonts w:ascii="Calibri" w:hAnsi="Calibri" w:eastAsia="Microsoft YaHei"/>
                <w:b w:val="0"/>
                <w:i w:val="0"/>
                <w:color w:val="B08D3F"/>
                <w:sz w:val="16"/>
              </w:rPr>
              <w:t>墨西哥城 CDMX  ×  蒙特雷 MONTERREY    |    融资需求 400 万美元    |    2026年9月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9"/>
        </w:rPr>
        <w:t>投 资 要 点   INVESTMENT HIGHLIGHTS</w:t>
      </w:r>
    </w:p>
    <w:p>
      <w:pPr>
        <w:pBdr>
          <w:bottom w:val="single" w:sz="10" w:space="2" w:color="B08D3F"/>
        </w:pBdr>
        <w:spacing w:before="20" w:after="80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8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8"/>
        </w:rPr>
        <w:t>01  结构性成本优势，本地无对手</w:t>
      </w:r>
      <w:r>
        <w:rPr>
          <w:rFonts w:ascii="Calibri" w:hAnsi="Calibri" w:eastAsia="Microsoft YaHei"/>
          <w:b w:val="0"/>
          <w:i w:val="0"/>
          <w:color w:val="1A1A1A"/>
          <w:sz w:val="18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8"/>
        </w:rPr>
      </w:r>
    </w:p>
    <w:p>
      <w:pPr>
        <w:spacing w:before="0" w:after="90" w:lineRule="auto" w:line="276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6"/>
        </w:rPr>
        <w:t>集团已在墨西哥城仓库锁定 2 亿比索（约 1,080 万美元）低价实物库存，取得成本仅为正常到岸重置成本的 25–32%；并自有贯通中国—美国—墨西哥的物流公司，形成 8–12% 的永久性到岸成本优势。CLG 可将售价定在市场价以下 15–20%，仍实现 50% 毛利率——同业按正常 FOB 加运费、关税与 16% 增值税采购，毛利率天花板仅 20–25%。第一年 74% 的营业收入由已付款库存产生，几乎不占用新增采购现金。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8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8"/>
        </w:rPr>
        <w:t>02  双城互补：墨城做量，蒙特雷做利</w:t>
      </w:r>
      <w:r>
        <w:rPr>
          <w:rFonts w:ascii="Calibri" w:hAnsi="Calibri" w:eastAsia="Microsoft YaHei"/>
          <w:b w:val="0"/>
          <w:i w:val="0"/>
          <w:color w:val="1A1A1A"/>
          <w:sz w:val="18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8"/>
        </w:rPr>
      </w:r>
    </w:p>
    <w:p>
      <w:pPr>
        <w:spacing w:before="0" w:after="90" w:lineRule="auto" w:line="276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6"/>
        </w:rPr>
        <w:t>墨西哥城依托美洲最大批发枢纽（Central de Abastos / Tepito 商圈），以高周转、现金交易快速变现库存，并承担全国再分拨与电商履约；蒙特雷依托新莱昂州 14,000 余家制造企业，以 CFDI 4.0 正规电子发票与 30–60 天账期服务正规工业客户，获取可续约的高毛利劳保合同，同时成为北部各州及美墨边境扩张的桥头堡。贸易业务供养建设，自有品牌塑造估值。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8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8"/>
        </w:rPr>
        <w:t>03  三年 EBITDA 达融资额 2 倍，五年纳斯达克</w:t>
      </w:r>
      <w:r>
        <w:rPr>
          <w:rFonts w:ascii="Calibri" w:hAnsi="Calibri" w:eastAsia="Microsoft YaHei"/>
          <w:b w:val="0"/>
          <w:i w:val="0"/>
          <w:color w:val="1A1A1A"/>
          <w:sz w:val="18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8"/>
        </w:rPr>
      </w:r>
    </w:p>
    <w:p>
      <w:pPr>
        <w:spacing w:before="0" w:after="90" w:lineRule="auto" w:line="276"/>
        <w:ind w:left="181"/>
        <w:jc w:val="both"/>
      </w:pPr>
      <w:r>
        <w:rPr>
          <w:rFonts w:ascii="Calibri" w:hAnsi="Calibri" w:eastAsia="Microsoft YaHei"/>
          <w:b w:val="0"/>
          <w:i w:val="0"/>
          <w:color w:val="33404F"/>
          <w:sz w:val="16"/>
        </w:rPr>
        <w:t>在 1,080 万美元实物出资之上仅需 400 万美元现金融资（占总资本化的 27%）；第三年 EBITDA 达 1.445 亿比索（780 万美元），为融资总额的 2.0 倍，三年累计净利润 1.252 亿比索为融资额的 1.7 倍，36 个月内完成现金回收。自有品牌收入占比由 9% 提升至 32%，毛利贡献占比达 42%，完成由「分销商」向「品牌商」的估值重构。</w:t>
      </w:r>
    </w:p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4" w:space="0" w:color="C9D1DA"/>
          <w:left w:val="single" w:sz="4" w:space="0" w:color="C9D1DA"/>
          <w:bottom w:val="single" w:sz="4" w:space="0" w:color="C9D1DA"/>
          <w:right w:val="single" w:sz="4" w:space="0" w:color="C9D1DA"/>
          <w:insideH w:val="nil"/>
          <w:insideV w:val="single" w:sz="4" w:space="0" w:color="C9D1DA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2.0亿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已锁定库存（比索）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50.1%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首年综合毛利率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62人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双城人员编制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1.445亿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第三年 EBITDA（比索）</w:t>
            </w:r>
          </w:p>
        </w:tc>
        <w:tc>
          <w:tcPr>
            <w:tcW w:type="dxa" w:w="2018"/>
            <w:shd w:val="clear" w:color="auto" w:fill="F2F4F7"/>
            <w:tcMar>
              <w:top w:w="10" w:type="dxa"/>
              <w:left w:w="30" w:type="dxa"/>
              <w:bottom w:w="10" w:type="dxa"/>
              <w:right w:w="30" w:type="dxa"/>
            </w:tcMar>
          </w:tcPr>
          <w:p>
            <w:pPr>
              <w:spacing w:before="60" w:after="0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6"/>
              </w:rPr>
              <w:t>2.5–3.7亿</w:t>
            </w:r>
          </w:p>
          <w:p>
            <w:pPr>
              <w:spacing w:before="0" w:after="60"/>
              <w:jc w:val="center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4"/>
              </w:rPr>
              <w:t>五年上市估值（美元）</w:t>
            </w:r>
          </w:p>
        </w:tc>
      </w:tr>
    </w:tbl>
    <w:p>
      <w:pPr>
        <w:spacing w:before="0" w:after="0" w:line="1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9"/>
        </w:rPr>
        <w:t>核 心 财 务 速 览   FINANCIAL SUMMARY</w:t>
      </w:r>
    </w:p>
    <w:p>
      <w:pPr>
        <w:pBdr>
          <w:bottom w:val="single" w:sz="10" w:space="2" w:color="B08D3F"/>
        </w:pBdr>
        <w:spacing w:before="20" w:after="80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729"/>
        <w:gridCol w:w="1729"/>
        <w:gridCol w:w="1729"/>
        <w:gridCol w:w="1729"/>
      </w:tblGrid>
      <w:tr>
        <w:trPr>
          <w:tblHeader w:val="true"/>
        </w:trPr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财务指标（单位：百万比索）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72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三年累计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营业收入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165.0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420.0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850.0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1,435.0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收入增长率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—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+154.5%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+102.4%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CAGR 127%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毛利润 / 毛利率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82.7 / 50.1%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201.6 / 48.0%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399.5 / 47.0%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683.8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EBITDA / EBITDA 率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15.9 / 9.7%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63.0 / 15.0%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144.5 / 17.0%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223.4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净利润 / 净利率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5.9 / 3.6%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34.3 / 8.2%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85.0 / 10.0%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125.2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自有品牌收入占比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9%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20%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32%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毛利贡献 42%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覆盖城市 / 代理商数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 / 60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5 / 220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10 / 550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全国网络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人员编制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62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168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340</w:t>
            </w:r>
          </w:p>
        </w:tc>
        <w:tc>
          <w:tcPr>
            <w:tcW w:type="dxa" w:w="172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—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库存周转率 / 去化率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0.48× / 30%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1.4× / 68%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2.5× / 92%</w:t>
            </w:r>
          </w:p>
        </w:tc>
        <w:tc>
          <w:tcPr>
            <w:tcW w:type="dxa" w:w="172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6"/>
              </w:rPr>
              <w:t>2亿库存基本变现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83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注：汇率按 1 美元 = 18.50 比索测算，未做通胀指数化。第一年 EBITDA 于第二季度转正、净利润于第三季度转正；第一季度亏损系蒙特雷建设支出先于蒙特雷收入发生，属可解释的 J 曲线。首年分季度损益详见第 4 页。</w:t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市场机会与双城战略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MARKET OPPORTUNITY &amp; TWO-CITY STRATEGY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6"/>
        <w:jc w:val="both"/>
      </w:pPr>
      <w:r>
        <w:rPr>
          <w:rFonts w:ascii="Calibri" w:hAnsi="Calibri" w:eastAsia="Microsoft YaHei"/>
          <w:b w:val="0"/>
          <w:i w:val="0"/>
          <w:color w:val="1A1A1A"/>
          <w:sz w:val="16"/>
        </w:rPr>
        <w:t>墨西哥批发贸易业 2023 年营业收入达 9.71 万亿比索（INEGI 年度商业调查），同比增长 4.8%。CLG 聚焦的六大品类全国批发规模约 5,200 亿比索（281 亿美元）。CLG 无需创造市场，只需在自身可服务细分中取得不足 1% 的份额，即可完成三年规划——这是风险最低的一种商业叙事。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417"/>
        <w:gridCol w:w="4309"/>
        <w:gridCol w:w="1531"/>
        <w:gridCol w:w="1417"/>
        <w:gridCol w:w="1417"/>
      </w:tblGrid>
      <w:tr>
        <w:trPr>
          <w:tblHeader w:val="true"/>
        </w:trPr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市场层级</w:t>
            </w:r>
          </w:p>
        </w:tc>
        <w:tc>
          <w:tcPr>
            <w:tcW w:type="dxa" w:w="430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口径定义</w:t>
            </w:r>
          </w:p>
        </w:tc>
        <w:tc>
          <w:tcPr>
            <w:tcW w:type="dxa" w:w="153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规模（美元）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CLG 份额</w:t>
            </w:r>
          </w:p>
        </w:tc>
      </w:tr>
      <w:tr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TAM 总体市场</w:t>
            </w:r>
          </w:p>
        </w:tc>
        <w:tc>
          <w:tcPr>
            <w:tcW w:type="dxa" w:w="430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全国六大品类批发总值（估算，基于 INEGI 分行业收入与进口统计三角测算）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5,200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281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</w:tr>
      <w:tr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SAM 可服务市场</w:t>
            </w:r>
          </w:p>
        </w:tc>
        <w:tc>
          <w:tcPr>
            <w:tcW w:type="dxa" w:w="430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双城都会区（墨城 2,200万人 + 蒙特雷 550万人）占全国批发吞吐约 32%，其中亚洲进口高性价比细分约 35%</w:t>
            </w:r>
          </w:p>
        </w:tc>
        <w:tc>
          <w:tcPr>
            <w:tcW w:type="dxa" w:w="153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583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31.5 亿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</w:tr>
      <w:tr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SOM 可获得份额</w:t>
            </w:r>
          </w:p>
        </w:tc>
        <w:tc>
          <w:tcPr>
            <w:tcW w:type="dxa" w:w="430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第一年 1.65 亿 / 第二年 4.20 亿 / 第三年 8.50 亿比索</w:t>
            </w:r>
          </w:p>
        </w:tc>
        <w:tc>
          <w:tcPr>
            <w:tcW w:type="dxa" w:w="153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8.50 亿（Y3）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0.46 亿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Y1 0.28% → Y3 0.89%</w:t>
            </w:r>
          </w:p>
        </w:tc>
      </w:tr>
    </w:tbl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墨西哥城 CDMX —— 量 ( 现金引擎 )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伊斯塔帕拉帕 Central de Abastos：美洲最大批发市场，占地约 328 公顷、日均人流 9 万人次、年商流约 90 亿美元，为全国价格定价节点。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Tepito / La Merced / Eje Central 商圈数千家进口再批发商，正是 CLG 六大品类的直接客户而非竞争者——他们按柜采购、全国分拨。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库存与仓储已在当地，零搬迁成本；展厅即将完工，具备开业即销售能力。</w:t>
            </w:r>
          </w:p>
          <w:p>
            <w:pPr>
              <w:spacing w:before="0" w:after="50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客户特征：大批量、价格敏感、现金结算——最适合将 2 亿库存以超高毛利快速变现。</w:t>
            </w:r>
          </w:p>
        </w:tc>
        <w:tc>
          <w:tcPr>
            <w:tcW w:type="dxa" w:w="5046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蒙特雷 MONTERREY —— 利 ( 品质引擎 )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新莱昂州 14,000 余家工业企业（Apodaca、Santa Catarina、Escobedo、Guadalupe 走廊），是墨西哥近岸外包最密集地带，劳保与工装属刚性、可续约的重复性采购。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人均 GDP 为全国均值约 1.6 倍，同一 SKU 毛利率较墨城高 3–6 个百分点。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正规企业客户强制要求 CFDI 4.0 电子发票与账期——这是 Tepito 非正规同业无法提供的结构性壁垒。</w:t>
            </w:r>
          </w:p>
          <w:p>
            <w:pPr>
              <w:spacing w:before="0" w:after="50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· 距新拉雷多陆港 2 小时，是第二、三年进军蒂华纳／华雷斯及美墨跨境业务的天然跳板，与集团自有中美墨物流形成三角枢纽。</w:t>
            </w:r>
          </w:p>
        </w:tc>
      </w:tr>
    </w:tbl>
    <w:p>
      <w:pPr>
        <w:spacing w:before="0" w:after="0" w:line="1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业务板块一：B2B / B2C 批发分销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WHOLESALE DISTRIBUTION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6"/>
        <w:jc w:val="both"/>
      </w:pPr>
      <w:r>
        <w:rPr>
          <w:rFonts w:ascii="Calibri" w:hAnsi="Calibri" w:eastAsia="Microsoft YaHei"/>
          <w:b w:val="0"/>
          <w:i w:val="0"/>
          <w:color w:val="1A1A1A"/>
          <w:sz w:val="16"/>
        </w:rPr>
        <w:t>以六大品类为核心，面向批发商、代理商、工业企业、酒店餐饮与政企采购。定价权来自库存取得成本，而非规模补贴——这是可立即兑现、且竞争对手无法在 18 个月内复制的优势窗口。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438"/>
        <w:gridCol w:w="1077"/>
        <w:gridCol w:w="1644"/>
        <w:gridCol w:w="964"/>
        <w:gridCol w:w="1474"/>
        <w:gridCol w:w="2494"/>
      </w:tblGrid>
      <w:tr>
        <w:trPr>
          <w:tblHeader w:val="true"/>
        </w:trPr>
        <w:tc>
          <w:tcPr>
            <w:tcW w:type="dxa" w:w="243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品类（六大初始业务领域）</w:t>
            </w:r>
          </w:p>
        </w:tc>
        <w:tc>
          <w:tcPr>
            <w:tcW w:type="dxa" w:w="107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收入占比</w:t>
            </w:r>
          </w:p>
        </w:tc>
        <w:tc>
          <w:tcPr>
            <w:tcW w:type="dxa" w:w="164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首年收入（百万比索）</w:t>
            </w:r>
          </w:p>
        </w:tc>
        <w:tc>
          <w:tcPr>
            <w:tcW w:type="dxa" w:w="96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毛利率</w:t>
            </w:r>
          </w:p>
        </w:tc>
        <w:tc>
          <w:tcPr>
            <w:tcW w:type="dxa" w:w="147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毛利（百万比索）</w:t>
            </w:r>
          </w:p>
        </w:tc>
        <w:tc>
          <w:tcPr>
            <w:tcW w:type="dxa" w:w="24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核心利润驱动</w:t>
            </w:r>
          </w:p>
        </w:tc>
      </w:tr>
      <w:tr>
        <w:tc>
          <w:tcPr>
            <w:tcW w:type="dxa" w:w="243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劳保用品 PPE / 工装</w:t>
            </w:r>
          </w:p>
        </w:tc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32%</w:t>
            </w:r>
          </w:p>
        </w:tc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42.2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50%</w:t>
            </w:r>
          </w:p>
        </w:tc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21.1</w:t>
            </w:r>
          </w:p>
        </w:tc>
        <w:tc>
          <w:tcPr>
            <w:tcW w:type="dxa" w:w="24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蒙特雷工业合同，耗材属性、重复采购</w:t>
            </w:r>
          </w:p>
        </w:tc>
      </w:tr>
      <w:tr>
        <w:tc>
          <w:tcPr>
            <w:tcW w:type="dxa" w:w="243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生活用品 Household</w:t>
            </w:r>
          </w:p>
        </w:tc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24%</w:t>
            </w:r>
          </w:p>
        </w:tc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31.7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55%</w:t>
            </w:r>
          </w:p>
        </w:tc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17.4</w:t>
            </w:r>
          </w:p>
        </w:tc>
        <w:tc>
          <w:tcPr>
            <w:tcW w:type="dxa" w:w="24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清仓折扣最深、周转最快</w:t>
            </w:r>
          </w:p>
        </w:tc>
      </w:tr>
      <w:tr>
        <w:tc>
          <w:tcPr>
            <w:tcW w:type="dxa" w:w="243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厨房用品 Kitchenware</w:t>
            </w:r>
          </w:p>
        </w:tc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14%</w:t>
            </w:r>
          </w:p>
        </w:tc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18.5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54%</w:t>
            </w:r>
          </w:p>
        </w:tc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10.0</w:t>
            </w:r>
          </w:p>
        </w:tc>
        <w:tc>
          <w:tcPr>
            <w:tcW w:type="dxa" w:w="24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酒店餐饮 HORECA + 零售双通道</w:t>
            </w:r>
          </w:p>
        </w:tc>
      </w:tr>
      <w:tr>
        <w:tc>
          <w:tcPr>
            <w:tcW w:type="dxa" w:w="243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服装 Apparel</w:t>
            </w:r>
          </w:p>
        </w:tc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13%</w:t>
            </w:r>
          </w:p>
        </w:tc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17.2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8.9</w:t>
            </w:r>
          </w:p>
        </w:tc>
        <w:tc>
          <w:tcPr>
            <w:tcW w:type="dxa" w:w="24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基础款与工装，无时尚库存风险</w:t>
            </w:r>
          </w:p>
        </w:tc>
      </w:tr>
      <w:tr>
        <w:tc>
          <w:tcPr>
            <w:tcW w:type="dxa" w:w="243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文具 Stationery</w:t>
            </w:r>
          </w:p>
        </w:tc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10%</w:t>
            </w:r>
          </w:p>
        </w:tc>
        <w:tc>
          <w:tcPr>
            <w:tcW w:type="dxa" w:w="164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13.2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48%</w:t>
            </w:r>
          </w:p>
        </w:tc>
        <w:tc>
          <w:tcPr>
            <w:tcW w:type="dxa" w:w="147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6.3</w:t>
            </w:r>
          </w:p>
        </w:tc>
        <w:tc>
          <w:tcPr>
            <w:tcW w:type="dxa" w:w="24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开学季 7–8 月占全年 45% 销量</w:t>
            </w:r>
          </w:p>
        </w:tc>
      </w:tr>
      <w:tr>
        <w:tc>
          <w:tcPr>
            <w:tcW w:type="dxa" w:w="243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礼品 Gifts</w:t>
            </w:r>
          </w:p>
        </w:tc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7%</w:t>
            </w:r>
          </w:p>
        </w:tc>
        <w:tc>
          <w:tcPr>
            <w:tcW w:type="dxa" w:w="164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9.2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58%</w:t>
            </w:r>
          </w:p>
        </w:tc>
        <w:tc>
          <w:tcPr>
            <w:tcW w:type="dxa" w:w="147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5.3</w:t>
            </w:r>
          </w:p>
        </w:tc>
        <w:tc>
          <w:tcPr>
            <w:tcW w:type="dxa" w:w="24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企业定制礼品，加工溢价</w:t>
            </w:r>
          </w:p>
        </w:tc>
      </w:tr>
      <w:tr>
        <w:tc>
          <w:tcPr>
            <w:tcW w:type="dxa" w:w="243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B2B 合计</w:t>
            </w:r>
          </w:p>
        </w:tc>
        <w:tc>
          <w:tcPr>
            <w:tcW w:type="dxa" w:w="107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100%</w:t>
            </w:r>
          </w:p>
        </w:tc>
        <w:tc>
          <w:tcPr>
            <w:tcW w:type="dxa" w:w="164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132.0</w:t>
            </w:r>
          </w:p>
        </w:tc>
        <w:tc>
          <w:tcPr>
            <w:tcW w:type="dxa" w:w="96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52.0%</w:t>
            </w:r>
          </w:p>
        </w:tc>
        <w:tc>
          <w:tcPr>
            <w:tcW w:type="dxa" w:w="147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68.6</w:t>
            </w:r>
          </w:p>
        </w:tc>
        <w:tc>
          <w:tcPr>
            <w:tcW w:type="dxa" w:w="249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另有 B2C／电商 18.0 百万比索，毛利率 45%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76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渠道次序（重要）：第 1 个月即开设 Mercado Libre 与 Amazon MX 官方旗舰店——墨西哥电商由 Mercado Libre 主导，先借平台流量实现零营销费的即时销售，并对数千个 SKU 进行真实价格与需求测试，其数据价值高于销售额本身，直接指导自有品牌选品；自建 D2C 平台随后承接被验证的客户。首年 B2C 收入中约 70% 来自第三方平台、30% 来自自建平台。支付端须在上线前完成 SPEI、OXXO Pay、Mercado Pago、免息分期（MSI）与 BNPL 接入。</w:t>
      </w:r>
    </w:p>
    <w:p>
      <w:pPr>
        <w:spacing w:before="0" w:after="0" w:line="1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业务板块二：自有品牌开发、生产与销售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OWN-BRAND DEVELOPMENT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6"/>
        <w:jc w:val="both"/>
      </w:pPr>
      <w:r>
        <w:rPr>
          <w:rFonts w:ascii="Calibri" w:hAnsi="Calibri" w:eastAsia="Microsoft YaHei"/>
          <w:b w:val="0"/>
          <w:i w:val="0"/>
          <w:color w:val="1A1A1A"/>
          <w:sz w:val="16"/>
        </w:rPr>
        <w:t>自有品牌是集团长期化成长与企业估值的核心资产。依托集团中国制造资源、自有跨境物流与墨西哥 NOM 认证能力，CLG 将同时注册两个品牌——工业／劳保品牌与消费／生活方式品牌（二者定位不可混同）——并在 IMPI 完成多类别商标注册后方启动公开销售。第一年毛利率刻意保守设定为 40%（模具、开发与认证费用计入销货成本），稳态毛利率为 58–65%。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1134"/>
        <w:gridCol w:w="1134"/>
        <w:gridCol w:w="1134"/>
        <w:gridCol w:w="1247"/>
        <w:gridCol w:w="3175"/>
      </w:tblGrid>
      <w:tr>
        <w:trPr>
          <w:tblHeader w:val="true"/>
        </w:trPr>
        <w:tc>
          <w:tcPr>
            <w:tcW w:type="dxa" w:w="226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自有品牌指标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113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第五年目标</w:t>
            </w:r>
          </w:p>
        </w:tc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战略含义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自有品牌收入（百万比索）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15.0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84.0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272.0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1,300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四年 CAGR 约 205%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占集团总收入比重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20%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50%+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估值倍数的首要驱动因子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自有品牌毛利率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40%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55%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62%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65%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模具与认证摊销完毕后爬升</w:t>
            </w:r>
          </w:p>
        </w:tc>
      </w:tr>
      <w:tr>
        <w:tc>
          <w:tcPr>
            <w:tcW w:type="dxa" w:w="226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占集团毛利总额比重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23%</w:t>
            </w:r>
          </w:p>
        </w:tc>
        <w:tc>
          <w:tcPr>
            <w:tcW w:type="dxa" w:w="113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42%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约 60%</w:t>
            </w:r>
          </w:p>
        </w:tc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利润结构由贸易转向品牌</w:t>
            </w:r>
          </w:p>
        </w:tc>
      </w:tr>
      <w:tr>
        <w:tc>
          <w:tcPr>
            <w:tcW w:type="dxa" w:w="226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贸易业务毛利率（递减）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52%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46%</w:t>
            </w:r>
          </w:p>
        </w:tc>
        <w:tc>
          <w:tcPr>
            <w:tcW w:type="dxa" w:w="113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40%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35%</w:t>
            </w:r>
          </w:p>
        </w:tc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清仓库存耗尽后回归常态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76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投资逻辑一句话：「第一、二年，低价库存供养建设；第三至五年，自有品牌供养估值。」纯分销商的国际可比估值为 0.3–0.6 倍 EV/Revenue，而拥有自有渠道的品牌消费品公司为 1.5–3.0 倍。CLG 用自身经营现金流、而非投资人资金完成这一转型——这既是本次融资的理由，也是纳斯达克路径的根基。此外，依托中国制造资源与墨西哥 NOM 认证能力，为 Chedraui、Coppel、City Club、Waldo's 等本地大型零售商提供自有品牌 OEM 代工，是一条毛利高于贸易、资本占用低于自营品牌零售的第二增长曲线（第三年潜在 4,000–6,000 万比索），本计划将其列为上行空间而非基准预测。</w:t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执行路线图：90 天攻坚与首年里程碑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EXECUTION ROADMAP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6"/>
        <w:jc w:val="both"/>
      </w:pPr>
      <w:r>
        <w:rPr>
          <w:rFonts w:ascii="Calibri" w:hAnsi="Calibri" w:eastAsia="Microsoft YaHei"/>
          <w:b w:val="0"/>
          <w:i w:val="0"/>
          <w:color w:val="1A1A1A"/>
          <w:sz w:val="16"/>
        </w:rPr>
        <w:t>三大平台不是并行硬上，而是「以统一 ERP 为底座、90 天内分步交付」。先完成 2 亿比索库存的 SKU 主数据清洗与条码化，再上 ERP／WMS，平台建于其 API 之上——若平台先于库存中台上线，将在第二周即出现超卖并摧毁客户信任。此排序是本计划可行性的关键，也是专业投资人最先核查的执行细节。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77"/>
        <w:gridCol w:w="1304"/>
        <w:gridCol w:w="4649"/>
        <w:gridCol w:w="1247"/>
        <w:gridCol w:w="1814"/>
      </w:tblGrid>
      <w:tr>
        <w:trPr>
          <w:tblHeader w:val="true"/>
        </w:trPr>
        <w:tc>
          <w:tcPr>
            <w:tcW w:type="dxa" w:w="107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阶段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时间</w:t>
            </w:r>
          </w:p>
        </w:tc>
        <w:tc>
          <w:tcPr>
            <w:tcW w:type="dxa" w:w="464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关键交付（并行推进）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责任人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验收标准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攻坚期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1–8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2026.10–11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实体／RFC／e.firma／CFDI 4.0 开票通道；进口商名录与 IMMEX 申报　② 2亿库存 SKU 主数据清洗＋条码化＋NOM-050 合规审计　③ ERP＋WMS 上线　④ 集团官网上线　⑤ 蒙特雷 1,653㎡ 展厅与 3,306㎡ 仓库签约装修　⑥ 自有品牌 Logo／VI／产品设计与中国打样　⑦ IMPI 商标注册递交　⑧ Mercado Libre／Amazon MX 开店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（IT 全责）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 上线、蒙特雷交付、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商标受理、官网上线</w:t>
            </w:r>
          </w:p>
        </w:tc>
      </w:tr>
      <w:tr>
        <w:tc>
          <w:tcPr>
            <w:tcW w:type="dxa" w:w="107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上线期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9–14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2026.12–2027.01</w:t>
            </w:r>
          </w:p>
        </w:tc>
        <w:tc>
          <w:tcPr>
            <w:tcW w:type="dxa" w:w="464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B2B/B2C 批发平台 V1.0 上线（客户分级、阶梯价、授信、下单—对账—开票闭环）　② 自有品牌 D2C 独立站上线　③ 公司介绍手册、产品图册＋分级价目表、代理商合同范本定稿　④ 墨城→蒙特雷首批铺货（约 25% 库存分仓，兼作风险分散）　⑤ 支付通道 SPEI/OXXO/Mercado Pago/MSI 接入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销售总监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平台交易跑通、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手册与合同交付</w:t>
            </w:r>
          </w:p>
        </w:tc>
      </w:tr>
      <w:tr>
        <w:tc>
          <w:tcPr>
            <w:tcW w:type="dxa" w:w="107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第三阶段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放量期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 15–52 周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2027.02–09</w:t>
            </w:r>
          </w:p>
        </w:tc>
        <w:tc>
          <w:tcPr>
            <w:tcW w:type="dxa" w:w="464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① 双城 450 家活跃 B2B 客户、60 家签约代理商　② 自有品牌首批量产到仓并上市　③ 大型渠道准入谈判（Walmart、Chedraui、Soriana、Coppel、Office Depot）　④ 清仓／Outlet 通道于第 6 个月前建成　⑤ 副总经理（#2）于第 9 个月到岗　⑥ IFRS／US GAAP 账套与四大所审计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 ·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各部门总监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收入 1.65 亿比索、</w:t>
            </w:r>
            <w:r>
              <w:br/>
            </w:r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 转正、审计出具</w:t>
            </w:r>
          </w:p>
        </w:tc>
      </w:tr>
    </w:tbl>
    <w:p>
      <w:pPr>
        <w:spacing w:before="0" w:after="0" w:line="12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组织架构与人力配置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ORGANIZATION &amp; HEADCOUNT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948"/>
        <w:gridCol w:w="1871"/>
        <w:gridCol w:w="1871"/>
        <w:gridCol w:w="1247"/>
        <w:gridCol w:w="2154"/>
      </w:tblGrid>
      <w:tr>
        <w:trPr>
          <w:tblHeader w:val="true"/>
        </w:trPr>
        <w:tc>
          <w:tcPr>
            <w:tcW w:type="dxa" w:w="294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职能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墨西哥城（总部）</w:t>
            </w:r>
          </w:p>
        </w:tc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蒙特雷（分公司）</w:t>
            </w:r>
          </w:p>
        </w:tc>
        <w:tc>
          <w:tcPr>
            <w:tcW w:type="dxa" w:w="124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合计</w:t>
            </w:r>
          </w:p>
        </w:tc>
        <w:tc>
          <w:tcPr>
            <w:tcW w:type="dxa" w:w="215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月度全负荷成本（比索）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高管与行政（含总经理）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384,750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销售与大客户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12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21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472,050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仓储与物流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13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8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21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388,800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电商与 IT 开发（总经理直属）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243,000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设计与品牌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—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141,750</w:t>
            </w:r>
          </w:p>
        </w:tc>
      </w:tr>
      <w:tr>
        <w:tc>
          <w:tcPr>
            <w:tcW w:type="dxa" w:w="294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财务与采购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</w:t>
            </w:r>
          </w:p>
        </w:tc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</w:t>
            </w:r>
          </w:p>
        </w:tc>
        <w:tc>
          <w:tcPr>
            <w:tcW w:type="dxa" w:w="124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215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148,500</w:t>
            </w:r>
          </w:p>
        </w:tc>
      </w:tr>
      <w:tr>
        <w:tc>
          <w:tcPr>
            <w:tcW w:type="dxa" w:w="294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客服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</w:t>
            </w:r>
          </w:p>
        </w:tc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</w:t>
            </w:r>
          </w:p>
        </w:tc>
        <w:tc>
          <w:tcPr>
            <w:tcW w:type="dxa" w:w="124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</w:t>
            </w:r>
          </w:p>
        </w:tc>
        <w:tc>
          <w:tcPr>
            <w:tcW w:type="dxa" w:w="215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101,250</w:t>
            </w:r>
          </w:p>
        </w:tc>
      </w:tr>
      <w:tr>
        <w:tc>
          <w:tcPr>
            <w:tcW w:type="dxa" w:w="294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合计编制</w:t>
            </w:r>
          </w:p>
        </w:tc>
        <w:tc>
          <w:tcPr>
            <w:tcW w:type="dxa" w:w="187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41</w:t>
            </w:r>
          </w:p>
        </w:tc>
        <w:tc>
          <w:tcPr>
            <w:tcW w:type="dxa" w:w="187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21</w:t>
            </w:r>
          </w:p>
        </w:tc>
        <w:tc>
          <w:tcPr>
            <w:tcW w:type="dxa" w:w="124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62</w:t>
            </w:r>
          </w:p>
        </w:tc>
        <w:tc>
          <w:tcPr>
            <w:tcW w:type="dxa" w:w="215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2,231,550</w:t>
            </w:r>
          </w:p>
        </w:tc>
      </w:tr>
    </w:tbl>
    <w:p>
      <w:pPr>
        <w:spacing w:before="0" w:after="0" w:line="8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10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5"/>
        </w:rPr>
        <w:t>全负荷成本 = 税前月薪 × 1.35（IMSS 社保、INFONAVIT 住房、SAR、年终奖 15 天、休假金及州工资税 ISN 约 3%），为墨西哥标准测算惯例。满编年化人工 2,678 万比索；首年按分批到岗约 78% 计为 2,100 万比索，加 2% 销售提成 330 万比索，首年人力总成本 2,430 万比索，占收入 14.7%。薪酬定位于市场约 120% 水平（仓储岗 11,000 比索 vs 市场 8,400–9,700；B2B 销售 18,000 底薪＋提成 vs 市场 15,000），用于吸引自带客户资源的销售人员——这是竞争手段而非超支。</w:t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7"/>
              </w:rPr>
              <w:t>总经理的结构性核心地位   THE GENERAL MANAGER AS THE STRUCTURAL CORE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总经理并非管理层级中的一环，而是本项目的双重职能中枢：既是墨西哥平台的首席执行者，又是实际承担 CTO 职责、直接管辖全部 IT 与数字平台开发的技术负责人，4 人开发团队无中间层级直接汇报。</w:t>
            </w:r>
          </w:p>
          <w:p>
            <w:pPr>
              <w:spacing w:before="0" w:after="24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直接汇报：销售总监（清仓库存定价权不可下放，定价权即护城河）· 蒙特雷分公司经理（双城同步要求单一决策者而非委员会）· 电商／IT 开发团队 4 人（90 天交付三大平台只有在零延迟技术决策下才可能）· 设计与品牌团队 3 人（自有品牌是长期价值来源，品牌方向属 CEO 级决策）· 中国采购联络 2 人（中国采购套利是核心竞争输入）· 财务负责人（对标上市的财务纪律须自第一天建立）。</w:t>
            </w:r>
          </w:p>
          <w:p>
            <w:pPr>
              <w:spacing w:before="0" w:after="50" w:line="269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>投资人视角：总经理将通常分立的三个角色——国家 CEO、CTO、首席商品官——压缩于一身，这正是 CLG 能在 60–90 天内同时交付三大平台、两座城市与自有品牌线，而常规组织需要 12 个月的根本原因。计划亦坦承这是最大优势与最大单点风险，对应的缓释措施为：第 9 个月聘任副总经理（Director General Adjunto）、为核心 8 名管理者设立 8–12% 期权／虚拟股池、为总经理投保关键人寿险，并在投资人尽调之前完成书面接班安排。</w:t>
            </w:r>
          </w:p>
        </w:tc>
      </w:tr>
    </w:tbl>
    <w:p>
      <w:pPr>
        <w:spacing w:before="0" w:after="0" w:line="1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首年营业费用结构（合计 6,680 万比索，占收入 40.5%）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020"/>
        <w:gridCol w:w="850"/>
        <w:gridCol w:w="3628"/>
        <w:gridCol w:w="1020"/>
        <w:gridCol w:w="964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85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  <w:tc>
          <w:tcPr>
            <w:tcW w:type="dxa" w:w="362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费用科目</w:t>
            </w:r>
          </w:p>
        </w:tc>
        <w:tc>
          <w:tcPr>
            <w:tcW w:type="dxa" w:w="102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96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占收入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人力（全负荷，分批到岗）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21.0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12.7%</w:t>
            </w:r>
          </w:p>
        </w:tc>
        <w:tc>
          <w:tcPr>
            <w:tcW w:type="dxa" w:w="362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IT 平台运维、ERP/WMS 订阅与主机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2.4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1.5%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租金（墨城＋蒙特雷）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17.1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10.4%</w:t>
            </w:r>
          </w:p>
        </w:tc>
        <w:tc>
          <w:tcPr>
            <w:tcW w:type="dxa" w:w="362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专业服务（律师、报关、商标、审计、税务）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3.0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1.8%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市场推广与渠道开发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6.0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3.6%</w:t>
            </w:r>
          </w:p>
        </w:tc>
        <w:tc>
          <w:tcPr>
            <w:tcW w:type="dxa" w:w="362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安保、保险、水电与设施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2.6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1.6%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物流、运费与末端配送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5.8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3.5%</w:t>
            </w:r>
          </w:p>
        </w:tc>
        <w:tc>
          <w:tcPr>
            <w:tcW w:type="dxa" w:w="362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差旅、样品与展会（ANTAD、Expo Seguridad 等）</w:t>
            </w:r>
          </w:p>
        </w:tc>
        <w:tc>
          <w:tcPr>
            <w:tcW w:type="dxa" w:w="102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</w:t>
            </w:r>
          </w:p>
        </w:tc>
        <w:tc>
          <w:tcPr>
            <w:tcW w:type="dxa" w:w="96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1.2%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销售提成（收入 2%）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3.3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2.0%</w:t>
            </w:r>
          </w:p>
        </w:tc>
        <w:tc>
          <w:tcPr>
            <w:tcW w:type="dxa" w:w="362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坏账计提（B2B 收入 1.5%）与其他</w:t>
            </w:r>
          </w:p>
        </w:tc>
        <w:tc>
          <w:tcPr>
            <w:tcW w:type="dxa" w:w="102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3.6</w:t>
            </w:r>
          </w:p>
        </w:tc>
        <w:tc>
          <w:tcPr>
            <w:tcW w:type="dxa" w:w="96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2.2%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租金占首年收入 10.4%，是首年利润率的最大拖累项；在固定双城布局下，第二年降至约 4.5%、第三年约 2.5%——这一经营杠杆正是 EBITDA 利润率由 9.7% 提升至 17.0% 的完整解释。</w:t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投资需求与资金用途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INVESTMENT REQUIREMENT &amp; USE OF FUNDS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76"/>
        <w:jc w:val="both"/>
      </w:pPr>
      <w:r>
        <w:rPr>
          <w:rFonts w:ascii="Calibri" w:hAnsi="Calibri" w:eastAsia="Microsoft YaHei"/>
          <w:b w:val="0"/>
          <w:i w:val="0"/>
          <w:color w:val="1A1A1A"/>
          <w:sz w:val="16"/>
        </w:rPr>
        <w:t>本次现金融资需求 400 万美元（7,400 万比索）。叠加股东以 2 亿比索实物库存作价出资，第一天总资本化达 2.74 亿比索（1,480 万美元），现金融资仅占总资本化的 27%——这是本计划最具说服力的一个比例。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3402"/>
        <w:gridCol w:w="1757"/>
        <w:gridCol w:w="1361"/>
        <w:gridCol w:w="3005"/>
      </w:tblGrid>
      <w:tr>
        <w:trPr>
          <w:tblHeader w:val="true"/>
        </w:trPr>
        <w:tc>
          <w:tcPr>
            <w:tcW w:type="dxa" w:w="56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序号</w:t>
            </w:r>
          </w:p>
        </w:tc>
        <w:tc>
          <w:tcPr>
            <w:tcW w:type="dxa" w:w="340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投资项目</w:t>
            </w:r>
          </w:p>
        </w:tc>
        <w:tc>
          <w:tcPr>
            <w:tcW w:type="dxa" w:w="175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比索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</w:t>
            </w:r>
          </w:p>
        </w:tc>
        <w:tc>
          <w:tcPr>
            <w:tcW w:type="dxa" w:w="300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说明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蒙特雷展厅装修（1,653㎡ × 4,500 比索/㎡）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7,440,000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402,162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陈列系统、灯光、地坪、夹层办公、空调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蒙特雷仓库货架（约 2,800 个托盘位）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3,100,000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167,568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横梁式＋悬臂式（服装卷料）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叉车与搬运设备（2 电动平衡重＋1 前移＋托盘车）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2,400,000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129,730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购置而非租赁，形成资产基础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ERP＋WMS 许可与实施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3,500,000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189,189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必须先于三大平台上线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三大平台开发（官网／B2B 批发／自有品牌 D2C）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4,800,000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259,459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总经理全责，自有团队＋定向外包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品牌与产品设计、IMPI 商标注册（2 品牌 × 6 类别）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2,200,000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118,919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公开发布前必须完成递交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7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公司手册、产品图册＋价目表、代理商资料包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1,200,000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64,865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中／西／英三语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车辆（4 台配送车＋2 台商务车）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3,600,000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194,595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全车 GPS 监控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办公与 IT 设备、家具、POS、网络、监控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2,600,000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140,541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首年市场推广与大型渠道开发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6,000,000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324,324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展会、大客户获取、数字投放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11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租赁押金与保证金（双城各 3 个月）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4,800,000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259,459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可回收资产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营运资金（补货进口、应收账款、关税与增值税垫付）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22,000,000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1,189,189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仅占收入 13%，因库存为自有</w:t>
            </w:r>
          </w:p>
        </w:tc>
      </w:tr>
      <w:tr>
        <w:tc>
          <w:tcPr>
            <w:tcW w:type="dxa" w:w="56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</w:t>
            </w:r>
          </w:p>
        </w:tc>
        <w:tc>
          <w:tcPr>
            <w:tcW w:type="dxa" w:w="340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实体设立、RFC、IMMEX、NOM 认证、清关与许可</w:t>
            </w:r>
          </w:p>
        </w:tc>
        <w:tc>
          <w:tcPr>
            <w:tcW w:type="dxa" w:w="175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2,400,000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129,730</w:t>
            </w:r>
          </w:p>
        </w:tc>
        <w:tc>
          <w:tcPr>
            <w:tcW w:type="dxa" w:w="300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合规启动一次性支出</w:t>
            </w:r>
          </w:p>
        </w:tc>
      </w:tr>
      <w:tr>
        <w:tc>
          <w:tcPr>
            <w:tcW w:type="dxa" w:w="56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</w:t>
            </w:r>
          </w:p>
        </w:tc>
        <w:tc>
          <w:tcPr>
            <w:tcW w:type="dxa" w:w="340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不可预见费（10%）</w:t>
            </w:r>
          </w:p>
        </w:tc>
        <w:tc>
          <w:tcPr>
            <w:tcW w:type="dxa" w:w="175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6,604,000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356,973</w:t>
            </w:r>
          </w:p>
        </w:tc>
        <w:tc>
          <w:tcPr>
            <w:tcW w:type="dxa" w:w="300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—</w:t>
            </w:r>
          </w:p>
        </w:tc>
      </w:tr>
      <w:tr>
        <w:tc>
          <w:tcPr>
            <w:tcW w:type="dxa" w:w="56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</w:p>
        </w:tc>
        <w:tc>
          <w:tcPr>
            <w:tcW w:type="dxa" w:w="3402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投资需求合计 / 融资额（取整）</w:t>
            </w:r>
          </w:p>
        </w:tc>
        <w:tc>
          <w:tcPr>
            <w:tcW w:type="dxa" w:w="175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72,644,000 / 74,000,000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3,926,703 / 4,000,000</w:t>
            </w:r>
          </w:p>
        </w:tc>
        <w:tc>
          <w:tcPr>
            <w:tcW w:type="dxa" w:w="3005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4"/>
              </w:rPr>
              <w:t>增长性资产 53%｜营运资金 30%｜市场 8%｜押金与法务 9%</w:t>
            </w:r>
          </w:p>
        </w:tc>
      </w:tr>
    </w:tbl>
    <w:p>
      <w:pPr>
        <w:spacing w:before="0" w:after="0" w:line="10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60" w:lineRule="auto" w:line="283"/>
      </w:pPr>
      <w:r>
        <w:rPr>
          <w:rFonts w:ascii="Calibri" w:hAnsi="Calibri" w:eastAsia="Microsoft YaHei"/>
          <w:b/>
          <w:i w:val="0"/>
          <w:color w:val="0B2545"/>
          <w:sz w:val="17"/>
        </w:rPr>
        <w:t>蒙特雷场地租金模型（投资人首先核查的数据）</w:t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304"/>
        <w:gridCol w:w="1361"/>
        <w:gridCol w:w="1417"/>
        <w:gridCol w:w="1701"/>
        <w:gridCol w:w="1701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场地</w:t>
            </w:r>
          </w:p>
        </w:tc>
        <w:tc>
          <w:tcPr>
            <w:tcW w:type="dxa" w:w="130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面积（㎡）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美元/㎡/月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月租（美元）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月租（比索）</w:t>
            </w:r>
          </w:p>
        </w:tc>
        <w:tc>
          <w:tcPr>
            <w:tcW w:type="dxa" w:w="170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年租（比索）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展厅＋分公司办公（500 坪）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1,653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9.00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14,877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275,225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3,302,694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仓库（1,000 坪）</w:t>
            </w:r>
          </w:p>
        </w:tc>
        <w:tc>
          <w:tcPr>
            <w:tcW w:type="dxa" w:w="130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3,306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7.00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23,142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428,127</w:t>
            </w:r>
          </w:p>
        </w:tc>
        <w:tc>
          <w:tcPr>
            <w:tcW w:type="dxa" w:w="170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5,137,524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物业管理费 CAM</w:t>
            </w:r>
          </w:p>
        </w:tc>
        <w:tc>
          <w:tcPr>
            <w:tcW w:type="dxa" w:w="130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4,959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0.55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2,727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50,455</w:t>
            </w:r>
          </w:p>
        </w:tc>
        <w:tc>
          <w:tcPr>
            <w:tcW w:type="dxa" w:w="170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5"/>
              </w:rPr>
              <w:t>605,455</w:t>
            </w:r>
          </w:p>
        </w:tc>
      </w:tr>
      <w:tr>
        <w:tc>
          <w:tcPr>
            <w:tcW w:type="dxa" w:w="2608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蒙特雷合计</w:t>
            </w:r>
          </w:p>
        </w:tc>
        <w:tc>
          <w:tcPr>
            <w:tcW w:type="dxa" w:w="1304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4,959</w:t>
            </w:r>
          </w:p>
        </w:tc>
        <w:tc>
          <w:tcPr>
            <w:tcW w:type="dxa" w:w="136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8.22（混合）</w:t>
            </w:r>
          </w:p>
        </w:tc>
        <w:tc>
          <w:tcPr>
            <w:tcW w:type="dxa" w:w="1417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40,746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753,807</w:t>
            </w:r>
          </w:p>
        </w:tc>
        <w:tc>
          <w:tcPr>
            <w:tcW w:type="dxa" w:w="1701"/>
            <w:tcBorders>
              <w:top w:val="single" w:sz="8" w:space="0" w:color="B08D3F"/>
            </w:tcBorders>
            <w:shd w:val="clear" w:color="auto" w:fill="F3EBDA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5"/>
              </w:rPr>
              <w:t>9,045,673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市场依据与谈判要点：蒙特雷工业地产 2026 年第一季度空置率 7.5%、报价租金稳定于 7.00 美元/㎡/月（Colliers）；Apodaca 挂牌区间 6.50–7.20 美元＋管理费约 0.52–0.55 美元。建议选址 Apodaca（近机场、海关与工业客户）或 Guadalupe（近城配与展厅客流），Santa Catarina 为低成本备选。展厅须取 flex／工业型展示空间而非甲级写字楼——蒙特雷甲级办公报价高达 18.88 美元/㎡/月（Solili, 2026年6月），若误选每年多支出约 19.5 万美元。谈判应争取 3–5 年期、2–3 个月免租期，并将年涨幅锁定于美元 CPI 或 3%。蒙特雷租约多以美元计价，恰好对冲比索贬值对进口成本的冲击，不必坚持比索计价。合并墨西哥城既有场地，首年租金合计 1,711 万比索（占收入 10.4%），至第二年降至约 4.5%、第三年约 2.5%——这一经营杠杆正是 EBITDA 利润率由 9.7% 升至 17.0% 的主要来源。</w:t>
      </w:r>
    </w:p>
    <w:p>
      <w:pPr>
        <w:spacing w:before="0" w:after="0" w:line="1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07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首年季度财务预测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FY1 QUARTERLY FORECAST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608"/>
        <w:gridCol w:w="1417"/>
        <w:gridCol w:w="1417"/>
        <w:gridCol w:w="1417"/>
        <w:gridCol w:w="1417"/>
        <w:gridCol w:w="1814"/>
      </w:tblGrid>
      <w:tr>
        <w:trPr>
          <w:tblHeader w:val="true"/>
        </w:trPr>
        <w:tc>
          <w:tcPr>
            <w:tcW w:type="dxa" w:w="2608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项目（百万比索）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第三季度</w:t>
            </w:r>
          </w:p>
        </w:tc>
        <w:tc>
          <w:tcPr>
            <w:tcW w:type="dxa" w:w="141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第四季度</w:t>
            </w:r>
          </w:p>
        </w:tc>
        <w:tc>
          <w:tcPr>
            <w:tcW w:type="dxa" w:w="181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第一年合计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营业收入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18.0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33.0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48.0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66.0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165.0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 xml:space="preserve">　B2B 批发 / B2C 电商 / 自有品牌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16.0 / 1.5 / 0.5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27.0 / 3.5 / 2.5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38.0 / 5.5 / 4.5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51.0 / 7.5 / 7.5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132.0 / 18.0 / 15.0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毛利润（毛利率）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9.0（50.0%）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16.5（50.0%）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24.1（50.2%）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33.2（50.3%）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82.7（50.1%）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营业费用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13.6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16.3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17.6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19.4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66.8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EBITDA（EBITDA 率）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(4.6)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0.2（0.6%）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6.5（13.5%）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13.8（20.9%）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15.9（9.7%）</w:t>
            </w:r>
          </w:p>
        </w:tc>
      </w:tr>
      <w:tr>
        <w:tc>
          <w:tcPr>
            <w:tcW w:type="dxa" w:w="2608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净利润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(6.1)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(1.6)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3.1</w:t>
            </w:r>
          </w:p>
        </w:tc>
        <w:tc>
          <w:tcPr>
            <w:tcW w:type="dxa" w:w="141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10.5</w:t>
            </w:r>
          </w:p>
        </w:tc>
        <w:tc>
          <w:tcPr>
            <w:tcW w:type="dxa" w:w="181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5.9</w:t>
            </w:r>
          </w:p>
        </w:tc>
      </w:tr>
      <w:tr>
        <w:tc>
          <w:tcPr>
            <w:tcW w:type="dxa" w:w="2608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库存累计去化率 / 变现收入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3.6%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9.9%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18.6%</w:t>
            </w:r>
          </w:p>
        </w:tc>
        <w:tc>
          <w:tcPr>
            <w:tcW w:type="dxa" w:w="141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30.4%</w:t>
            </w:r>
          </w:p>
        </w:tc>
        <w:tc>
          <w:tcPr>
            <w:tcW w:type="dxa" w:w="181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30.4% / 132.9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0" w:lineRule="auto" w:line="274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EBITDA 于第二季度转正、净利润于第三季度转正、全年盈利。第一季度亏损完全源于蒙特雷建设支出先于蒙特雷收入发生——投资人认可有明确成因的 J 曲线。首年营业费用结构详见第 3 页；其中租金 1,711 万比索与人力 2,430 万比索为两大固定成本，随收入放量而迅速稀释。</w:t>
      </w:r>
    </w:p>
    <w:p>
      <w:pPr>
        <w:spacing w:before="0" w:after="0"/>
      </w:pPr>
      <w:r>
        <w:br w:type="page"/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08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三年全国扩张计划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THREE-YEAR NATIONAL EXPANSION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765"/>
        <w:gridCol w:w="3997"/>
        <w:gridCol w:w="652"/>
        <w:gridCol w:w="1162"/>
        <w:gridCol w:w="765"/>
        <w:gridCol w:w="992"/>
        <w:gridCol w:w="879"/>
        <w:gridCol w:w="879"/>
      </w:tblGrid>
      <w:tr>
        <w:trPr>
          <w:tblHeader w:val="true"/>
        </w:trPr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年度</w:t>
            </w:r>
          </w:p>
        </w:tc>
        <w:tc>
          <w:tcPr>
            <w:tcW w:type="dxa" w:w="399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新增城市（选址逻辑）</w:t>
            </w:r>
          </w:p>
        </w:tc>
        <w:tc>
          <w:tcPr>
            <w:tcW w:type="dxa" w:w="65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城市</w:t>
            </w:r>
          </w:p>
        </w:tc>
        <w:tc>
          <w:tcPr>
            <w:tcW w:type="dxa" w:w="116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展厅/仓库/分公司</w:t>
            </w:r>
          </w:p>
        </w:tc>
        <w:tc>
          <w:tcPr>
            <w:tcW w:type="dxa" w:w="76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代理商</w:t>
            </w:r>
          </w:p>
        </w:tc>
        <w:tc>
          <w:tcPr>
            <w:tcW w:type="dxa" w:w="992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收入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87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EBITDA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  <w:tc>
          <w:tcPr>
            <w:tcW w:type="dxa" w:w="879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净利润</w:t>
            </w:r>
            <w:r>
              <w:br/>
            </w:r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百万比索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第一年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墨西哥城（总部＋中央仓）、蒙特雷（分公司）——量与利的组合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</w:t>
            </w:r>
          </w:p>
        </w:tc>
        <w:tc>
          <w:tcPr>
            <w:tcW w:type="dxa" w:w="116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 / 2 / 2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165.0</w:t>
            </w:r>
          </w:p>
        </w:tc>
        <w:tc>
          <w:tcPr>
            <w:tcW w:type="dxa" w:w="87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15.9</w:t>
            </w:r>
          </w:p>
        </w:tc>
        <w:tc>
          <w:tcPr>
            <w:tcW w:type="dxa" w:w="87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5.9</w:t>
            </w:r>
          </w:p>
        </w:tc>
      </w:tr>
      <w:tr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第二年</w:t>
            </w:r>
          </w:p>
        </w:tc>
        <w:tc>
          <w:tcPr>
            <w:tcW w:type="dxa" w:w="399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瓜达拉哈拉（第二大经济体、礼品零售密集）、普埃布拉（中部走廊、纺织服装集群）、蒂华纳（边境保税加工厂劳保、跨境试点）</w:t>
            </w:r>
          </w:p>
        </w:tc>
        <w:tc>
          <w:tcPr>
            <w:tcW w:type="dxa" w:w="65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</w:t>
            </w:r>
          </w:p>
        </w:tc>
        <w:tc>
          <w:tcPr>
            <w:tcW w:type="dxa" w:w="116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 / 4 / 5</w:t>
            </w:r>
          </w:p>
        </w:tc>
        <w:tc>
          <w:tcPr>
            <w:tcW w:type="dxa" w:w="76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220</w:t>
            </w:r>
          </w:p>
        </w:tc>
        <w:tc>
          <w:tcPr>
            <w:tcW w:type="dxa" w:w="992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420.0</w:t>
            </w:r>
          </w:p>
        </w:tc>
        <w:tc>
          <w:tcPr>
            <w:tcW w:type="dxa" w:w="87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63.0</w:t>
            </w:r>
          </w:p>
        </w:tc>
        <w:tc>
          <w:tcPr>
            <w:tcW w:type="dxa" w:w="879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34.3</w:t>
            </w:r>
          </w:p>
        </w:tc>
      </w:tr>
      <w:tr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第三年</w:t>
            </w:r>
          </w:p>
        </w:tc>
        <w:tc>
          <w:tcPr>
            <w:tcW w:type="dxa" w:w="399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莱昂／巴希奥（制鞋皮革与工业劳保）、克雷塔罗（增长最快物流枢纽，第二中央仓）、梅里达（东南门户）、坎昆（酒店餐饮厨具与礼品）、华雷斯城（规模化保税加工劳保）</w:t>
            </w:r>
          </w:p>
        </w:tc>
        <w:tc>
          <w:tcPr>
            <w:tcW w:type="dxa" w:w="65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10</w:t>
            </w:r>
          </w:p>
        </w:tc>
        <w:tc>
          <w:tcPr>
            <w:tcW w:type="dxa" w:w="116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 / 6 / 10</w:t>
            </w:r>
          </w:p>
        </w:tc>
        <w:tc>
          <w:tcPr>
            <w:tcW w:type="dxa" w:w="76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550</w:t>
            </w:r>
          </w:p>
        </w:tc>
        <w:tc>
          <w:tcPr>
            <w:tcW w:type="dxa" w:w="992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850.0</w:t>
            </w:r>
          </w:p>
        </w:tc>
        <w:tc>
          <w:tcPr>
            <w:tcW w:type="dxa" w:w="87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144.5</w:t>
            </w:r>
          </w:p>
        </w:tc>
        <w:tc>
          <w:tcPr>
            <w:tcW w:type="dxa" w:w="879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85.0</w:t>
            </w:r>
          </w:p>
        </w:tc>
      </w:tr>
    </w:tbl>
    <w:p>
      <w:pPr>
        <w:spacing w:before="0" w:after="0" w:line="4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0" w:after="80" w:lineRule="auto" w:line="269"/>
        <w:jc w:val="both"/>
      </w:pPr>
      <w:r>
        <w:rPr>
          <w:rFonts w:ascii="Calibri" w:hAnsi="Calibri" w:eastAsia="Microsoft YaHei"/>
          <w:b w:val="0"/>
          <w:i w:val="0"/>
          <w:color w:val="5A6472"/>
          <w:sz w:val="14"/>
        </w:rPr>
        <w:t>轻资产纪律：第三年覆盖 10 座城市但仅自建 6 个仓库——普埃布拉、梅里达与坎昆由代理商网络与越库配送覆盖，这正是第三年 EBITDA 利润率得以维持 17% 而非 10% 的原因。</w:t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09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五年纳斯达克上市路径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THE NASDAQ PATH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（1）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第五年，CLG 目标营业收入约 1.40 亿美元（26 亿比索）、三年复合增长率约 45%、净利率约 12%（净利润约 1,680 万美元）、自有品牌占收入 50% 以上——将大幅超越纳斯达克全球市场（Nasdaq Global Market）收益标准（税前持续经营利润 ≥ 100 万美元、股东权益 ≥ 1,500 万美元、公众持股市值 ≥ 800 万美元、≥ 400 名整手股东、股价 ≥ 4 美元），亦满足权益标准与市值标准（MVLS ≥ 7,500 万美元），建议直接申报全球市场板块以彰显质量。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（2）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可比公司框架：拉美及新兴市场纯分销企业的交易倍数约为 0.4–0.9 倍 EV/Revenue 与 14–20 倍 P/E，而拥有自有渠道的品牌消费品公司为 1.5–3.0 倍 EV/Revenue 与 20–28 倍 P/E；鉴于 CLG 届时自有品牌占比约 50%、毛利率 45%、增速 45%，可辩护的定价基准为 1.8 倍 EV/Revenue 或 22 倍 P/E（PEG 显著低于 1.0）。</w:t>
      </w:r>
    </w:p>
    <w:p>
      <w:pPr>
        <w:spacing w:before="10" w:after="44" w:line="278" w:lineRule="auto"/>
        <w:ind w:left="181" w:hanging="181"/>
      </w:pPr>
      <w:r>
        <w:rPr>
          <w:rFonts w:ascii="Calibri" w:hAnsi="Calibri" w:eastAsia="Microsoft YaHei"/>
          <w:b/>
          <w:i w:val="0"/>
          <w:color w:val="B08D3F"/>
          <w:sz w:val="14"/>
        </w:rPr>
        <w:t xml:space="preserve">▪ </w:t>
      </w:r>
      <w:r>
        <w:rPr>
          <w:rFonts w:ascii="Calibri" w:hAnsi="Calibri" w:eastAsia="Microsoft YaHei"/>
          <w:b/>
          <w:i w:val="0"/>
          <w:color w:val="0B2545"/>
          <w:sz w:val="14"/>
        </w:rPr>
        <w:t>（3）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 xml:space="preserve">  </w:t>
      </w:r>
      <w:r>
        <w:rPr>
          <w:rFonts w:ascii="Calibri" w:hAnsi="Calibri" w:eastAsia="Microsoft YaHei"/>
          <w:b w:val="0"/>
          <w:i w:val="0"/>
          <w:color w:val="1A1A1A"/>
          <w:sz w:val="14"/>
        </w:rPr>
        <w:t>据此隐含企业价值按收入倍数约 2.5 亿美元、按盈利倍数约 3.7 亿美元，即 2.5–3.7 亿美元（46–68 亿比索）的可信上市区间，相当于对首年 400 万美元现金融资 60–90 倍的回报；三项不可妥协的前提：自第一年起由四大或 PCAOB 注册所出具 US GAAP／IFRS 审计报告（而非第四年补做）、即刻搭建开曼或特拉华控股公司之于墨西哥 S.A. de C.V. 的离岸架构、自第一天建立符合 SOX 的内控与常设资料室。</w:t>
      </w:r>
    </w:p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10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主要风险与对策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KEY RISKS &amp; MITIGANTS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3175"/>
        <w:gridCol w:w="1361"/>
        <w:gridCol w:w="5556"/>
      </w:tblGrid>
      <w:tr>
        <w:trPr>
          <w:tblHeader w:val="true"/>
        </w:trPr>
        <w:tc>
          <w:tcPr>
            <w:tcW w:type="dxa" w:w="3175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风险</w:t>
            </w:r>
          </w:p>
        </w:tc>
        <w:tc>
          <w:tcPr>
            <w:tcW w:type="dxa" w:w="136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敞口</w:t>
            </w:r>
          </w:p>
        </w:tc>
        <w:tc>
          <w:tcPr>
            <w:tcW w:type="dxa" w:w="5556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对策（与 CLG 实际护城河挂钩）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汇率风险　收入 100% 比索，补货成本 100% 美元／人民币；比索贬值 15% 将压缩混合毛利率约 5 个百分点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首年约 800 万比索毛利</w:t>
            </w:r>
          </w:p>
        </w:tc>
        <w:tc>
          <w:tcPr>
            <w:tcW w:type="dxa" w:w="555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2 亿库存已到岸付清——首年 74% 销货成本零汇率敞口，结构性对冲约 18 个月；蒙特雷美元租约为天然对冲；对滚动 6 个月进口需求的 50% 做远期锁汇；代理商合同约定季度价目表重置权；部分以人民币结算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海关与合规风险　墨西哥对亚洲消费品查验趋严，归类或估价失当可致货物扣押（embargo precautorio），单柜可损失 6–10 周与 20% 货值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单次 500–1,500 万比索货值被冻结</w:t>
            </w:r>
          </w:p>
        </w:tc>
        <w:tc>
          <w:tcPr>
            <w:tcW w:type="dxa" w:w="555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集团自有中国—美国—墨西哥物流公司，全链路监管与报关文件自主可控；聘顶级报关行出具 SKU 族 HS 归类书面意见；申请 IMMEX 与 OEA/AEO 快速通道；NOM-050 标签于中国出口前完成（在墨返工成本高 5–8 倍）；分散入境口岸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库存集中与滞销风险　2 亿比索占总资本化 73%，集中于单一仓库，首年周转仅 0.48 次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最高 2 亿；现实滞销 2,000–3,000 万</w:t>
            </w:r>
          </w:p>
        </w:tc>
        <w:tc>
          <w:tcPr>
            <w:tcW w:type="dxa" w:w="555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 3 个月将约 25%（5,000 万比索）分流至蒙特雷新仓——因仓库本就在建，该风控零增量成本；按重置价值投保全险（约 70–100 万比索/年）；WMS 自第 1 个月执行 ABC/XYZ 分析，硬性规则：第 9 个月年周转低于 0.5 次的 SKU 一律进入清仓通道；取得成本极低意味着即便五折甩卖仍高于账面成本</w:t>
            </w:r>
          </w:p>
        </w:tc>
      </w:tr>
      <w:tr>
        <w:tc>
          <w:tcPr>
            <w:tcW w:type="dxa" w:w="3175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B2B 应收账款风险　正规客户要求 30–60 天账期，墨西哥中小批发商坏账率 3–6%</w:t>
            </w:r>
          </w:p>
        </w:tc>
        <w:tc>
          <w:tcPr>
            <w:tcW w:type="dxa" w:w="136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首年计提 200 万；第三年敞口 2,600 万</w:t>
            </w:r>
          </w:p>
        </w:tc>
        <w:tc>
          <w:tcPr>
            <w:tcW w:type="dxa" w:w="5556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分层授信：一级客户（Tepito／Central de Abastos 高周转买家，约占 B2B 收入 55%）一律现金／SPEI，设计上零信用风险；二级正规中小企业 30 天并取本票＋个人担保；三级工业大客户 60 天并投保信用险或反向保理；10 万比索以上账户强制征信；大额应收经 NAFIN 无追索保理 48 小时变现；CFDI 4.0 发票本身具强制执行力</w:t>
            </w:r>
          </w:p>
        </w:tc>
      </w:tr>
      <w:tr>
        <w:tc>
          <w:tcPr>
            <w:tcW w:type="dxa" w:w="317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竞争与人才风险　清仓库存带来的价格优势窗口有限（约 18–24 个月）；中西双语商务人才稀缺，且存在总经理单点依赖</w:t>
            </w:r>
          </w:p>
        </w:tc>
        <w:tc>
          <w:tcPr>
            <w:tcW w:type="dxa" w:w="136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第三年毛利率递减 12 个百分点（已计入模型）</w:t>
            </w:r>
          </w:p>
        </w:tc>
        <w:tc>
          <w:tcPr>
            <w:tcW w:type="dxa" w:w="5556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3"/>
              </w:rPr>
              <w:t>窗口即战略：用 18 个月锁定 550 家带独家条款与最低采购量的代理商，渠道关系在价格优势消失后依然存续；自有品牌为永久护城河，第三年 42% 毛利来自 CLG 自有知识产权；集团自有物流为不衰减的 8–12% 成本优势；按市场 120% 付薪、设 8–12% 期权池、第 9 个月聘任副总经理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567"/>
        <w:gridCol w:w="9524"/>
      </w:tblGrid>
      <w:tr>
        <w:tc>
          <w:tcPr>
            <w:tcW w:type="dxa" w:w="567"/>
            <w:shd w:val="clear" w:color="auto" w:fill="0B2545"/>
            <w:tcMar>
              <w:top w:w="20" w:type="dxa"/>
              <w:left w:w="0" w:type="dxa"/>
              <w:bottom w:w="20" w:type="dxa"/>
              <w:right w:w="0" w:type="dxa"/>
            </w:tcMar>
            <w:vAlign w:val="center"/>
          </w:tcPr>
          <w:p>
            <w:pPr>
              <w:spacing w:before="10" w:after="1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24"/>
              </w:rPr>
              <w:t>11</w:t>
            </w:r>
          </w:p>
        </w:tc>
        <w:tc>
          <w:tcPr>
            <w:tcW w:type="dxa" w:w="9524"/>
            <w:shd w:val="clear" w:color="auto" w:fill="F2F4F7"/>
            <w:tcMar>
              <w:top w:w="20" w:type="dxa"/>
              <w:left w:w="120" w:type="dxa"/>
              <w:bottom w:w="20" w:type="dxa"/>
              <w:right w:w="60" w:type="dxa"/>
            </w:tcMar>
            <w:vAlign w:val="center"/>
          </w:tcPr>
          <w:p>
            <w:pPr>
              <w:spacing w:before="10" w:after="1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23"/>
              </w:rPr>
              <w:t>投资人监控看板（KPI）与合规前置事项</w:t>
            </w:r>
            <w:r>
              <w:rPr>
                <w:rFonts w:ascii="Calibri" w:hAnsi="Calibri" w:eastAsia="Microsoft YaHei"/>
                <w:b w:val="0"/>
                <w:i w:val="0"/>
                <w:color w:val="5A6472"/>
                <w:sz w:val="15"/>
              </w:rPr>
              <w:t xml:space="preserve">   KPI DASHBOARD &amp; COMPLIANCE PREREQUISITES</w:t>
            </w:r>
          </w:p>
        </w:tc>
      </w:tr>
    </w:tbl>
    <w:p>
      <w:pPr>
        <w:spacing w:before="0" w:after="0" w:line="5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single" w:sz="8" w:space="0" w:color="0B2545"/>
          <w:left w:val="nil"/>
          <w:bottom w:val="single" w:sz="8" w:space="0" w:color="0B2545"/>
          <w:right w:val="nil"/>
          <w:insideH w:val="single" w:sz="2" w:space="0" w:color="C9D1DA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71"/>
        <w:gridCol w:w="794"/>
        <w:gridCol w:w="794"/>
        <w:gridCol w:w="794"/>
        <w:gridCol w:w="2041"/>
        <w:gridCol w:w="850"/>
        <w:gridCol w:w="907"/>
        <w:gridCol w:w="907"/>
      </w:tblGrid>
      <w:tr>
        <w:trPr>
          <w:tblHeader w:val="true"/>
        </w:trPr>
        <w:tc>
          <w:tcPr>
            <w:tcW w:type="dxa" w:w="187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794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  <w:tc>
          <w:tcPr>
            <w:tcW w:type="dxa" w:w="2041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KPI</w:t>
            </w:r>
          </w:p>
        </w:tc>
        <w:tc>
          <w:tcPr>
            <w:tcW w:type="dxa" w:w="850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第一年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第二年</w:t>
            </w:r>
          </w:p>
        </w:tc>
        <w:tc>
          <w:tcPr>
            <w:tcW w:type="dxa" w:w="907"/>
            <w:shd w:val="clear" w:color="auto" w:fill="0B2545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30" w:after="30" w:lineRule="auto" w:line="264"/>
              <w:jc w:val="center"/>
            </w:pPr>
            <w:r/>
            <w:r>
              <w:rPr>
                <w:rFonts w:ascii="Calibri" w:hAnsi="Calibri" w:eastAsia="Microsoft YaHei"/>
                <w:b/>
                <w:i w:val="0"/>
                <w:color w:val="FFFFFF"/>
                <w:sz w:val="16"/>
              </w:rPr>
              <w:t>第三年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库存周转率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0.48×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1.4×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2.5×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活跃 B2B 客户数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450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1,400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3,200</w:t>
            </w:r>
          </w:p>
        </w:tc>
      </w:tr>
      <w:tr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库存去化率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30%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68%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92%</w:t>
            </w:r>
          </w:p>
        </w:tc>
        <w:tc>
          <w:tcPr>
            <w:tcW w:type="dxa" w:w="204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代理商数量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60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220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550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综合毛利率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50.1%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48.0%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47.0%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应收账款周转天数 DSO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≤42 天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≤50 天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≤55 天</w:t>
            </w:r>
          </w:p>
        </w:tc>
      </w:tr>
      <w:tr>
        <w:tc>
          <w:tcPr>
            <w:tcW w:type="dxa" w:w="187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自有品牌收入占比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9%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20%</w:t>
            </w:r>
          </w:p>
        </w:tc>
        <w:tc>
          <w:tcPr>
            <w:tcW w:type="dxa" w:w="794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32%</w:t>
            </w:r>
          </w:p>
        </w:tc>
        <w:tc>
          <w:tcPr>
            <w:tcW w:type="dxa" w:w="2041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线上 GMV（百万比索）</w:t>
            </w:r>
          </w:p>
        </w:tc>
        <w:tc>
          <w:tcPr>
            <w:tcW w:type="dxa" w:w="850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18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34</w:t>
            </w:r>
          </w:p>
        </w:tc>
        <w:tc>
          <w:tcPr>
            <w:tcW w:type="dxa" w:w="907"/>
            <w:shd w:val="clear" w:color="auto" w:fill="F2F4F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51</w:t>
            </w:r>
          </w:p>
        </w:tc>
      </w:tr>
      <w:tr>
        <w:tc>
          <w:tcPr>
            <w:tcW w:type="dxa" w:w="187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EBITDA 利润率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9.7%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15.0%</w:t>
            </w:r>
          </w:p>
        </w:tc>
        <w:tc>
          <w:tcPr>
            <w:tcW w:type="dxa" w:w="794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17.0%</w:t>
            </w:r>
          </w:p>
        </w:tc>
        <w:tc>
          <w:tcPr>
            <w:tcW w:type="dxa" w:w="2041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LTV : CAC</w:t>
            </w:r>
          </w:p>
        </w:tc>
        <w:tc>
          <w:tcPr>
            <w:tcW w:type="dxa" w:w="850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≥5:1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≥6:1</w:t>
            </w:r>
          </w:p>
        </w:tc>
        <w:tc>
          <w:tcPr>
            <w:tcW w:type="dxa" w:w="907"/>
            <w:tcMar>
              <w:top w:w="40" w:type="dxa"/>
              <w:left w:w="90" w:type="dxa"/>
              <w:bottom w:w="40" w:type="dxa"/>
              <w:right w:w="90" w:type="dxa"/>
            </w:tcMar>
            <w:vAlign w:val="center"/>
          </w:tcPr>
          <w:p>
            <w:pPr>
              <w:spacing w:before="24" w:after="24" w:lineRule="auto" w:line="264"/>
              <w:jc w:val="center"/>
            </w:pPr>
            <w:r/>
            <w:r>
              <w:rPr>
                <w:rFonts w:ascii="Calibri" w:hAnsi="Calibri" w:eastAsia="Microsoft YaHei"/>
                <w:b w:val="0"/>
                <w:i w:val="0"/>
                <w:color w:val="1A1A1A"/>
                <w:sz w:val="14"/>
              </w:rPr>
              <w:t>≥7:1</w:t>
            </w:r>
          </w:p>
        </w:tc>
      </w:tr>
    </w:tbl>
    <w:p>
      <w:pPr>
        <w:spacing w:before="0" w:after="0" w:line="60" w:lineRule="exact"/>
      </w:pPr>
      <w:r>
        <w:rPr>
          <w:rFonts w:ascii="Calibri" w:hAnsi="Calibri" w:eastAsia="Microsoft YaHei"/>
          <w:b w:val="0"/>
          <w:i w:val="0"/>
          <w:color w:val="1A1A1A"/>
          <w:sz w:val="2"/>
        </w:rPr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c>
          <w:tcPr>
            <w:tcW w:type="dxa" w:w="10091"/>
            <w:tcBorders>
              <w:top w:val="single" w:sz="2" w:space="0" w:color="C9D1DA"/>
              <w:left w:val="single" w:sz="18" w:space="0" w:color="B08D3F"/>
              <w:bottom w:val="single" w:sz="2" w:space="0" w:color="C9D1DA"/>
              <w:right w:val="single" w:sz="2" w:space="0" w:color="C9D1DA"/>
            </w:tcBorders>
            <w:shd w:val="clear" w:color="auto" w:fill="FFFFFF"/>
            <w:tcMar>
              <w:top w:w="20" w:type="dxa"/>
              <w:left w:w="120" w:type="dxa"/>
              <w:bottom w:w="20" w:type="dxa"/>
              <w:right w:w="80" w:type="dxa"/>
            </w:tcMar>
          </w:tcPr>
          <w:p>
            <w:pPr>
              <w:spacing w:before="40" w:after="20"/>
            </w:pPr>
            <w:r/>
            <w:r>
              <w:rPr>
                <w:rFonts w:ascii="Calibri" w:hAnsi="Calibri" w:eastAsia="Microsoft YaHei"/>
                <w:b/>
                <w:i w:val="0"/>
                <w:color w:val="0B2545"/>
                <w:sz w:val="16"/>
              </w:rPr>
              <w:t>开业前必须完成的五项前置合规（缺一即无法营业）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① S.A. de C.V. 实体、外资登记 RNIE、RFC、e.firma、数字签章 CSD 及 PAC 对接，并具备开具 CFDI 4.0 与货运 Carta Porte 附件的能力——否则无法向任何正规企业客户销售（买方无法抵扣增值税），蒙特雷工业客户论证即不成立。注册资本建议不低于 500 万比索以支撑进口授信，预留 6–10 周。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② 进口商名录（Padrón de Importadores）及服装纺织类特定行业名录；按是否经拉雷多向美国再出口决定 IMMEX 或 PROSEC／第八条规则的适用；消费品关税 0–35%（非自贸协定来源的纺织服装居高端），另有 16% 增值税形成 300–500 万比索现金垫付。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③ NOM 强制认证与标签：NOM-050-SCFI（西语标签、原产国、进口商名称／RFC／地址、公制净含量、保修说明）适用于生活用品、厨房、服装、文具、礼品；服装另需 NOM-004-SCFI；劳保品类风险最高，工业客户采购前必索取符合性证书（NOM-017-STPS 框架及 NOM-113-STPS 劳保鞋等）。须立即委托 ANCE／NYCE／Normex 等认可机构，并对现有 2 亿库存做 NOM-050 合规审计——若无西语标签将产生 300–800 万比索尚未计入模型的返工成本，此为最重要的尽调事项。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④ IMPI 商标先行注册：墨西哥为申请在先制，未注册即公开使用，抢注者可合法阻断 CLG 使用自有品牌。须在首份图册印刷前完成两个品牌全部相关尼斯类别的递交，并同周注册 .com.mx 域名与社媒账号。</w:t>
            </w:r>
          </w:p>
          <w:p>
            <w:pPr>
              <w:spacing w:before="0" w:after="24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⑤ ERP／WMS 须先于三大平台上线且不得自行开发（建议 SAP Business One 或 NetSuite）。对外表述应为「以统一 ERP 为底座、90 天内分步交付三大平台」而非「1–2 个月同时上线三大平台」——前者被读作专业，后者被读作缺乏经验。</w:t>
            </w:r>
          </w:p>
          <w:p>
            <w:pPr>
              <w:spacing w:before="0" w:after="50" w:line="254" w:lineRule="auto"/>
              <w:ind w:left="147" w:hanging="147"/>
            </w:pPr>
            <w:r>
              <w:rPr>
                <w:rFonts w:ascii="Calibri" w:hAnsi="Calibri" w:eastAsia="Microsoft YaHei"/>
                <w:b w:val="0"/>
                <w:i w:val="0"/>
                <w:color w:val="5A6472"/>
                <w:sz w:val="13"/>
              </w:rPr>
              <w:t>补充：关联交易（自有物流与中国采购主体）须按独立交易原则定价并出具转让定价报告，否则美国审计师不予签字，将阻断上市；清仓通道须于第 6 个月前建成。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22" w:right="907" w:bottom="680" w:left="907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single" w:sz="6" w:space="0" w:color="C9D1DA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8504"/>
      <w:gridCol w:w="1587"/>
    </w:tblGrid>
    <w:tr>
      <w:tc>
        <w:tcPr>
          <w:tcW w:type="dxa" w:w="8504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4"/>
            </w:rPr>
            <w:t>CLG GROUP · MEXICO  |  商业计划书  |  本文件含商业机密，未经书面许可不得复制或转发</w:t>
          </w:r>
        </w:p>
      </w:tc>
      <w:tc>
        <w:tcPr>
          <w:tcW w:type="dxa" w:w="1587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40" w:after="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第 </w:t>
          </w:r>
          <w:r>
            <w:rPr>
              <w:rFonts w:ascii="Calibri" w:hAnsi="Calibri" w:eastAsia="Microsoft YaHei"/>
              <w:b w:val="0"/>
              <w:i w:val="0"/>
              <w:color w:val="0B2545"/>
              <w:sz w:val="15"/>
            </w:rPr>
            <w:fldChar w:fldCharType="begin"/>
            <w:instrText xml:space="preserve"> PAGE </w:instrText>
            <w:fldChar w:fldCharType="end"/>
          </w:r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 xml:space="preserve"> 页</w:t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/>
        <w:left w:val="nil"/>
        <w:bottom w:val="single" w:sz="6" w:space="0" w:color="B08D3F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6236"/>
      <w:gridCol w:w="3855"/>
    </w:tblGrid>
    <w:tr>
      <w:tc>
        <w:tcPr>
          <w:tcW w:type="dxa" w:w="6236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</w:pPr>
          <w:r/>
          <w:r>
            <w:rPr>
              <w:rFonts w:ascii="Calibri" w:hAnsi="Calibri" w:eastAsia="Microsoft YaHei"/>
              <w:b/>
              <w:i w:val="0"/>
              <w:color w:val="0B2545"/>
              <w:sz w:val="15"/>
            </w:rPr>
            <w:t>CLG 集团  |  墨西哥市场商业计划书</w:t>
          </w:r>
        </w:p>
      </w:tc>
      <w:tc>
        <w:tcPr>
          <w:tcW w:type="dxa" w:w="3855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after="30"/>
            <w:jc w:val="right"/>
          </w:pPr>
          <w:r/>
          <w:r>
            <w:rPr>
              <w:rFonts w:ascii="Calibri" w:hAnsi="Calibri" w:eastAsia="Microsoft YaHei"/>
              <w:b w:val="0"/>
              <w:i w:val="0"/>
              <w:color w:val="5A6472"/>
              <w:sz w:val="15"/>
            </w:rPr>
            <w:t>2026年9月  ·  严格保密  ·  仅供投资人审阅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 w:eastAsia="Microsoft YaHe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