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10091"/>
      </w:tblGrid>
      <w:tr>
        <w:tc>
          <w:tcPr>
            <w:tcW w:type="dxa" w:w="10091"/>
            <w:shd w:val="clear" w:color="auto" w:fill="0B2545"/>
            <w:tcMar>
              <w:top w:w="80" w:type="dxa"/>
              <w:left w:w="210" w:type="dxa"/>
              <w:bottom w:w="70" w:type="dxa"/>
              <w:right w:w="170" w:type="dxa"/>
            </w:tcMar>
          </w:tcPr>
          <w:p>
            <w:pPr>
              <w:spacing w:after="20"/>
            </w:pPr>
            <w:r/>
            <w:r>
              <w:rPr>
                <w:rFonts w:ascii="Calibri" w:hAnsi="Calibri" w:eastAsia="Microsoft YaHei"/>
                <w:b/>
                <w:i w:val="0"/>
                <w:color w:val="B08D3F"/>
                <w:sz w:val="16"/>
              </w:rPr>
              <w:t>CLG GROUP  ·  MEXICO</w:t>
            </w:r>
          </w:p>
          <w:p>
            <w:pPr>
              <w:spacing w:after="40"/>
            </w:pPr>
            <w:r>
              <w:rPr>
                <w:rFonts w:ascii="Calibri" w:hAnsi="Calibri" w:eastAsia="Microsoft YaHei"/>
                <w:b/>
                <w:i w:val="0"/>
                <w:color w:val="FFFFFF"/>
                <w:sz w:val="40"/>
              </w:rPr>
              <w:t>墨西哥市场商业计划书</w:t>
            </w:r>
          </w:p>
          <w:p>
            <w:pPr>
              <w:spacing w:after="60"/>
            </w:pPr>
            <w:r>
              <w:rPr>
                <w:rFonts w:ascii="Calibri" w:hAnsi="Calibri" w:eastAsia="Microsoft YaHei"/>
                <w:b w:val="0"/>
                <w:i w:val="0"/>
                <w:color w:val="CFD7E3"/>
                <w:sz w:val="20"/>
              </w:rPr>
              <w:t>极致轻资产 · 寄售零库存 · 18 人双城精兵</w:t>
            </w:r>
          </w:p>
          <w:p>
            <w:pPr>
              <w:spacing w:after="20"/>
            </w:pPr>
            <w:r>
              <w:rPr>
                <w:rFonts w:ascii="Calibri" w:hAnsi="Calibri" w:eastAsia="Microsoft YaHei"/>
                <w:b w:val="0"/>
                <w:i w:val="0"/>
                <w:color w:val="B08D3F"/>
                <w:sz w:val="16"/>
              </w:rPr>
              <w:t>墨西哥城 CDMX  ×  蒙特雷 MONTERREY    |    融资需求 115 万美元</w:t>
            </w:r>
          </w:p>
          <w:p>
            <w:pPr>
              <w:spacing w:after="0"/>
            </w:pPr>
            <w:r>
              <w:rPr>
                <w:rFonts w:ascii="Calibri" w:hAnsi="Calibri" w:eastAsia="Microsoft YaHei"/>
                <w:b w:val="0"/>
                <w:i w:val="0"/>
                <w:color w:val="CFD7E3"/>
                <w:sz w:val="16"/>
              </w:rPr>
              <w:t>编制人：总经理  John Kim    |    2026年9月    |    严格保密</w:t>
            </w:r>
          </w:p>
        </w:tc>
      </w:tr>
    </w:tbl>
    <w:p>
      <w:pPr>
        <w:spacing w:before="0" w:after="0" w:line="14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9"/>
        </w:rPr>
        <w:t>投 资 要 点   INVESTMENT HIGHLIGHTS</w:t>
      </w:r>
    </w:p>
    <w:p>
      <w:pPr>
        <w:pBdr>
          <w:bottom w:val="single" w:sz="10" w:space="2" w:color="B08D3F"/>
        </w:pBdr>
        <w:spacing w:before="20" w:after="80"/>
      </w:pPr>
      <w:r>
        <w:rPr>
          <w:rFonts w:ascii="Calibri" w:hAnsi="Calibri" w:eastAsia="Microsoft YaHei"/>
          <w:b w:val="0"/>
          <w:i w:val="0"/>
          <w:color w:val="1A1A1A"/>
          <w:sz w:val="2"/>
        </w:rPr>
      </w:r>
    </w:p>
    <w:p>
      <w:pPr>
        <w:spacing w:before="10" w:after="44" w:line="278" w:lineRule="auto"/>
        <w:ind w:left="181" w:hanging="181"/>
      </w:pPr>
      <w:r>
        <w:rPr>
          <w:rFonts w:ascii="Calibri" w:hAnsi="Calibri" w:eastAsia="Microsoft YaHei"/>
          <w:b/>
          <w:i w:val="0"/>
          <w:color w:val="B08D3F"/>
          <w:sz w:val="18"/>
        </w:rPr>
        <w:t xml:space="preserve">▪ </w:t>
      </w:r>
      <w:r>
        <w:rPr>
          <w:rFonts w:ascii="Calibri" w:hAnsi="Calibri" w:eastAsia="Microsoft YaHei"/>
          <w:b/>
          <w:i w:val="0"/>
          <w:color w:val="0B2545"/>
          <w:sz w:val="18"/>
        </w:rPr>
        <w:t>01  零库存资本占用：2 亿比索货源以寄售方式无偿供货</w:t>
      </w:r>
      <w:r>
        <w:rPr>
          <w:rFonts w:ascii="Calibri" w:hAnsi="Calibri" w:eastAsia="Microsoft YaHei"/>
          <w:b w:val="0"/>
          <w:i w:val="0"/>
          <w:color w:val="1A1A1A"/>
          <w:sz w:val="18"/>
        </w:rPr>
        <w:t xml:space="preserve">  </w:t>
      </w:r>
      <w:r>
        <w:rPr>
          <w:rFonts w:ascii="Calibri" w:hAnsi="Calibri" w:eastAsia="Microsoft YaHei"/>
          <w:b w:val="0"/>
          <w:i w:val="0"/>
          <w:color w:val="1A1A1A"/>
          <w:sz w:val="18"/>
        </w:rPr>
      </w:r>
    </w:p>
    <w:p>
      <w:pPr>
        <w:spacing w:before="0" w:after="64" w:lineRule="auto" w:line="262"/>
        <w:ind w:left="181"/>
        <w:jc w:val="both"/>
      </w:pPr>
      <w:r>
        <w:rPr>
          <w:rFonts w:ascii="Calibri" w:hAnsi="Calibri" w:eastAsia="Microsoft YaHei"/>
          <w:b w:val="0"/>
          <w:i w:val="0"/>
          <w:color w:val="33404F"/>
          <w:sz w:val="16"/>
        </w:rPr>
        <w:t>合作方将其位于墨西哥城仓库的约 2 亿比索（1,080 万美元）低价实物库存，以寄售（consignación）方式无偿交由 CLG 销售，售出后按约定结算价付款。CLG 无需垫付一分钱采购款，不承担库存资金占用、滞销跌价、仓储损耗与进口汇率风险——这些全部由合作方承担，本项目的资产负债表上没有最容易出问题的那一项。同时因货源取得成本极低，CLG 可将售价定在市场价以下 15–20% 仍实现 47% 综合毛利率，本地同业按正常 FOB 加运费、关税与 16% 增值税采购，毛利率天花板仅 20–25%。</w:t>
      </w:r>
    </w:p>
    <w:p>
      <w:pPr>
        <w:spacing w:before="10" w:after="44" w:line="278" w:lineRule="auto"/>
        <w:ind w:left="181" w:hanging="181"/>
      </w:pPr>
      <w:r>
        <w:rPr>
          <w:rFonts w:ascii="Calibri" w:hAnsi="Calibri" w:eastAsia="Microsoft YaHei"/>
          <w:b/>
          <w:i w:val="0"/>
          <w:color w:val="B08D3F"/>
          <w:sz w:val="18"/>
        </w:rPr>
        <w:t xml:space="preserve">▪ </w:t>
      </w:r>
      <w:r>
        <w:rPr>
          <w:rFonts w:ascii="Calibri" w:hAnsi="Calibri" w:eastAsia="Microsoft YaHei"/>
          <w:b/>
          <w:i w:val="0"/>
          <w:color w:val="0B2545"/>
          <w:sz w:val="18"/>
        </w:rPr>
        <w:t>02  融资需求仅 115 万美元，且首年净利润即达 1,028 万比索</w:t>
      </w:r>
      <w:r>
        <w:rPr>
          <w:rFonts w:ascii="Calibri" w:hAnsi="Calibri" w:eastAsia="Microsoft YaHei"/>
          <w:b w:val="0"/>
          <w:i w:val="0"/>
          <w:color w:val="1A1A1A"/>
          <w:sz w:val="18"/>
        </w:rPr>
        <w:t xml:space="preserve">  </w:t>
      </w:r>
      <w:r>
        <w:rPr>
          <w:rFonts w:ascii="Calibri" w:hAnsi="Calibri" w:eastAsia="Microsoft YaHei"/>
          <w:b w:val="0"/>
          <w:i w:val="0"/>
          <w:color w:val="1A1A1A"/>
          <w:sz w:val="18"/>
        </w:rPr>
      </w:r>
    </w:p>
    <w:p>
      <w:pPr>
        <w:spacing w:before="0" w:after="64" w:lineRule="auto" w:line="262"/>
        <w:ind w:left="181"/>
        <w:jc w:val="both"/>
      </w:pPr>
      <w:r>
        <w:rPr>
          <w:rFonts w:ascii="Calibri" w:hAnsi="Calibri" w:eastAsia="Microsoft YaHei"/>
          <w:b w:val="0"/>
          <w:i w:val="0"/>
          <w:color w:val="33404F"/>
          <w:sz w:val="16"/>
        </w:rPr>
        <w:t>由于无需备货资金，初始投资仅由人力、双城租金、运营费用与蒙特雷场地一次性建设构成。成本控制贯彻到每一项：展厅采用模块化陈列，装修预算压缩至常规方案的 20%；仓库货架、叉车、配送车辆与办公设备全部采购二手。启动资金 2,130 万比索（115 万美元）覆盖前 3 个月全部支出与场地建设，其中 500 万比索为应收账款周转金；自第 4 个月起，自有品牌量产、平台迭代与第三城筹备等全部扩张性支出均由经营现金流滚动再投资，不再需要追加股权融资。首年即实现 EBITDA 1,588 万比索（16.0%）与净利润 1,028 万比索（10.4%）。</w:t>
      </w:r>
    </w:p>
    <w:p>
      <w:pPr>
        <w:spacing w:before="10" w:after="44" w:line="278" w:lineRule="auto"/>
        <w:ind w:left="181" w:hanging="181"/>
      </w:pPr>
      <w:r>
        <w:rPr>
          <w:rFonts w:ascii="Calibri" w:hAnsi="Calibri" w:eastAsia="Microsoft YaHei"/>
          <w:b/>
          <w:i w:val="0"/>
          <w:color w:val="B08D3F"/>
          <w:sz w:val="18"/>
        </w:rPr>
        <w:t xml:space="preserve">▪ </w:t>
      </w:r>
      <w:r>
        <w:rPr>
          <w:rFonts w:ascii="Calibri" w:hAnsi="Calibri" w:eastAsia="Microsoft YaHei"/>
          <w:b/>
          <w:i w:val="0"/>
          <w:color w:val="0B2545"/>
          <w:sz w:val="18"/>
        </w:rPr>
        <w:t>03  本测算仍为保守口径：全部年度收入按原始业务测算的 60% 计列</w:t>
      </w:r>
      <w:r>
        <w:rPr>
          <w:rFonts w:ascii="Calibri" w:hAnsi="Calibri" w:eastAsia="Microsoft YaHei"/>
          <w:b w:val="0"/>
          <w:i w:val="0"/>
          <w:color w:val="1A1A1A"/>
          <w:sz w:val="18"/>
        </w:rPr>
        <w:t xml:space="preserve">  </w:t>
      </w:r>
      <w:r>
        <w:rPr>
          <w:rFonts w:ascii="Calibri" w:hAnsi="Calibri" w:eastAsia="Microsoft YaHei"/>
          <w:b w:val="0"/>
          <w:i w:val="0"/>
          <w:color w:val="1A1A1A"/>
          <w:sz w:val="18"/>
        </w:rPr>
      </w:r>
    </w:p>
    <w:p>
      <w:pPr>
        <w:spacing w:before="0" w:after="64" w:lineRule="auto" w:line="262"/>
        <w:ind w:left="181"/>
        <w:jc w:val="both"/>
      </w:pPr>
      <w:r>
        <w:rPr>
          <w:rFonts w:ascii="Calibri" w:hAnsi="Calibri" w:eastAsia="Microsoft YaHei"/>
          <w:b w:val="0"/>
          <w:i w:val="0"/>
          <w:color w:val="33404F"/>
          <w:sz w:val="16"/>
        </w:rPr>
        <w:t>各年度收入按内部业务测算值的 60% 计列（首年 9,900 万比索、第三年 5.10 亿比索），保留 40% 安全边际。人员编制 18 人（较原方案减少 71%），两城由总经理一人统管、设计与创意全部外包，增量覆盖主要通过代理商网络（首年 60 家、第三年 440 家）而非自建团队实现。第三年 EBITDA 达 9,690 万比索（524 万美元），为融资总额的 4.6 倍；三年累计 EBITDA 为融资额的 7.4 倍、累计净利润为 4.9 倍。</w:t>
      </w:r>
    </w:p>
    <w:p>
      <w:pPr>
        <w:spacing w:before="0" w:after="0" w:line="60" w:lineRule="exact"/>
      </w:pPr>
      <w:r>
        <w:rPr>
          <w:rFonts w:ascii="Calibri" w:hAnsi="Calibri" w:eastAsia="Microsoft YaHei"/>
          <w:b w:val="0"/>
          <w:i w:val="0"/>
          <w:color w:val="1A1A1A"/>
          <w:sz w:val="2"/>
        </w:rPr>
      </w:r>
    </w:p>
    <w:tbl>
      <w:tblPr>
        <w:tblW w:type="auto" w:w="0"/>
        <w:jc w:val="center"/>
        <w:tblBorders>
          <w:top w:val="single" w:sz="4" w:space="0" w:color="C9D1DA"/>
          <w:left w:val="single" w:sz="4" w:space="0" w:color="C9D1DA"/>
          <w:bottom w:val="single" w:sz="4" w:space="0" w:color="C9D1DA"/>
          <w:right w:val="single" w:sz="4" w:space="0" w:color="C9D1DA"/>
          <w:insideH w:val="nil"/>
          <w:insideV w:val="single" w:sz="4" w:space="0" w:color="C9D1DA"/>
        </w:tblBorders>
        <w:tblLayout w:type="fixed"/>
        <w:tblLook w:firstColumn="1" w:firstRow="1" w:lastColumn="0" w:lastRow="0" w:noHBand="0" w:noVBand="1" w:val="04A0"/>
      </w:tblPr>
      <w:tblGrid>
        <w:gridCol w:w="2018"/>
        <w:gridCol w:w="2018"/>
        <w:gridCol w:w="2018"/>
        <w:gridCol w:w="2018"/>
        <w:gridCol w:w="2018"/>
      </w:tblGrid>
      <w:tr>
        <w:tc>
          <w:tcPr>
            <w:tcW w:type="dxa" w:w="2018"/>
            <w:shd w:val="clear" w:color="auto" w:fill="F2F4F7"/>
            <w:tcMar>
              <w:top w:w="10" w:type="dxa"/>
              <w:left w:w="30" w:type="dxa"/>
              <w:bottom w:w="10" w:type="dxa"/>
              <w:right w:w="30" w:type="dxa"/>
            </w:tcMar>
          </w:tcPr>
          <w:p>
            <w:pPr>
              <w:spacing w:before="60" w:after="0"/>
              <w:jc w:val="center"/>
            </w:pPr>
            <w:r/>
            <w:r>
              <w:rPr>
                <w:rFonts w:ascii="Calibri" w:hAnsi="Calibri" w:eastAsia="Microsoft YaHei"/>
                <w:b/>
                <w:i w:val="0"/>
                <w:color w:val="0B2545"/>
                <w:sz w:val="26"/>
              </w:rPr>
              <w:t>0</w:t>
            </w:r>
          </w:p>
          <w:p>
            <w:pPr>
              <w:spacing w:before="0" w:after="60"/>
              <w:jc w:val="center"/>
            </w:pPr>
            <w:r>
              <w:rPr>
                <w:rFonts w:ascii="Calibri" w:hAnsi="Calibri" w:eastAsia="Microsoft YaHei"/>
                <w:b w:val="0"/>
                <w:i w:val="0"/>
                <w:color w:val="5A6472"/>
                <w:sz w:val="14"/>
              </w:rPr>
              <w:t>库存资金占用（寄售）</w:t>
            </w:r>
          </w:p>
        </w:tc>
        <w:tc>
          <w:tcPr>
            <w:tcW w:type="dxa" w:w="2018"/>
            <w:shd w:val="clear" w:color="auto" w:fill="F2F4F7"/>
            <w:tcMar>
              <w:top w:w="10" w:type="dxa"/>
              <w:left w:w="30" w:type="dxa"/>
              <w:bottom w:w="10" w:type="dxa"/>
              <w:right w:w="30" w:type="dxa"/>
            </w:tcMar>
          </w:tcPr>
          <w:p>
            <w:pPr>
              <w:spacing w:before="60" w:after="0"/>
              <w:jc w:val="center"/>
            </w:pPr>
            <w:r/>
            <w:r>
              <w:rPr>
                <w:rFonts w:ascii="Calibri" w:hAnsi="Calibri" w:eastAsia="Microsoft YaHei"/>
                <w:b/>
                <w:i w:val="0"/>
                <w:color w:val="0B2545"/>
                <w:sz w:val="26"/>
              </w:rPr>
              <w:t>115万</w:t>
            </w:r>
          </w:p>
          <w:p>
            <w:pPr>
              <w:spacing w:before="0" w:after="60"/>
              <w:jc w:val="center"/>
            </w:pPr>
            <w:r>
              <w:rPr>
                <w:rFonts w:ascii="Calibri" w:hAnsi="Calibri" w:eastAsia="Microsoft YaHei"/>
                <w:b w:val="0"/>
                <w:i w:val="0"/>
                <w:color w:val="5A6472"/>
                <w:sz w:val="14"/>
              </w:rPr>
              <w:t>融资需求（美元）</w:t>
            </w:r>
          </w:p>
        </w:tc>
        <w:tc>
          <w:tcPr>
            <w:tcW w:type="dxa" w:w="2018"/>
            <w:shd w:val="clear" w:color="auto" w:fill="F2F4F7"/>
            <w:tcMar>
              <w:top w:w="10" w:type="dxa"/>
              <w:left w:w="30" w:type="dxa"/>
              <w:bottom w:w="10" w:type="dxa"/>
              <w:right w:w="30" w:type="dxa"/>
            </w:tcMar>
          </w:tcPr>
          <w:p>
            <w:pPr>
              <w:spacing w:before="60" w:after="0"/>
              <w:jc w:val="center"/>
            </w:pPr>
            <w:r/>
            <w:r>
              <w:rPr>
                <w:rFonts w:ascii="Calibri" w:hAnsi="Calibri" w:eastAsia="Microsoft YaHei"/>
                <w:b/>
                <w:i w:val="0"/>
                <w:color w:val="0B2545"/>
                <w:sz w:val="26"/>
              </w:rPr>
              <w:t>18人</w:t>
            </w:r>
          </w:p>
          <w:p>
            <w:pPr>
              <w:spacing w:before="0" w:after="60"/>
              <w:jc w:val="center"/>
            </w:pPr>
            <w:r>
              <w:rPr>
                <w:rFonts w:ascii="Calibri" w:hAnsi="Calibri" w:eastAsia="Microsoft YaHei"/>
                <w:b w:val="0"/>
                <w:i w:val="0"/>
                <w:color w:val="5A6472"/>
                <w:sz w:val="14"/>
              </w:rPr>
              <w:t>双城人员编制</w:t>
            </w:r>
          </w:p>
        </w:tc>
        <w:tc>
          <w:tcPr>
            <w:tcW w:type="dxa" w:w="2018"/>
            <w:shd w:val="clear" w:color="auto" w:fill="F2F4F7"/>
            <w:tcMar>
              <w:top w:w="10" w:type="dxa"/>
              <w:left w:w="30" w:type="dxa"/>
              <w:bottom w:w="10" w:type="dxa"/>
              <w:right w:w="30" w:type="dxa"/>
            </w:tcMar>
          </w:tcPr>
          <w:p>
            <w:pPr>
              <w:spacing w:before="60" w:after="0"/>
              <w:jc w:val="center"/>
            </w:pPr>
            <w:r/>
            <w:r>
              <w:rPr>
                <w:rFonts w:ascii="Calibri" w:hAnsi="Calibri" w:eastAsia="Microsoft YaHei"/>
                <w:b/>
                <w:i w:val="0"/>
                <w:color w:val="0B2545"/>
                <w:sz w:val="26"/>
              </w:rPr>
              <w:t>1,028万</w:t>
            </w:r>
          </w:p>
          <w:p>
            <w:pPr>
              <w:spacing w:before="0" w:after="60"/>
              <w:jc w:val="center"/>
            </w:pPr>
            <w:r>
              <w:rPr>
                <w:rFonts w:ascii="Calibri" w:hAnsi="Calibri" w:eastAsia="Microsoft YaHei"/>
                <w:b w:val="0"/>
                <w:i w:val="0"/>
                <w:color w:val="5A6472"/>
                <w:sz w:val="14"/>
              </w:rPr>
              <w:t>首年净利润（比索）</w:t>
            </w:r>
          </w:p>
        </w:tc>
        <w:tc>
          <w:tcPr>
            <w:tcW w:type="dxa" w:w="2018"/>
            <w:shd w:val="clear" w:color="auto" w:fill="F2F4F7"/>
            <w:tcMar>
              <w:top w:w="10" w:type="dxa"/>
              <w:left w:w="30" w:type="dxa"/>
              <w:bottom w:w="10" w:type="dxa"/>
              <w:right w:w="30" w:type="dxa"/>
            </w:tcMar>
          </w:tcPr>
          <w:p>
            <w:pPr>
              <w:spacing w:before="60" w:after="0"/>
              <w:jc w:val="center"/>
            </w:pPr>
            <w:r/>
            <w:r>
              <w:rPr>
                <w:rFonts w:ascii="Calibri" w:hAnsi="Calibri" w:eastAsia="Microsoft YaHei"/>
                <w:b/>
                <w:i w:val="0"/>
                <w:color w:val="0B2545"/>
                <w:sz w:val="26"/>
              </w:rPr>
              <w:t>9,690万</w:t>
            </w:r>
          </w:p>
          <w:p>
            <w:pPr>
              <w:spacing w:before="0" w:after="60"/>
              <w:jc w:val="center"/>
            </w:pPr>
            <w:r>
              <w:rPr>
                <w:rFonts w:ascii="Calibri" w:hAnsi="Calibri" w:eastAsia="Microsoft YaHei"/>
                <w:b w:val="0"/>
                <w:i w:val="0"/>
                <w:color w:val="5A6472"/>
                <w:sz w:val="14"/>
              </w:rPr>
              <w:t>第三年 EBITDA（比索）</w:t>
            </w:r>
          </w:p>
        </w:tc>
      </w:tr>
    </w:tbl>
    <w:p>
      <w:pPr>
        <w:spacing w:before="0" w:after="0" w:line="8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9"/>
        </w:rPr>
        <w:t>核 心 财 务 速 览（保守口径）   FINANCIAL SUMMARY</w:t>
      </w:r>
    </w:p>
    <w:p>
      <w:pPr>
        <w:pBdr>
          <w:bottom w:val="single" w:sz="10" w:space="2" w:color="B08D3F"/>
        </w:pBdr>
        <w:spacing w:before="20" w:after="80"/>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3175"/>
        <w:gridCol w:w="1729"/>
        <w:gridCol w:w="1729"/>
        <w:gridCol w:w="1729"/>
        <w:gridCol w:w="1729"/>
      </w:tblGrid>
      <w:tr>
        <w:trPr>
          <w:tblHeader w:val="true"/>
        </w:trPr>
        <w:tc>
          <w:tcPr>
            <w:tcW w:type="dxa" w:w="317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财务指标（单位：百万比索）</w:t>
            </w:r>
          </w:p>
        </w:tc>
        <w:tc>
          <w:tcPr>
            <w:tcW w:type="dxa" w:w="172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第一年</w:t>
            </w:r>
          </w:p>
        </w:tc>
        <w:tc>
          <w:tcPr>
            <w:tcW w:type="dxa" w:w="172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第二年</w:t>
            </w:r>
          </w:p>
        </w:tc>
        <w:tc>
          <w:tcPr>
            <w:tcW w:type="dxa" w:w="172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第三年</w:t>
            </w:r>
          </w:p>
        </w:tc>
        <w:tc>
          <w:tcPr>
            <w:tcW w:type="dxa" w:w="172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三年累计</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营业收入</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99.0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252.0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510.0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861.0</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收入增长率</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+154.5%</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+102.4%</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CAGR 127%</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毛利润 / 毛利率</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46.5 / 47.0%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113.4 / 45.0%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224.4 / 44.0%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384.3</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营业费用 / 占收入</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30.7 / 31.0%</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69.6 / 27.6%</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127.5 / 25.0%</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227.8</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EBITDA / EBITDA 率</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15.9 / 16.0%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43.8 / 17.4%</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96.9 / 19.0%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156.6</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净利润 / 净利率</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10.3 / 10.4%</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29.1 / 11.6%</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65.3 / 12.8%</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104.7</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自有品牌收入占比</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9%</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20%</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32%</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毛利贡献 42%</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自建城市 / 代理商数</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2 / 60</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4 / 180</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7 / 440</w:t>
            </w:r>
          </w:p>
        </w:tc>
        <w:tc>
          <w:tcPr>
            <w:tcW w:type="dxa" w:w="172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代理商覆盖全国</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6"/>
              </w:rPr>
              <w:t>人员编制 / 人均产出</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18 / 550万</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38 / 663万</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72 / 708万</w:t>
            </w:r>
          </w:p>
        </w:tc>
        <w:tc>
          <w:tcPr>
            <w:tcW w:type="dxa" w:w="172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6"/>
              </w:rPr>
              <w:t>代理商网络放大人效</w:t>
            </w:r>
          </w:p>
        </w:tc>
      </w:tr>
    </w:tbl>
    <w:p>
      <w:pPr>
        <w:spacing w:before="0" w:after="0" w:line="60" w:lineRule="exact"/>
      </w:pPr>
      <w:r>
        <w:rPr>
          <w:rFonts w:ascii="Calibri" w:hAnsi="Calibri" w:eastAsia="Microsoft YaHei"/>
          <w:b w:val="0"/>
          <w:i w:val="0"/>
          <w:color w:val="1A1A1A"/>
          <w:sz w:val="2"/>
        </w:rPr>
      </w:r>
    </w:p>
    <w:p>
      <w:pPr>
        <w:spacing w:before="0" w:after="0" w:lineRule="auto" w:line="283"/>
        <w:jc w:val="both"/>
      </w:pPr>
      <w:r>
        <w:rPr>
          <w:rFonts w:ascii="Calibri" w:hAnsi="Calibri" w:eastAsia="Microsoft YaHei"/>
          <w:b w:val="0"/>
          <w:i w:val="0"/>
          <w:color w:val="5A6472"/>
          <w:sz w:val="14"/>
        </w:rPr>
        <w:t>注：汇率按 1 美元 = 18.50 比索测算。综合毛利率由 50% 调降至 47%（第二、三年 45%／44%），系放量所需的渠道让价与第三年起转入常规补货的共同影响——这是收入上调的真实代价，已如实计入。人均产出高于行业常规，系因仓储主体在合作方仓库、配送由集团自有物流承担、终端覆盖由 60→440 家代理商网络完成——18 人只负责决策、系统、大客户与渠道管理。</w:t>
      </w:r>
    </w:p>
    <w:p>
      <w:pPr>
        <w:spacing w:before="0" w:after="0" w:line="2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9"/>
        </w:rPr>
        <w:t>本 版 保 守 方 案 与 原 始 测 算 的 关 键 差 异   KEY REVISIONS</w:t>
      </w:r>
    </w:p>
    <w:p>
      <w:pPr>
        <w:pBdr>
          <w:bottom w:val="single" w:sz="10" w:space="2" w:color="B08D3F"/>
        </w:pBdr>
        <w:spacing w:before="20" w:after="80"/>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1616"/>
        <w:gridCol w:w="2353"/>
        <w:gridCol w:w="3061"/>
        <w:gridCol w:w="3061"/>
      </w:tblGrid>
      <w:tr>
        <w:trPr>
          <w:tblHeader w:val="true"/>
        </w:trPr>
        <w:tc>
          <w:tcPr>
            <w:tcW w:type="dxa" w:w="1616"/>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项目</w:t>
            </w:r>
          </w:p>
        </w:tc>
        <w:tc>
          <w:tcPr>
            <w:tcW w:type="dxa" w:w="2353"/>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原始测算方案</w:t>
            </w:r>
          </w:p>
        </w:tc>
        <w:tc>
          <w:tcPr>
            <w:tcW w:type="dxa" w:w="306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本版保守方案</w:t>
            </w:r>
          </w:p>
        </w:tc>
        <w:tc>
          <w:tcPr>
            <w:tcW w:type="dxa" w:w="306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对投资人的意义</w:t>
            </w:r>
          </w:p>
        </w:tc>
      </w:tr>
      <w:tr>
        <w:tc>
          <w:tcPr>
            <w:tcW w:type="dxa" w:w="1616"/>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年度收入口径</w:t>
            </w:r>
          </w:p>
        </w:tc>
        <w:tc>
          <w:tcPr>
            <w:tcW w:type="dxa" w:w="2353"/>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内部测算值 100%</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全部年度按 60% 计列</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保留 40% 安全边际，超额为纯上行</w:t>
            </w:r>
          </w:p>
        </w:tc>
      </w:tr>
      <w:tr>
        <w:tc>
          <w:tcPr>
            <w:tcW w:type="dxa" w:w="1616"/>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货源与库存</w:t>
            </w:r>
          </w:p>
        </w:tc>
        <w:tc>
          <w:tcPr>
            <w:tcW w:type="dxa" w:w="2353"/>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自购 2 亿比索库存，占用资本</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合作方寄售无偿供货、售出后结算</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资金占用、滞销与跌价风险归零</w:t>
            </w:r>
          </w:p>
        </w:tc>
      </w:tr>
      <w:tr>
        <w:tc>
          <w:tcPr>
            <w:tcW w:type="dxa" w:w="1616"/>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人员编制与管理架构</w:t>
            </w:r>
          </w:p>
        </w:tc>
        <w:tc>
          <w:tcPr>
            <w:tcW w:type="dxa" w:w="2353"/>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62 人；墨城总部 + 蒙特雷分公司经理</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18 人；总经理一人统管两城，设计与创意外包</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减少 71%；增量覆盖由代理商网络承担</w:t>
            </w:r>
          </w:p>
        </w:tc>
      </w:tr>
      <w:tr>
        <w:tc>
          <w:tcPr>
            <w:tcW w:type="dxa" w:w="1616"/>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场地装修与设备</w:t>
            </w:r>
          </w:p>
        </w:tc>
        <w:tc>
          <w:tcPr>
            <w:tcW w:type="dxa" w:w="2353"/>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展厅重装 + 全新货架、叉车、车辆与办公设备</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装修压缩至常规方案 20%；设备与车辆全部二手</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该科目由 733 万降至 193 万比索</w:t>
            </w:r>
          </w:p>
        </w:tc>
      </w:tr>
      <w:tr>
        <w:tc>
          <w:tcPr>
            <w:tcW w:type="dxa" w:w="1616"/>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融资需求与后续扩张</w:t>
            </w:r>
          </w:p>
        </w:tc>
        <w:tc>
          <w:tcPr>
            <w:tcW w:type="dxa" w:w="2353"/>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400 万美元；后续仍需追加股权融资</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115 万美元（人力、双城租金、运营费与应收周转金）；第 4 个月起由经营收入内生</w:t>
            </w:r>
          </w:p>
        </w:tc>
        <w:tc>
          <w:tcPr>
            <w:tcW w:type="dxa" w:w="3061"/>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融资规模下降 71%，且三年内无需追加融资</w:t>
            </w:r>
          </w:p>
        </w:tc>
      </w:tr>
      <w:tr>
        <w:tc>
          <w:tcPr>
            <w:tcW w:type="dxa" w:w="1616"/>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物流路径</w:t>
            </w:r>
          </w:p>
        </w:tc>
        <w:tc>
          <w:tcPr>
            <w:tcW w:type="dxa" w:w="2353"/>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亚洲直航至太平洋港口</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中国→美国→墨西哥，自有物流陆路入墨</w:t>
            </w:r>
          </w:p>
        </w:tc>
        <w:tc>
          <w:tcPr>
            <w:tcW w:type="dxa" w:w="3061"/>
            <w:shd w:val="clear" w:color="auto" w:fill="F2F4F7"/>
            <w:tcMar>
              <w:top w:w="40" w:type="dxa"/>
              <w:left w:w="90" w:type="dxa"/>
              <w:bottom w:w="40" w:type="dxa"/>
              <w:right w:w="90" w:type="dxa"/>
            </w:tcMar>
            <w:vAlign w:val="center"/>
          </w:tcPr>
          <w:p>
            <w:pPr>
              <w:spacing w:before="6" w:after="6" w:lineRule="auto" w:line="264"/>
            </w:pPr>
            <w:r/>
            <w:r>
              <w:rPr>
                <w:rFonts w:ascii="Calibri" w:hAnsi="Calibri" w:eastAsia="Microsoft YaHei"/>
                <w:b w:val="0"/>
                <w:i w:val="0"/>
                <w:color w:val="1A1A1A"/>
                <w:sz w:val="13"/>
              </w:rPr>
              <w:t>查验扣押与货损失窃风险大幅下降</w:t>
            </w:r>
          </w:p>
        </w:tc>
      </w:tr>
    </w:tbl>
    <w:p>
      <w:pPr>
        <w:spacing w:before="0" w:after="0"/>
      </w:pPr>
      <w:r>
        <w:br w:type="page"/>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01</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市场机会与双城战略</w:t>
            </w:r>
            <w:r>
              <w:rPr>
                <w:rFonts w:ascii="Calibri" w:hAnsi="Calibri" w:eastAsia="Microsoft YaHei"/>
                <w:b w:val="0"/>
                <w:i w:val="0"/>
                <w:color w:val="5A6472"/>
                <w:sz w:val="15"/>
              </w:rPr>
              <w:t xml:space="preserve">   MARKET OPPORTUNITY &amp; TWO-CITY STRATEGY</w:t>
            </w:r>
          </w:p>
        </w:tc>
      </w:tr>
    </w:tbl>
    <w:p>
      <w:pPr>
        <w:spacing w:before="0" w:after="0" w:line="50" w:lineRule="exact"/>
      </w:pPr>
      <w:r>
        <w:rPr>
          <w:rFonts w:ascii="Calibri" w:hAnsi="Calibri" w:eastAsia="Microsoft YaHei"/>
          <w:b w:val="0"/>
          <w:i w:val="0"/>
          <w:color w:val="1A1A1A"/>
          <w:sz w:val="2"/>
        </w:rPr>
      </w:r>
    </w:p>
    <w:p>
      <w:pPr>
        <w:spacing w:before="0" w:after="80" w:lineRule="auto" w:line="276"/>
        <w:jc w:val="both"/>
      </w:pPr>
      <w:r>
        <w:rPr>
          <w:rFonts w:ascii="Calibri" w:hAnsi="Calibri" w:eastAsia="Microsoft YaHei"/>
          <w:b w:val="0"/>
          <w:i w:val="0"/>
          <w:color w:val="1A1A1A"/>
          <w:sz w:val="16"/>
        </w:rPr>
        <w:t>墨西哥批发贸易业 2023 年营业收入达 9.71 万亿比索（INEGI 年度商业调查），同比增长 4.8%。CLG 聚焦的六大品类全国批发规模约 5,200 亿比索（281 亿美元）。按本版口径，CLG 第三年收入 5.10 亿比索，仅相当于自身可服务细分市场的 0.54%——这是一个份额中的份额的故事，而非创造市场的故事。</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1417"/>
        <w:gridCol w:w="4309"/>
        <w:gridCol w:w="1531"/>
        <w:gridCol w:w="1417"/>
        <w:gridCol w:w="1417"/>
      </w:tblGrid>
      <w:tr>
        <w:trPr>
          <w:tblHeader w:val="true"/>
        </w:trPr>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市场层级</w:t>
            </w:r>
          </w:p>
        </w:tc>
        <w:tc>
          <w:tcPr>
            <w:tcW w:type="dxa" w:w="430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口径定义</w:t>
            </w:r>
          </w:p>
        </w:tc>
        <w:tc>
          <w:tcPr>
            <w:tcW w:type="dxa" w:w="153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规模（比索）</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规模（美元）</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CLG 份额</w:t>
            </w:r>
          </w:p>
        </w:tc>
      </w:tr>
      <w:tr>
        <w:tc>
          <w:tcPr>
            <w:tcW w:type="dxa" w:w="141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TAM 总体市场</w:t>
            </w:r>
          </w:p>
        </w:tc>
        <w:tc>
          <w:tcPr>
            <w:tcW w:type="dxa" w:w="4309"/>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全国六大品类批发总值（估算，基于 INEGI 分行业收入与进口统计三角测算）</w:t>
            </w:r>
          </w:p>
        </w:tc>
        <w:tc>
          <w:tcPr>
            <w:tcW w:type="dxa" w:w="153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5,200 亿</w:t>
            </w:r>
          </w:p>
        </w:tc>
        <w:tc>
          <w:tcPr>
            <w:tcW w:type="dxa" w:w="141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281 亿</w:t>
            </w:r>
          </w:p>
        </w:tc>
        <w:tc>
          <w:tcPr>
            <w:tcW w:type="dxa" w:w="141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w:t>
            </w:r>
          </w:p>
        </w:tc>
      </w:tr>
      <w:tr>
        <w:tc>
          <w:tcPr>
            <w:tcW w:type="dxa" w:w="1417"/>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SAM 可服务市场</w:t>
            </w:r>
          </w:p>
        </w:tc>
        <w:tc>
          <w:tcPr>
            <w:tcW w:type="dxa" w:w="4309"/>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双城都会区（墨城 2,200万人 + 蒙特雷 550万人）占全国批发吞吐约 32%，其中亚洲进口高性价比细分约 35%</w:t>
            </w:r>
          </w:p>
        </w:tc>
        <w:tc>
          <w:tcPr>
            <w:tcW w:type="dxa" w:w="153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583 亿</w:t>
            </w:r>
          </w:p>
        </w:tc>
        <w:tc>
          <w:tcPr>
            <w:tcW w:type="dxa" w:w="141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31.5 亿</w:t>
            </w:r>
          </w:p>
        </w:tc>
        <w:tc>
          <w:tcPr>
            <w:tcW w:type="dxa" w:w="141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w:t>
            </w:r>
          </w:p>
        </w:tc>
      </w:tr>
      <w:tr>
        <w:tc>
          <w:tcPr>
            <w:tcW w:type="dxa" w:w="141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SOM 可获得份额</w:t>
            </w:r>
          </w:p>
        </w:tc>
        <w:tc>
          <w:tcPr>
            <w:tcW w:type="dxa" w:w="4309"/>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第一年 0.99 亿 / 第二年 2.52 亿 / 第三年 5.10 亿比索</w:t>
            </w:r>
          </w:p>
        </w:tc>
        <w:tc>
          <w:tcPr>
            <w:tcW w:type="dxa" w:w="153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5.10 亿（Y3）</w:t>
            </w:r>
          </w:p>
        </w:tc>
        <w:tc>
          <w:tcPr>
            <w:tcW w:type="dxa" w:w="141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0.28 亿</w:t>
            </w:r>
          </w:p>
        </w:tc>
        <w:tc>
          <w:tcPr>
            <w:tcW w:type="dxa" w:w="141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Y1 0.17% → Y3 0.54%</w:t>
            </w:r>
          </w:p>
        </w:tc>
      </w:tr>
    </w:tbl>
    <w:p>
      <w:pPr>
        <w:spacing w:before="0" w:after="0" w:line="100" w:lineRule="exact"/>
      </w:pPr>
      <w:r>
        <w:rPr>
          <w:rFonts w:ascii="Calibri" w:hAnsi="Calibri" w:eastAsia="Microsoft YaHei"/>
          <w:b w:val="0"/>
          <w:i w:val="0"/>
          <w:color w:val="1A1A1A"/>
          <w:sz w:val="2"/>
        </w:rPr>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c>
          <w:tcPr>
            <w:tcW w:type="dxa" w:w="5046"/>
            <w:tcBorders>
              <w:top w:val="single" w:sz="2" w:space="0" w:color="C9D1DA"/>
              <w:left w:val="single" w:sz="18" w:space="0" w:color="B08D3F"/>
              <w:bottom w:val="single" w:sz="2" w:space="0" w:color="C9D1DA"/>
              <w:right w:val="single" w:sz="2" w:space="0" w:color="C9D1DA"/>
            </w:tcBorders>
            <w:shd w:val="clear" w:color="auto" w:fill="FFFFFF"/>
            <w:tcMar>
              <w:top w:w="20" w:type="dxa"/>
              <w:left w:w="120" w:type="dxa"/>
              <w:bottom w:w="20" w:type="dxa"/>
              <w:right w:w="80" w:type="dxa"/>
            </w:tcMar>
          </w:tcPr>
          <w:p>
            <w:pPr>
              <w:spacing w:before="40" w:after="20"/>
            </w:pPr>
            <w:r/>
            <w:r>
              <w:rPr>
                <w:rFonts w:ascii="Calibri" w:hAnsi="Calibri" w:eastAsia="Microsoft YaHei"/>
                <w:b/>
                <w:i w:val="0"/>
                <w:color w:val="0B2545"/>
                <w:sz w:val="17"/>
              </w:rPr>
              <w:t>墨西哥城 CDMX —— 量 ( 现金引擎 )</w:t>
            </w:r>
          </w:p>
          <w:p>
            <w:pPr>
              <w:spacing w:before="0" w:after="24" w:line="269" w:lineRule="auto"/>
              <w:ind w:left="147" w:hanging="147"/>
            </w:pPr>
            <w:r>
              <w:rPr>
                <w:rFonts w:ascii="Calibri" w:hAnsi="Calibri" w:eastAsia="Microsoft YaHei"/>
                <w:b w:val="0"/>
                <w:i w:val="0"/>
                <w:color w:val="5A6472"/>
                <w:sz w:val="15"/>
              </w:rPr>
              <w:t>· 伊斯塔帕拉帕 Central de Abastos：美洲最大批发市场，占地约 328 公顷、日均人流 9 万人次，为全国价格定价节点。</w:t>
            </w:r>
          </w:p>
          <w:p>
            <w:pPr>
              <w:spacing w:before="0" w:after="24" w:line="269" w:lineRule="auto"/>
              <w:ind w:left="147" w:hanging="147"/>
            </w:pPr>
            <w:r>
              <w:rPr>
                <w:rFonts w:ascii="Calibri" w:hAnsi="Calibri" w:eastAsia="Microsoft YaHei"/>
                <w:b w:val="0"/>
                <w:i w:val="0"/>
                <w:color w:val="5A6472"/>
                <w:sz w:val="15"/>
              </w:rPr>
              <w:t>· Tepito / La Merced / Eje Central 商圈数千家进口再批发商，正是 CLG 六大品类的直接客户而非竞争者——他们按柜采购、全国分拨。</w:t>
            </w:r>
          </w:p>
          <w:p>
            <w:pPr>
              <w:spacing w:before="0" w:after="24" w:line="269" w:lineRule="auto"/>
              <w:ind w:left="147" w:hanging="147"/>
            </w:pPr>
            <w:r>
              <w:rPr>
                <w:rFonts w:ascii="Calibri" w:hAnsi="Calibri" w:eastAsia="Microsoft YaHei"/>
                <w:b w:val="0"/>
                <w:i w:val="0"/>
                <w:color w:val="5A6472"/>
                <w:sz w:val="15"/>
              </w:rPr>
              <w:t>· 寄售货源就在合作方的墨西哥城仓库，CLG 只需租用展厅与集团总部办公空间（800㎡），无需自建大仓，租金负担与建设周期同步下降。</w:t>
            </w:r>
          </w:p>
          <w:p>
            <w:pPr>
              <w:spacing w:before="0" w:after="50" w:line="269" w:lineRule="auto"/>
              <w:ind w:left="147" w:hanging="147"/>
            </w:pPr>
            <w:r>
              <w:rPr>
                <w:rFonts w:ascii="Calibri" w:hAnsi="Calibri" w:eastAsia="Microsoft YaHei"/>
                <w:b w:val="0"/>
                <w:i w:val="0"/>
                <w:color w:val="5A6472"/>
                <w:sz w:val="15"/>
              </w:rPr>
              <w:t>· 客户特征：大批量、价格敏感、现金结算——回款快、应收风险低。</w:t>
            </w:r>
          </w:p>
        </w:tc>
        <w:tc>
          <w:tcPr>
            <w:tcW w:type="dxa" w:w="5046"/>
            <w:tcBorders>
              <w:top w:val="single" w:sz="2" w:space="0" w:color="C9D1DA"/>
              <w:left w:val="single" w:sz="18" w:space="0" w:color="B08D3F"/>
              <w:bottom w:val="single" w:sz="2" w:space="0" w:color="C9D1DA"/>
              <w:right w:val="single" w:sz="2" w:space="0" w:color="C9D1DA"/>
            </w:tcBorders>
            <w:shd w:val="clear" w:color="auto" w:fill="FFFFFF"/>
            <w:tcMar>
              <w:top w:w="20" w:type="dxa"/>
              <w:left w:w="120" w:type="dxa"/>
              <w:bottom w:w="20" w:type="dxa"/>
              <w:right w:w="80" w:type="dxa"/>
            </w:tcMar>
          </w:tcPr>
          <w:p>
            <w:pPr>
              <w:spacing w:before="40" w:after="20"/>
            </w:pPr>
            <w:r/>
            <w:r>
              <w:rPr>
                <w:rFonts w:ascii="Calibri" w:hAnsi="Calibri" w:eastAsia="Microsoft YaHei"/>
                <w:b/>
                <w:i w:val="0"/>
                <w:color w:val="0B2545"/>
                <w:sz w:val="17"/>
              </w:rPr>
              <w:t>蒙特雷 MONTERREY —— 利 ( 品质引擎 )</w:t>
            </w:r>
          </w:p>
          <w:p>
            <w:pPr>
              <w:spacing w:before="0" w:after="24" w:line="269" w:lineRule="auto"/>
              <w:ind w:left="147" w:hanging="147"/>
            </w:pPr>
            <w:r>
              <w:rPr>
                <w:rFonts w:ascii="Calibri" w:hAnsi="Calibri" w:eastAsia="Microsoft YaHei"/>
                <w:b w:val="0"/>
                <w:i w:val="0"/>
                <w:color w:val="5A6472"/>
                <w:sz w:val="15"/>
              </w:rPr>
              <w:t>· 新莱昂州 14,000 余家工业企业（Apodaca、Santa Catarina、Escobedo、Guadalupe 走廊），劳保与工装属刚性、可续约的重复性采购。</w:t>
            </w:r>
          </w:p>
          <w:p>
            <w:pPr>
              <w:spacing w:before="0" w:after="24" w:line="269" w:lineRule="auto"/>
              <w:ind w:left="147" w:hanging="147"/>
            </w:pPr>
            <w:r>
              <w:rPr>
                <w:rFonts w:ascii="Calibri" w:hAnsi="Calibri" w:eastAsia="Microsoft YaHei"/>
                <w:b w:val="0"/>
                <w:i w:val="0"/>
                <w:color w:val="5A6472"/>
                <w:sz w:val="15"/>
              </w:rPr>
              <w:t>· 人均 GDP 为全国均值约 1.6 倍，同一 SKU 毛利率较墨城高 3–6 个百分点。</w:t>
            </w:r>
          </w:p>
          <w:p>
            <w:pPr>
              <w:spacing w:before="0" w:after="24" w:line="269" w:lineRule="auto"/>
              <w:ind w:left="147" w:hanging="147"/>
            </w:pPr>
            <w:r>
              <w:rPr>
                <w:rFonts w:ascii="Calibri" w:hAnsi="Calibri" w:eastAsia="Microsoft YaHei"/>
                <w:b w:val="0"/>
                <w:i w:val="0"/>
                <w:color w:val="5A6472"/>
                <w:sz w:val="15"/>
              </w:rPr>
              <w:t>· 正规企业客户强制要求 CFDI 4.0 电子发票与账期——这是非正规同业无法提供的结构性壁垒。</w:t>
            </w:r>
          </w:p>
          <w:p>
            <w:pPr>
              <w:spacing w:before="0" w:after="50" w:line="269" w:lineRule="auto"/>
              <w:ind w:left="147" w:hanging="147"/>
            </w:pPr>
            <w:r>
              <w:rPr>
                <w:rFonts w:ascii="Calibri" w:hAnsi="Calibri" w:eastAsia="Microsoft YaHei"/>
                <w:b w:val="0"/>
                <w:i w:val="0"/>
                <w:color w:val="5A6472"/>
                <w:sz w:val="15"/>
              </w:rPr>
              <w:t>· 距新拉雷多陆港 2 小时，正是集团「中国→美国→墨西哥」自有物流通道的落地终点，展厅与仓库即该通道的墨西哥北部枢纽。</w:t>
            </w:r>
          </w:p>
        </w:tc>
      </w:tr>
    </w:tbl>
    <w:p>
      <w:pPr>
        <w:spacing w:before="0" w:after="0" w:line="160" w:lineRule="exact"/>
      </w:pPr>
      <w:r>
        <w:rPr>
          <w:rFonts w:ascii="Calibri" w:hAnsi="Calibri" w:eastAsia="Microsoft YaHei"/>
          <w:b w:val="0"/>
          <w:i w:val="0"/>
          <w:color w:val="1A1A1A"/>
          <w:sz w:val="2"/>
        </w:rPr>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02</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业务板块一：B2B / B2C 批发分销</w:t>
            </w:r>
            <w:r>
              <w:rPr>
                <w:rFonts w:ascii="Calibri" w:hAnsi="Calibri" w:eastAsia="Microsoft YaHei"/>
                <w:b w:val="0"/>
                <w:i w:val="0"/>
                <w:color w:val="5A6472"/>
                <w:sz w:val="15"/>
              </w:rPr>
              <w:t xml:space="preserve">   WHOLESALE DISTRIBUTION</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438"/>
        <w:gridCol w:w="1077"/>
        <w:gridCol w:w="1644"/>
        <w:gridCol w:w="964"/>
        <w:gridCol w:w="1474"/>
        <w:gridCol w:w="2494"/>
      </w:tblGrid>
      <w:tr>
        <w:trPr>
          <w:tblHeader w:val="true"/>
        </w:trPr>
        <w:tc>
          <w:tcPr>
            <w:tcW w:type="dxa" w:w="243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品类（六大初始业务领域）</w:t>
            </w:r>
          </w:p>
        </w:tc>
        <w:tc>
          <w:tcPr>
            <w:tcW w:type="dxa" w:w="107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收入占比</w:t>
            </w:r>
          </w:p>
        </w:tc>
        <w:tc>
          <w:tcPr>
            <w:tcW w:type="dxa" w:w="164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首年收入（百万比索）</w:t>
            </w:r>
          </w:p>
        </w:tc>
        <w:tc>
          <w:tcPr>
            <w:tcW w:type="dxa" w:w="96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毛利率</w:t>
            </w:r>
          </w:p>
        </w:tc>
        <w:tc>
          <w:tcPr>
            <w:tcW w:type="dxa" w:w="147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毛利（百万比索）</w:t>
            </w:r>
          </w:p>
        </w:tc>
        <w:tc>
          <w:tcPr>
            <w:tcW w:type="dxa" w:w="249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核心利润驱动</w:t>
            </w:r>
          </w:p>
        </w:tc>
      </w:tr>
      <w:tr>
        <w:tc>
          <w:tcPr>
            <w:tcW w:type="dxa" w:w="243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劳保用品 PPE / 工装</w:t>
            </w:r>
          </w:p>
        </w:tc>
        <w:tc>
          <w:tcPr>
            <w:tcW w:type="dxa" w:w="107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32%</w:t>
            </w:r>
          </w:p>
        </w:tc>
        <w:tc>
          <w:tcPr>
            <w:tcW w:type="dxa" w:w="164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25.3</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47%</w:t>
            </w:r>
          </w:p>
        </w:tc>
        <w:tc>
          <w:tcPr>
            <w:tcW w:type="dxa" w:w="147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11.9</w:t>
            </w:r>
          </w:p>
        </w:tc>
        <w:tc>
          <w:tcPr>
            <w:tcW w:type="dxa" w:w="2494"/>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蒙特雷工业合同，耗材属性、重复采购</w:t>
            </w:r>
          </w:p>
        </w:tc>
      </w:tr>
      <w:tr>
        <w:tc>
          <w:tcPr>
            <w:tcW w:type="dxa" w:w="243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生活用品 Household</w:t>
            </w:r>
          </w:p>
        </w:tc>
        <w:tc>
          <w:tcPr>
            <w:tcW w:type="dxa" w:w="107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24%</w:t>
            </w:r>
          </w:p>
        </w:tc>
        <w:tc>
          <w:tcPr>
            <w:tcW w:type="dxa" w:w="164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19.0</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51%</w:t>
            </w:r>
          </w:p>
        </w:tc>
        <w:tc>
          <w:tcPr>
            <w:tcW w:type="dxa" w:w="147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9.7</w:t>
            </w:r>
          </w:p>
        </w:tc>
        <w:tc>
          <w:tcPr>
            <w:tcW w:type="dxa" w:w="2494"/>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寄售折扣最深、周转最快</w:t>
            </w:r>
          </w:p>
        </w:tc>
      </w:tr>
      <w:tr>
        <w:tc>
          <w:tcPr>
            <w:tcW w:type="dxa" w:w="243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厨房用品 Kitchenware</w:t>
            </w:r>
          </w:p>
        </w:tc>
        <w:tc>
          <w:tcPr>
            <w:tcW w:type="dxa" w:w="107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14%</w:t>
            </w:r>
          </w:p>
        </w:tc>
        <w:tc>
          <w:tcPr>
            <w:tcW w:type="dxa" w:w="164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11.1</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50%</w:t>
            </w:r>
          </w:p>
        </w:tc>
        <w:tc>
          <w:tcPr>
            <w:tcW w:type="dxa" w:w="147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5.6</w:t>
            </w:r>
          </w:p>
        </w:tc>
        <w:tc>
          <w:tcPr>
            <w:tcW w:type="dxa" w:w="2494"/>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酒店餐饮 HORECA + 零售双通道</w:t>
            </w:r>
          </w:p>
        </w:tc>
      </w:tr>
      <w:tr>
        <w:tc>
          <w:tcPr>
            <w:tcW w:type="dxa" w:w="243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服装 Apparel</w:t>
            </w:r>
          </w:p>
        </w:tc>
        <w:tc>
          <w:tcPr>
            <w:tcW w:type="dxa" w:w="107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13%</w:t>
            </w:r>
          </w:p>
        </w:tc>
        <w:tc>
          <w:tcPr>
            <w:tcW w:type="dxa" w:w="164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10.3</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48%</w:t>
            </w:r>
          </w:p>
        </w:tc>
        <w:tc>
          <w:tcPr>
            <w:tcW w:type="dxa" w:w="147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4.9</w:t>
            </w:r>
          </w:p>
        </w:tc>
        <w:tc>
          <w:tcPr>
            <w:tcW w:type="dxa" w:w="2494"/>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基础款与工装，无时尚库存风险</w:t>
            </w:r>
          </w:p>
        </w:tc>
      </w:tr>
      <w:tr>
        <w:tc>
          <w:tcPr>
            <w:tcW w:type="dxa" w:w="243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文具 Stationery</w:t>
            </w:r>
          </w:p>
        </w:tc>
        <w:tc>
          <w:tcPr>
            <w:tcW w:type="dxa" w:w="107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10%</w:t>
            </w:r>
          </w:p>
        </w:tc>
        <w:tc>
          <w:tcPr>
            <w:tcW w:type="dxa" w:w="164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7.9</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44%</w:t>
            </w:r>
          </w:p>
        </w:tc>
        <w:tc>
          <w:tcPr>
            <w:tcW w:type="dxa" w:w="147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3.5</w:t>
            </w:r>
          </w:p>
        </w:tc>
        <w:tc>
          <w:tcPr>
            <w:tcW w:type="dxa" w:w="2494"/>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开学季 7–8 月占全年 45% 销量</w:t>
            </w:r>
          </w:p>
        </w:tc>
      </w:tr>
      <w:tr>
        <w:tc>
          <w:tcPr>
            <w:tcW w:type="dxa" w:w="243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礼品 Gifts</w:t>
            </w:r>
          </w:p>
        </w:tc>
        <w:tc>
          <w:tcPr>
            <w:tcW w:type="dxa" w:w="107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7%</w:t>
            </w:r>
          </w:p>
        </w:tc>
        <w:tc>
          <w:tcPr>
            <w:tcW w:type="dxa" w:w="164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5.5</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54%</w:t>
            </w:r>
          </w:p>
        </w:tc>
        <w:tc>
          <w:tcPr>
            <w:tcW w:type="dxa" w:w="147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3.0</w:t>
            </w:r>
          </w:p>
        </w:tc>
        <w:tc>
          <w:tcPr>
            <w:tcW w:type="dxa" w:w="2494"/>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企业定制礼品，加工溢价</w:t>
            </w:r>
          </w:p>
        </w:tc>
      </w:tr>
      <w:tr>
        <w:tc>
          <w:tcPr>
            <w:tcW w:type="dxa" w:w="2438"/>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pPr>
            <w:r/>
            <w:r>
              <w:rPr>
                <w:rFonts w:ascii="Calibri" w:hAnsi="Calibri" w:eastAsia="Microsoft YaHei"/>
                <w:b/>
                <w:i w:val="0"/>
                <w:color w:val="0B2545"/>
                <w:sz w:val="15"/>
              </w:rPr>
              <w:t>B2B 合计</w:t>
            </w:r>
          </w:p>
        </w:tc>
        <w:tc>
          <w:tcPr>
            <w:tcW w:type="dxa" w:w="1077"/>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100%</w:t>
            </w:r>
          </w:p>
        </w:tc>
        <w:tc>
          <w:tcPr>
            <w:tcW w:type="dxa" w:w="1644"/>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79.2</w:t>
            </w:r>
          </w:p>
        </w:tc>
        <w:tc>
          <w:tcPr>
            <w:tcW w:type="dxa" w:w="964"/>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48.7%</w:t>
            </w:r>
          </w:p>
        </w:tc>
        <w:tc>
          <w:tcPr>
            <w:tcW w:type="dxa" w:w="1474"/>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38.6</w:t>
            </w:r>
          </w:p>
        </w:tc>
        <w:tc>
          <w:tcPr>
            <w:tcW w:type="dxa" w:w="2494"/>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pPr>
            <w:r/>
            <w:r>
              <w:rPr>
                <w:rFonts w:ascii="Calibri" w:hAnsi="Calibri" w:eastAsia="Microsoft YaHei"/>
                <w:b/>
                <w:i w:val="0"/>
                <w:color w:val="0B2545"/>
                <w:sz w:val="15"/>
              </w:rPr>
              <w:t>另有 B2C／电商 10.8 百万比索，毛利率 40%；品类毛利率较原测算下调 3–4 点，为放量让价</w:t>
            </w:r>
          </w:p>
        </w:tc>
      </w:tr>
    </w:tbl>
    <w:p>
      <w:pPr>
        <w:spacing w:before="0" w:after="0" w:line="60" w:lineRule="exact"/>
      </w:pPr>
      <w:r>
        <w:rPr>
          <w:rFonts w:ascii="Calibri" w:hAnsi="Calibri" w:eastAsia="Microsoft YaHei"/>
          <w:b w:val="0"/>
          <w:i w:val="0"/>
          <w:color w:val="1A1A1A"/>
          <w:sz w:val="2"/>
        </w:rPr>
      </w:r>
    </w:p>
    <w:p>
      <w:pPr>
        <w:spacing w:before="0" w:after="120" w:lineRule="auto" w:line="276"/>
        <w:jc w:val="both"/>
      </w:pPr>
      <w:r>
        <w:rPr>
          <w:rFonts w:ascii="Calibri" w:hAnsi="Calibri" w:eastAsia="Microsoft YaHei"/>
          <w:b w:val="0"/>
          <w:i w:val="0"/>
          <w:color w:val="5A6472"/>
          <w:sz w:val="15"/>
        </w:rPr>
        <w:t>渠道次序（重要）：第 1 个月即开设 Mercado Libre 与 Amazon MX 官方旗舰店——先借平台流量实现零营销费的即时销售，并对数千个 SKU 进行真实价格与需求测试，其数据价值高于销售额本身，直接指导自有品牌选品；自建 D2C 平台随后承接被验证的客户。首年 B2C 收入中约 70% 来自第三方平台。支付端须在上线前完成 SPEI、OXXO Pay、Mercado Pago、免息分期（MSI）与 BNPL 接入。</w:t>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03</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业务板块二：自有品牌开发、生产与销售</w:t>
            </w:r>
            <w:r>
              <w:rPr>
                <w:rFonts w:ascii="Calibri" w:hAnsi="Calibri" w:eastAsia="Microsoft YaHei"/>
                <w:b w:val="0"/>
                <w:i w:val="0"/>
                <w:color w:val="5A6472"/>
                <w:sz w:val="15"/>
              </w:rPr>
              <w:t xml:space="preserve">   OWN-BRAND DEVELOPMENT</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268"/>
        <w:gridCol w:w="1134"/>
        <w:gridCol w:w="1134"/>
        <w:gridCol w:w="1134"/>
        <w:gridCol w:w="1247"/>
        <w:gridCol w:w="3175"/>
      </w:tblGrid>
      <w:tr>
        <w:trPr>
          <w:tblHeader w:val="true"/>
        </w:trPr>
        <w:tc>
          <w:tcPr>
            <w:tcW w:type="dxa" w:w="226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自有品牌指标</w:t>
            </w:r>
          </w:p>
        </w:tc>
        <w:tc>
          <w:tcPr>
            <w:tcW w:type="dxa" w:w="113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第一年</w:t>
            </w:r>
          </w:p>
        </w:tc>
        <w:tc>
          <w:tcPr>
            <w:tcW w:type="dxa" w:w="113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第二年</w:t>
            </w:r>
          </w:p>
        </w:tc>
        <w:tc>
          <w:tcPr>
            <w:tcW w:type="dxa" w:w="113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第三年</w:t>
            </w:r>
          </w:p>
        </w:tc>
        <w:tc>
          <w:tcPr>
            <w:tcW w:type="dxa" w:w="124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第五年目标</w:t>
            </w:r>
          </w:p>
        </w:tc>
        <w:tc>
          <w:tcPr>
            <w:tcW w:type="dxa" w:w="317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战略含义</w:t>
            </w:r>
          </w:p>
        </w:tc>
      </w:tr>
      <w:tr>
        <w:tc>
          <w:tcPr>
            <w:tcW w:type="dxa" w:w="226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自有品牌收入（百万比索）</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9.0</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50.4</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163.2</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约 780</w:t>
            </w:r>
          </w:p>
        </w:tc>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四年 CAGR 约 205%</w:t>
            </w:r>
          </w:p>
        </w:tc>
      </w:tr>
      <w:tr>
        <w:tc>
          <w:tcPr>
            <w:tcW w:type="dxa" w:w="226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占集团总收入比重</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9%</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20%</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32%</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50%+</w:t>
            </w:r>
          </w:p>
        </w:tc>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估值倍数的首要驱动因子</w:t>
            </w:r>
          </w:p>
        </w:tc>
      </w:tr>
      <w:tr>
        <w:tc>
          <w:tcPr>
            <w:tcW w:type="dxa" w:w="226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自有品牌毛利率</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38%</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52%</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58%</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62%</w:t>
            </w:r>
          </w:p>
        </w:tc>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模具与认证摊销完毕后爬升</w:t>
            </w:r>
          </w:p>
        </w:tc>
      </w:tr>
      <w:tr>
        <w:tc>
          <w:tcPr>
            <w:tcW w:type="dxa" w:w="226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占集团毛利总额比重</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7%</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23%</w:t>
            </w:r>
          </w:p>
        </w:tc>
        <w:tc>
          <w:tcPr>
            <w:tcW w:type="dxa" w:w="113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42%</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约 58%</w:t>
            </w:r>
          </w:p>
        </w:tc>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利润结构由贸易转向品牌</w:t>
            </w:r>
          </w:p>
        </w:tc>
      </w:tr>
      <w:tr>
        <w:tc>
          <w:tcPr>
            <w:tcW w:type="dxa" w:w="226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贸易业务毛利率（递减）</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49%</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44%</w:t>
            </w:r>
          </w:p>
        </w:tc>
        <w:tc>
          <w:tcPr>
            <w:tcW w:type="dxa" w:w="113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38%</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35%</w:t>
            </w:r>
          </w:p>
        </w:tc>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寄售货源第二年末去化 81%，第三年起转常规补货</w:t>
            </w:r>
          </w:p>
        </w:tc>
      </w:tr>
    </w:tbl>
    <w:p>
      <w:pPr>
        <w:spacing w:before="0" w:after="0" w:line="60" w:lineRule="exact"/>
      </w:pPr>
      <w:r>
        <w:rPr>
          <w:rFonts w:ascii="Calibri" w:hAnsi="Calibri" w:eastAsia="Microsoft YaHei"/>
          <w:b w:val="0"/>
          <w:i w:val="0"/>
          <w:color w:val="1A1A1A"/>
          <w:sz w:val="2"/>
        </w:rPr>
      </w:r>
    </w:p>
    <w:p>
      <w:pPr>
        <w:spacing w:before="0" w:after="0" w:lineRule="auto" w:line="276"/>
        <w:jc w:val="both"/>
      </w:pPr>
      <w:r>
        <w:rPr>
          <w:rFonts w:ascii="Calibri" w:hAnsi="Calibri" w:eastAsia="Microsoft YaHei"/>
          <w:b w:val="0"/>
          <w:i w:val="0"/>
          <w:color w:val="5A6472"/>
          <w:sz w:val="15"/>
        </w:rPr>
        <w:t>投资逻辑一句话：「前两年，寄售货源以零资金占用供养建设；第三至五年，自有品牌供养估值。」纯分销商的国际可比估值为 0.3–0.6 倍 EV/Revenue，而拥有自有渠道的品牌消费品公司为 1.5–3.0 倍。CLG 用自身经营现金流、而非投资人资金完成这一转型。自有品牌首批开发资金仅需 90 万比索（设计＋打样＋商标，设计外包），量产资金自第 4 个月起由经营收入承担；依托集团中国制造资源与墨西哥 NOM 认证能力，为本地大型零售商提供自有品牌 OEM 代工可作为第二增长曲线（第三年潜在 2,400–3,600 万比索），本计划将其列为上行空间而非基准预测。</w:t>
      </w:r>
    </w:p>
    <w:p>
      <w:pPr>
        <w:spacing w:before="0" w:after="0"/>
      </w:pPr>
      <w:r>
        <w:br w:type="page"/>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04</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执行路线图：90 天攻坚与首年里程碑</w:t>
            </w:r>
            <w:r>
              <w:rPr>
                <w:rFonts w:ascii="Calibri" w:hAnsi="Calibri" w:eastAsia="Microsoft YaHei"/>
                <w:b w:val="0"/>
                <w:i w:val="0"/>
                <w:color w:val="5A6472"/>
                <w:sz w:val="15"/>
              </w:rPr>
              <w:t xml:space="preserve">   EXECUTION ROADMAP</w:t>
            </w:r>
          </w:p>
        </w:tc>
      </w:tr>
    </w:tbl>
    <w:p>
      <w:pPr>
        <w:spacing w:before="0" w:after="0" w:line="50" w:lineRule="exact"/>
      </w:pPr>
      <w:r>
        <w:rPr>
          <w:rFonts w:ascii="Calibri" w:hAnsi="Calibri" w:eastAsia="Microsoft YaHei"/>
          <w:b w:val="0"/>
          <w:i w:val="0"/>
          <w:color w:val="1A1A1A"/>
          <w:sz w:val="2"/>
        </w:rPr>
      </w:r>
    </w:p>
    <w:p>
      <w:pPr>
        <w:spacing w:before="0" w:after="80" w:lineRule="auto" w:line="276"/>
        <w:jc w:val="both"/>
      </w:pPr>
      <w:r>
        <w:rPr>
          <w:rFonts w:ascii="Calibri" w:hAnsi="Calibri" w:eastAsia="Microsoft YaHei"/>
          <w:b w:val="0"/>
          <w:i w:val="0"/>
          <w:color w:val="1A1A1A"/>
          <w:sz w:val="16"/>
        </w:rPr>
        <w:t>三大平台不是并行硬上，而是「以统一 ERP 为底座、90 天内分步交付」。先完成合作方寄售 SKU 的主数据对接与条码化，再上 ERP／WMS，平台建于其 API 之上——若平台先于库存中台上线，将在第二周即出现超卖并摧毁客户信任。寄售模式下，CLG 的系统必须与合作方仓库实时对账，这是本项目的技术核心，由总经理直接负责。</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1077"/>
        <w:gridCol w:w="1304"/>
        <w:gridCol w:w="4649"/>
        <w:gridCol w:w="1247"/>
        <w:gridCol w:w="1814"/>
      </w:tblGrid>
      <w:tr>
        <w:trPr>
          <w:tblHeader w:val="true"/>
        </w:trPr>
        <w:tc>
          <w:tcPr>
            <w:tcW w:type="dxa" w:w="107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阶段</w:t>
            </w:r>
          </w:p>
        </w:tc>
        <w:tc>
          <w:tcPr>
            <w:tcW w:type="dxa" w:w="130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时间</w:t>
            </w:r>
          </w:p>
        </w:tc>
        <w:tc>
          <w:tcPr>
            <w:tcW w:type="dxa" w:w="464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关键交付（并行推进）</w:t>
            </w:r>
          </w:p>
        </w:tc>
        <w:tc>
          <w:tcPr>
            <w:tcW w:type="dxa" w:w="124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责任人</w:t>
            </w:r>
          </w:p>
        </w:tc>
        <w:tc>
          <w:tcPr>
            <w:tcW w:type="dxa" w:w="181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验收标准</w:t>
            </w:r>
          </w:p>
        </w:tc>
      </w:tr>
      <w:tr>
        <w:tc>
          <w:tcPr>
            <w:tcW w:type="dxa" w:w="107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第一阶段</w:t>
            </w:r>
            <w:r>
              <w:br/>
            </w:r>
            <w:r>
              <w:rPr>
                <w:rFonts w:ascii="Calibri" w:hAnsi="Calibri" w:eastAsia="Microsoft YaHei"/>
                <w:b w:val="0"/>
                <w:i w:val="0"/>
                <w:color w:val="1A1A1A"/>
                <w:sz w:val="14"/>
              </w:rPr>
              <w:t>攻坚期</w:t>
            </w:r>
          </w:p>
        </w:tc>
        <w:tc>
          <w:tcPr>
            <w:tcW w:type="dxa" w:w="130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 1–8 周</w:t>
            </w:r>
            <w:r>
              <w:br/>
            </w:r>
            <w:r>
              <w:rPr>
                <w:rFonts w:ascii="Calibri" w:hAnsi="Calibri" w:eastAsia="Microsoft YaHei"/>
                <w:b w:val="0"/>
                <w:i w:val="0"/>
                <w:color w:val="1A1A1A"/>
                <w:sz w:val="14"/>
              </w:rPr>
              <w:t>2026.10–11</w:t>
            </w:r>
          </w:p>
        </w:tc>
        <w:tc>
          <w:tcPr>
            <w:tcW w:type="dxa" w:w="4649"/>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① 寄售合作协议签署（墨西哥独家、最低供货承诺、结算价与账期锁定）　② 实体／RFC／e.firma／CFDI 4.0 开票通道；进口商名录与 IMMEX 申报　③ 寄售 SKU 主数据对接＋条码化＋NOM-050 合规审计　④ ERP＋WMS 上线　⑤ 集团官网上线　⑥ 蒙特雷 1,653㎡ 展厅与 3,306㎡ 仓库签约装修　⑦ 自有品牌 Logo／VI／产品设计与中国打样　⑧ IMPI 商标注册递交　⑨ Mercado Libre／Amazon MX 开店</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总经理</w:t>
            </w:r>
            <w:r>
              <w:br/>
            </w:r>
            <w:r>
              <w:rPr>
                <w:rFonts w:ascii="Calibri" w:hAnsi="Calibri" w:eastAsia="Microsoft YaHei"/>
                <w:b w:val="0"/>
                <w:i w:val="0"/>
                <w:color w:val="1A1A1A"/>
                <w:sz w:val="14"/>
              </w:rPr>
              <w:t>（IT 全责）</w:t>
            </w:r>
          </w:p>
        </w:tc>
        <w:tc>
          <w:tcPr>
            <w:tcW w:type="dxa" w:w="181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ERP 上线、蒙特雷交付、</w:t>
            </w:r>
            <w:r>
              <w:br/>
            </w:r>
            <w:r>
              <w:rPr>
                <w:rFonts w:ascii="Calibri" w:hAnsi="Calibri" w:eastAsia="Microsoft YaHei"/>
                <w:b w:val="0"/>
                <w:i w:val="0"/>
                <w:color w:val="1A1A1A"/>
                <w:sz w:val="14"/>
              </w:rPr>
              <w:t>寄售协议生效、官网上线</w:t>
            </w:r>
          </w:p>
        </w:tc>
      </w:tr>
      <w:tr>
        <w:tc>
          <w:tcPr>
            <w:tcW w:type="dxa" w:w="107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第二阶段</w:t>
            </w:r>
            <w:r>
              <w:br/>
            </w:r>
            <w:r>
              <w:rPr>
                <w:rFonts w:ascii="Calibri" w:hAnsi="Calibri" w:eastAsia="Microsoft YaHei"/>
                <w:b w:val="0"/>
                <w:i w:val="0"/>
                <w:color w:val="1A1A1A"/>
                <w:sz w:val="14"/>
              </w:rPr>
              <w:t>上线期</w:t>
            </w:r>
          </w:p>
        </w:tc>
        <w:tc>
          <w:tcPr>
            <w:tcW w:type="dxa" w:w="130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 9–14 周</w:t>
            </w:r>
            <w:r>
              <w:br/>
            </w:r>
            <w:r>
              <w:rPr>
                <w:rFonts w:ascii="Calibri" w:hAnsi="Calibri" w:eastAsia="Microsoft YaHei"/>
                <w:b w:val="0"/>
                <w:i w:val="0"/>
                <w:color w:val="1A1A1A"/>
                <w:sz w:val="14"/>
              </w:rPr>
              <w:t>2026.12–2027.01</w:t>
            </w:r>
          </w:p>
        </w:tc>
        <w:tc>
          <w:tcPr>
            <w:tcW w:type="dxa" w:w="4649"/>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① B2B/B2C 批发平台 V1.0 上线（客户分级、阶梯价、授信、下单—对账—开票闭环）　② 自有品牌 D2C 独立站上线　③ 公司介绍手册、产品图册＋分级价目表、代理商合同范本定稿　④ 经美国通道的首批蒙特雷铺货　⑤ 支付通道 SPEI/OXXO/Mercado Pago/MSI 接入</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总经理 ·</w:t>
            </w:r>
            <w:r>
              <w:br/>
            </w:r>
            <w:r>
              <w:rPr>
                <w:rFonts w:ascii="Calibri" w:hAnsi="Calibri" w:eastAsia="Microsoft YaHei"/>
                <w:b w:val="0"/>
                <w:i w:val="0"/>
                <w:color w:val="1A1A1A"/>
                <w:sz w:val="14"/>
              </w:rPr>
              <w:t>销售总监</w:t>
            </w:r>
          </w:p>
        </w:tc>
        <w:tc>
          <w:tcPr>
            <w:tcW w:type="dxa" w:w="181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平台交易跑通、</w:t>
            </w:r>
            <w:r>
              <w:br/>
            </w:r>
            <w:r>
              <w:rPr>
                <w:rFonts w:ascii="Calibri" w:hAnsi="Calibri" w:eastAsia="Microsoft YaHei"/>
                <w:b w:val="0"/>
                <w:i w:val="0"/>
                <w:color w:val="1A1A1A"/>
                <w:sz w:val="14"/>
              </w:rPr>
              <w:t>手册与合同交付</w:t>
            </w:r>
          </w:p>
        </w:tc>
      </w:tr>
      <w:tr>
        <w:tc>
          <w:tcPr>
            <w:tcW w:type="dxa" w:w="107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第三阶段</w:t>
            </w:r>
            <w:r>
              <w:br/>
            </w:r>
            <w:r>
              <w:rPr>
                <w:rFonts w:ascii="Calibri" w:hAnsi="Calibri" w:eastAsia="Microsoft YaHei"/>
                <w:b w:val="0"/>
                <w:i w:val="0"/>
                <w:color w:val="1A1A1A"/>
                <w:sz w:val="14"/>
              </w:rPr>
              <w:t>放量期</w:t>
            </w:r>
          </w:p>
        </w:tc>
        <w:tc>
          <w:tcPr>
            <w:tcW w:type="dxa" w:w="130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 15–52 周</w:t>
            </w:r>
            <w:r>
              <w:br/>
            </w:r>
            <w:r>
              <w:rPr>
                <w:rFonts w:ascii="Calibri" w:hAnsi="Calibri" w:eastAsia="Microsoft YaHei"/>
                <w:b w:val="0"/>
                <w:i w:val="0"/>
                <w:color w:val="1A1A1A"/>
                <w:sz w:val="14"/>
              </w:rPr>
              <w:t>2027.02–09</w:t>
            </w:r>
          </w:p>
        </w:tc>
        <w:tc>
          <w:tcPr>
            <w:tcW w:type="dxa" w:w="4649"/>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① 双城 360 家活跃 B2B 客户、60 家签约代理商　② 自有品牌首批量产（资金由经营收入承担）并上市　③ 大型渠道准入谈判　④ 第 4 个月起经营现金流自给，扩张支出全部内生　⑤ IFRS／US GAAP 账套与审计对接</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总经理 ·</w:t>
            </w:r>
            <w:r>
              <w:br/>
            </w:r>
            <w:r>
              <w:rPr>
                <w:rFonts w:ascii="Calibri" w:hAnsi="Calibri" w:eastAsia="Microsoft YaHei"/>
                <w:b w:val="0"/>
                <w:i w:val="0"/>
                <w:color w:val="1A1A1A"/>
                <w:sz w:val="14"/>
              </w:rPr>
              <w:t>销售总监</w:t>
            </w:r>
          </w:p>
        </w:tc>
        <w:tc>
          <w:tcPr>
            <w:tcW w:type="dxa" w:w="181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收入 9,900 万比索、</w:t>
            </w:r>
            <w:r>
              <w:br/>
            </w:r>
            <w:r>
              <w:rPr>
                <w:rFonts w:ascii="Calibri" w:hAnsi="Calibri" w:eastAsia="Microsoft YaHei"/>
                <w:b w:val="0"/>
                <w:i w:val="0"/>
                <w:color w:val="1A1A1A"/>
                <w:sz w:val="14"/>
              </w:rPr>
              <w:t>EBITDA 1,588 万、审计出具</w:t>
            </w:r>
          </w:p>
        </w:tc>
      </w:tr>
    </w:tbl>
    <w:p>
      <w:pPr>
        <w:spacing w:before="0" w:after="0" w:line="120" w:lineRule="exact"/>
      </w:pPr>
      <w:r>
        <w:rPr>
          <w:rFonts w:ascii="Calibri" w:hAnsi="Calibri" w:eastAsia="Microsoft YaHei"/>
          <w:b w:val="0"/>
          <w:i w:val="0"/>
          <w:color w:val="1A1A1A"/>
          <w:sz w:val="2"/>
        </w:rPr>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05</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组织架构与人力配置（18 人）</w:t>
            </w:r>
            <w:r>
              <w:rPr>
                <w:rFonts w:ascii="Calibri" w:hAnsi="Calibri" w:eastAsia="Microsoft YaHei"/>
                <w:b w:val="0"/>
                <w:i w:val="0"/>
                <w:color w:val="5A6472"/>
                <w:sz w:val="15"/>
              </w:rPr>
              <w:t xml:space="preserve">   ORGANIZATION &amp; HEADCOUNT</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948"/>
        <w:gridCol w:w="1871"/>
        <w:gridCol w:w="1871"/>
        <w:gridCol w:w="1247"/>
        <w:gridCol w:w="2154"/>
      </w:tblGrid>
      <w:tr>
        <w:trPr>
          <w:tblHeader w:val="true"/>
        </w:trPr>
        <w:tc>
          <w:tcPr>
            <w:tcW w:type="dxa" w:w="294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职能</w:t>
            </w:r>
          </w:p>
        </w:tc>
        <w:tc>
          <w:tcPr>
            <w:tcW w:type="dxa" w:w="187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墨西哥城（总部）</w:t>
            </w:r>
          </w:p>
        </w:tc>
        <w:tc>
          <w:tcPr>
            <w:tcW w:type="dxa" w:w="187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蒙特雷</w:t>
            </w:r>
          </w:p>
        </w:tc>
        <w:tc>
          <w:tcPr>
            <w:tcW w:type="dxa" w:w="124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合计</w:t>
            </w:r>
          </w:p>
        </w:tc>
        <w:tc>
          <w:tcPr>
            <w:tcW w:type="dxa" w:w="215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月度全负荷成本（比索）</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高管（总经理一人统管两城）</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w:t>
            </w:r>
          </w:p>
        </w:tc>
        <w:tc>
          <w:tcPr>
            <w:tcW w:type="dxa" w:w="215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243,000</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销售与展厅</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10</w:t>
            </w:r>
          </w:p>
        </w:tc>
        <w:tc>
          <w:tcPr>
            <w:tcW w:type="dxa" w:w="215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351,450</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仓储与物流</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3</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w:t>
            </w:r>
          </w:p>
        </w:tc>
        <w:tc>
          <w:tcPr>
            <w:tcW w:type="dxa" w:w="215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59,400</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电商与 IT 开发（总经理直属）</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2</w:t>
            </w:r>
          </w:p>
        </w:tc>
        <w:tc>
          <w:tcPr>
            <w:tcW w:type="dxa" w:w="215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121,500</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财务、采购与行政（兼客服）</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w:t>
            </w:r>
          </w:p>
        </w:tc>
        <w:tc>
          <w:tcPr>
            <w:tcW w:type="dxa" w:w="187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w:t>
            </w:r>
          </w:p>
        </w:tc>
        <w:tc>
          <w:tcPr>
            <w:tcW w:type="dxa" w:w="124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1</w:t>
            </w:r>
          </w:p>
        </w:tc>
        <w:tc>
          <w:tcPr>
            <w:tcW w:type="dxa" w:w="215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47,250</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5"/>
              </w:rPr>
              <w:t>设计、摄影、代运营、法务、报关</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外包</w:t>
            </w:r>
          </w:p>
        </w:tc>
        <w:tc>
          <w:tcPr>
            <w:tcW w:type="dxa" w:w="187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外包</w:t>
            </w:r>
          </w:p>
        </w:tc>
        <w:tc>
          <w:tcPr>
            <w:tcW w:type="dxa" w:w="124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0</w:t>
            </w:r>
          </w:p>
        </w:tc>
        <w:tc>
          <w:tcPr>
            <w:tcW w:type="dxa" w:w="215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5"/>
              </w:rPr>
              <w:t>不设编制，按项目计费</w:t>
            </w:r>
          </w:p>
        </w:tc>
      </w:tr>
      <w:tr>
        <w:tc>
          <w:tcPr>
            <w:tcW w:type="dxa" w:w="2948"/>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pPr>
            <w:r/>
            <w:r>
              <w:rPr>
                <w:rFonts w:ascii="Calibri" w:hAnsi="Calibri" w:eastAsia="Microsoft YaHei"/>
                <w:b/>
                <w:i w:val="0"/>
                <w:color w:val="0B2545"/>
                <w:sz w:val="15"/>
              </w:rPr>
              <w:t>合计编制</w:t>
            </w:r>
          </w:p>
        </w:tc>
        <w:tc>
          <w:tcPr>
            <w:tcW w:type="dxa" w:w="1871"/>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12</w:t>
            </w:r>
          </w:p>
        </w:tc>
        <w:tc>
          <w:tcPr>
            <w:tcW w:type="dxa" w:w="1871"/>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6</w:t>
            </w:r>
          </w:p>
        </w:tc>
        <w:tc>
          <w:tcPr>
            <w:tcW w:type="dxa" w:w="1247"/>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18</w:t>
            </w:r>
          </w:p>
        </w:tc>
        <w:tc>
          <w:tcPr>
            <w:tcW w:type="dxa" w:w="2154"/>
            <w:tcBorders>
              <w:top w:val="single" w:sz="8" w:space="0" w:color="B08D3F"/>
            </w:tcBorders>
            <w:shd w:val="clear" w:color="auto" w:fill="F3EBDA"/>
            <w:tcMar>
              <w:top w:w="40" w:type="dxa"/>
              <w:left w:w="90" w:type="dxa"/>
              <w:bottom w:w="40" w:type="dxa"/>
              <w:right w:w="90" w:type="dxa"/>
            </w:tcMar>
            <w:vAlign w:val="center"/>
          </w:tcPr>
          <w:p>
            <w:pPr>
              <w:spacing w:before="24" w:after="24" w:lineRule="auto" w:line="264"/>
              <w:jc w:val="center"/>
            </w:pPr>
            <w:r/>
            <w:r>
              <w:rPr>
                <w:rFonts w:ascii="Calibri" w:hAnsi="Calibri" w:eastAsia="Microsoft YaHei"/>
                <w:b/>
                <w:i w:val="0"/>
                <w:color w:val="0B2545"/>
                <w:sz w:val="15"/>
              </w:rPr>
              <w:t>815,400</w:t>
            </w:r>
          </w:p>
        </w:tc>
      </w:tr>
    </w:tbl>
    <w:p>
      <w:pPr>
        <w:spacing w:before="0" w:after="0" w:line="80" w:lineRule="exact"/>
      </w:pPr>
      <w:r>
        <w:rPr>
          <w:rFonts w:ascii="Calibri" w:hAnsi="Calibri" w:eastAsia="Microsoft YaHei"/>
          <w:b w:val="0"/>
          <w:i w:val="0"/>
          <w:color w:val="1A1A1A"/>
          <w:sz w:val="2"/>
        </w:rPr>
      </w:r>
    </w:p>
    <w:p>
      <w:pPr>
        <w:spacing w:before="0" w:after="100" w:lineRule="auto" w:line="274"/>
        <w:jc w:val="both"/>
      </w:pPr>
      <w:r>
        <w:rPr>
          <w:rFonts w:ascii="Calibri" w:hAnsi="Calibri" w:eastAsia="Microsoft YaHei"/>
          <w:b w:val="0"/>
          <w:i w:val="0"/>
          <w:color w:val="5A6472"/>
          <w:sz w:val="15"/>
        </w:rPr>
        <w:t>全负荷成本 = 税前月薪 × 1.35（IMSS 社保、INFONAVIT 住房、SAR、年终奖 15 天、休假金及州工资税 ISN 约 3%），为墨西哥标准测算惯例；满编月成本合计 815,400 比索，年化 978 万比索。首年按分批到岗约 75% 计为 730 万比索，加 2% 销售提成 198 万比索，首年人力总成本 928 万比索（仅占收入 9.4%）。与原始方案的 62 人编制相比压缩 71%。收入较上一版翻倍仅增加 3 名一线人员（销售 2、仓储 1），因为增量覆盖由代理商网络（首年 60 家、第三年 440 家）而非自建团队承担；仓储主体在合作方仓库、干线与末端配送由集团自有物流执行、设计摄影法务报关全部按项目外包——18 人只负责决策、系统、大客户与渠道管理这四件事。</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0091"/>
      </w:tblGrid>
      <w:tr>
        <w:tc>
          <w:tcPr>
            <w:tcW w:type="dxa" w:w="10091"/>
            <w:tcBorders>
              <w:top w:val="single" w:sz="2" w:space="0" w:color="C9D1DA"/>
              <w:left w:val="single" w:sz="18" w:space="0" w:color="B08D3F"/>
              <w:bottom w:val="single" w:sz="2" w:space="0" w:color="C9D1DA"/>
              <w:right w:val="single" w:sz="2" w:space="0" w:color="C9D1DA"/>
            </w:tcBorders>
            <w:shd w:val="clear" w:color="auto" w:fill="FFFFFF"/>
            <w:tcMar>
              <w:top w:w="20" w:type="dxa"/>
              <w:left w:w="120" w:type="dxa"/>
              <w:bottom w:w="20" w:type="dxa"/>
              <w:right w:w="80" w:type="dxa"/>
            </w:tcMar>
          </w:tcPr>
          <w:p>
            <w:pPr>
              <w:spacing w:before="40" w:after="20"/>
            </w:pPr>
            <w:r/>
            <w:r>
              <w:rPr>
                <w:rFonts w:ascii="Calibri" w:hAnsi="Calibri" w:eastAsia="Microsoft YaHei"/>
                <w:b/>
                <w:i w:val="0"/>
                <w:color w:val="0B2545"/>
                <w:sz w:val="17"/>
              </w:rPr>
              <w:t>总经理一人统管两城：核心地位与成本效率的统一</w:t>
            </w:r>
          </w:p>
          <w:p>
            <w:pPr>
              <w:spacing w:before="0" w:after="24" w:line="264" w:lineRule="auto"/>
              <w:ind w:left="147" w:hanging="147"/>
            </w:pPr>
            <w:r>
              <w:rPr>
                <w:rFonts w:ascii="Calibri" w:hAnsi="Calibri" w:eastAsia="Microsoft YaHei"/>
                <w:b w:val="0"/>
                <w:i w:val="0"/>
                <w:color w:val="5A6472"/>
                <w:sz w:val="14"/>
              </w:rPr>
              <w:t>本方案取消蒙特雷独立分公司经理层，由总经理一人同时担任两座城市的最高经营负责人，蒙特雷仅设销售主管（月薪 4.5 万比索）直接向总经理汇报——仅此一项每年节省全负荷人工约 130 万比索，更重要的是消除了双城之间的决策时延与协调损耗。18 人编制之下，总经理与每一位员工之间最多只隔一层。</w:t>
            </w:r>
          </w:p>
          <w:p>
            <w:pPr>
              <w:spacing w:before="0" w:after="24" w:line="264" w:lineRule="auto"/>
              <w:ind w:left="147" w:hanging="147"/>
            </w:pPr>
            <w:r>
              <w:rPr>
                <w:rFonts w:ascii="Calibri" w:hAnsi="Calibri" w:eastAsia="Microsoft YaHei"/>
                <w:b w:val="0"/>
                <w:i w:val="0"/>
                <w:color w:val="5A6472"/>
                <w:sz w:val="14"/>
              </w:rPr>
              <w:t>总经理同时承担三重职能：墨西哥平台首席执行者、实际履行 CTO 职责并直接管辖全部 IT 与数字平台开发（2 人开发团队无中间层级直接汇报）、以及首席商品官（寄售货源的定价权即本项目的护城河，不可下放）。直接汇报对象：销售总监（墨城）· 蒙特雷销售主管 · IT 开发团队 2 人 · 财务行政 · 外包设计团队。</w:t>
            </w:r>
          </w:p>
          <w:p>
            <w:pPr>
              <w:spacing w:before="0" w:after="50" w:line="264" w:lineRule="auto"/>
              <w:ind w:left="147" w:hanging="147"/>
            </w:pPr>
            <w:r>
              <w:rPr>
                <w:rFonts w:ascii="Calibri" w:hAnsi="Calibri" w:eastAsia="Microsoft YaHei"/>
                <w:b w:val="0"/>
                <w:i w:val="0"/>
                <w:color w:val="5A6472"/>
                <w:sz w:val="14"/>
              </w:rPr>
              <w:t>投资人视角：18 人编制、两城同步、90 天交付三大平台，只有在单一决策者压缩三个角色、且非核心职能全部外包与外部化的结构下才可能实现；计划坦承这是最大优势与最大单点风险，缓释措施为——第 12 个月视业绩聘任副手、为核心管理者设立期权池、为总经理投保关键人寿险，并在投资人尽调前完成书面接班安排。</w:t>
            </w:r>
          </w:p>
        </w:tc>
      </w:tr>
    </w:tbl>
    <w:p>
      <w:pPr>
        <w:spacing w:before="0" w:after="0" w:line="12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7"/>
        </w:rPr>
        <w:t>首年营业费用结构（合计 3,065 万比索，占收入 31.0%）</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948"/>
        <w:gridCol w:w="964"/>
        <w:gridCol w:w="794"/>
        <w:gridCol w:w="3345"/>
        <w:gridCol w:w="1020"/>
        <w:gridCol w:w="1020"/>
      </w:tblGrid>
      <w:tr>
        <w:trPr>
          <w:tblHeader w:val="true"/>
        </w:trPr>
        <w:tc>
          <w:tcPr>
            <w:tcW w:type="dxa" w:w="294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费用科目</w:t>
            </w:r>
          </w:p>
        </w:tc>
        <w:tc>
          <w:tcPr>
            <w:tcW w:type="dxa" w:w="96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百万比索</w:t>
            </w:r>
          </w:p>
        </w:tc>
        <w:tc>
          <w:tcPr>
            <w:tcW w:type="dxa" w:w="79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占收入</w:t>
            </w:r>
          </w:p>
        </w:tc>
        <w:tc>
          <w:tcPr>
            <w:tcW w:type="dxa" w:w="334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费用科目</w:t>
            </w:r>
          </w:p>
        </w:tc>
        <w:tc>
          <w:tcPr>
            <w:tcW w:type="dxa" w:w="1020"/>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百万比索</w:t>
            </w:r>
          </w:p>
        </w:tc>
        <w:tc>
          <w:tcPr>
            <w:tcW w:type="dxa" w:w="1020"/>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占收入</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人力（全负荷，分批到岗）</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7.3</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7.4%</w:t>
            </w:r>
          </w:p>
        </w:tc>
        <w:tc>
          <w:tcPr>
            <w:tcW w:type="dxa" w:w="334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专业服务（律师、报关、商标、审计、税务）</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1.0</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1.0%</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租金（墨城 12 个月＋蒙特雷 5 个月当量）</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6.35</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6.4%</w:t>
            </w:r>
          </w:p>
        </w:tc>
        <w:tc>
          <w:tcPr>
            <w:tcW w:type="dxa" w:w="334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安保、保险、水电与设施</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0.8</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0.8%</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市场推广与渠道开发</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3.5</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3.5%</w:t>
            </w:r>
          </w:p>
        </w:tc>
        <w:tc>
          <w:tcPr>
            <w:tcW w:type="dxa" w:w="334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差旅、样品与展会</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0.8</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0.8%</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代理商返利与渠道费用</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2.5</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2.5%</w:t>
            </w:r>
          </w:p>
        </w:tc>
        <w:tc>
          <w:tcPr>
            <w:tcW w:type="dxa" w:w="334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坏账计提（B2B 收入 1.5%）</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1.2</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1.2%</w:t>
            </w:r>
          </w:p>
        </w:tc>
      </w:tr>
      <w:tr>
        <w:tc>
          <w:tcPr>
            <w:tcW w:type="dxa" w:w="2948"/>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物流与末端配送（自有物流按成本结算）</w:t>
            </w:r>
          </w:p>
        </w:tc>
        <w:tc>
          <w:tcPr>
            <w:tcW w:type="dxa" w:w="96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2.5</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2.5%</w:t>
            </w:r>
          </w:p>
        </w:tc>
        <w:tc>
          <w:tcPr>
            <w:tcW w:type="dxa" w:w="334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IT 运维、ERP/WMS 订阅与设计外包</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1.5</w:t>
            </w:r>
          </w:p>
        </w:tc>
        <w:tc>
          <w:tcPr>
            <w:tcW w:type="dxa" w:w="102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1.5%</w:t>
            </w:r>
          </w:p>
        </w:tc>
      </w:tr>
      <w:tr>
        <w:tc>
          <w:tcPr>
            <w:tcW w:type="dxa" w:w="2948"/>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销售提成（收入 2%）</w:t>
            </w:r>
          </w:p>
        </w:tc>
        <w:tc>
          <w:tcPr>
            <w:tcW w:type="dxa" w:w="96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2.0</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2.0%</w:t>
            </w:r>
          </w:p>
        </w:tc>
        <w:tc>
          <w:tcPr>
            <w:tcW w:type="dxa" w:w="334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其他与不可预见</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1.2</w:t>
            </w:r>
          </w:p>
        </w:tc>
        <w:tc>
          <w:tcPr>
            <w:tcW w:type="dxa" w:w="102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1.2%</w:t>
            </w:r>
          </w:p>
        </w:tc>
      </w:tr>
    </w:tbl>
    <w:p>
      <w:pPr>
        <w:spacing w:before="0" w:after="0"/>
      </w:pPr>
      <w:r>
        <w:br w:type="page"/>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06</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投资需求与资金用途（启动资金 115 万美元）</w:t>
            </w:r>
            <w:r>
              <w:rPr>
                <w:rFonts w:ascii="Calibri" w:hAnsi="Calibri" w:eastAsia="Microsoft YaHei"/>
                <w:b w:val="0"/>
                <w:i w:val="0"/>
                <w:color w:val="5A6472"/>
                <w:sz w:val="15"/>
              </w:rPr>
              <w:t xml:space="preserve">   INVESTMENT REQUIREMENT &amp; USE OF FUNDS</w:t>
            </w:r>
          </w:p>
        </w:tc>
      </w:tr>
    </w:tbl>
    <w:p>
      <w:pPr>
        <w:spacing w:before="0" w:after="0" w:line="50" w:lineRule="exact"/>
      </w:pPr>
      <w:r>
        <w:rPr>
          <w:rFonts w:ascii="Calibri" w:hAnsi="Calibri" w:eastAsia="Microsoft YaHei"/>
          <w:b w:val="0"/>
          <w:i w:val="0"/>
          <w:color w:val="1A1A1A"/>
          <w:sz w:val="2"/>
        </w:rPr>
      </w:r>
    </w:p>
    <w:p>
      <w:pPr>
        <w:spacing w:before="0" w:after="80" w:lineRule="auto" w:line="276"/>
        <w:jc w:val="both"/>
      </w:pPr>
      <w:r>
        <w:rPr>
          <w:rFonts w:ascii="Calibri" w:hAnsi="Calibri" w:eastAsia="Microsoft YaHei"/>
          <w:b w:val="0"/>
          <w:i w:val="0"/>
          <w:color w:val="1A1A1A"/>
          <w:sz w:val="16"/>
        </w:rPr>
        <w:t>因 2 亿比索货源以寄售方式无偿供给、售出后结算，本项目不存在采购备货资金需求。启动资金合计 2,055 万比索，取整融资 2,130 万比索（115 万美元）——较原始方案下降 71%。成本控制原则有二：展厅采用模块化陈列与既有结构，装修预算压缩至常规方案的 20%；货架、叉车、配送车辆与全部办公设备一律采购二手（墨西哥工业设备二手市场成熟，同等规格通常为新品的 35–45%，不影响运营效率）。</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567"/>
        <w:gridCol w:w="3402"/>
        <w:gridCol w:w="1757"/>
        <w:gridCol w:w="1361"/>
        <w:gridCol w:w="3005"/>
      </w:tblGrid>
      <w:tr>
        <w:trPr>
          <w:tblHeader w:val="true"/>
        </w:trPr>
        <w:tc>
          <w:tcPr>
            <w:tcW w:type="dxa" w:w="56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序号</w:t>
            </w:r>
          </w:p>
        </w:tc>
        <w:tc>
          <w:tcPr>
            <w:tcW w:type="dxa" w:w="3402"/>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投资项目（前 3 个月一次性投入）</w:t>
            </w:r>
          </w:p>
        </w:tc>
        <w:tc>
          <w:tcPr>
            <w:tcW w:type="dxa" w:w="175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比索</w:t>
            </w:r>
          </w:p>
        </w:tc>
        <w:tc>
          <w:tcPr>
            <w:tcW w:type="dxa" w:w="136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美元</w:t>
            </w:r>
          </w:p>
        </w:tc>
        <w:tc>
          <w:tcPr>
            <w:tcW w:type="dxa" w:w="300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说明</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蒙特雷展厅装修（1,653㎡，模块化陈列）</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728,000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39,351</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仅为常规装修预算的 20%；利用既有结构与照明</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蒙特雷仓库货架与设备（全部二手）</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700,000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37,838</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二手横梁货架、二手叉车与托盘车，约为新品 40%</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3</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ERP＋WMS（云端订阅制，与合作方仓库对账）</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700,000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37,838</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轻量 SaaS，不自建、不上重型 ERP</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4</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三大平台开发（官网／B2B 批发／自有品牌 D2C）</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1,300,000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70,270</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自有 2 人团队为主 + 定向外包</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5</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品牌与产品设计、IMPI 商标注册</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900,000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48,649</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设计按项目外包；商标须在发布前递交</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6</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公司手册、产品图册＋价目表、代理商资料包</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450,000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24,324</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中／西／英三语，首批小批量印刷</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7</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二手配送车 2 台＋二手办公 IT 设备、家具、POS、监控</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500,000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27,027</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全部二手采购，不为新品付溢价</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8</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前 3 个月人力成本（18 人分批到岗）</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1,700,000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91,892</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第 4 个月起由经营收入承担</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9</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前 3 个月租金（双城）＋运营费用（物流、市场、专业服务、水电安保）</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2,300,000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124,324</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蒙特雷争取 3 个月免租期</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10</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租赁押金与保证金（双城）</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2,900,000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156,757</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可回收资产</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11</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实体设立、RFC、IMMEX、NOM 认证、清关与许可</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1,500,000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81,081</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合规启动一次性支出，不可压缩</w:t>
            </w:r>
          </w:p>
        </w:tc>
      </w:tr>
      <w:tr>
        <w:tc>
          <w:tcPr>
            <w:tcW w:type="dxa" w:w="56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12</w:t>
            </w:r>
          </w:p>
        </w:tc>
        <w:tc>
          <w:tcPr>
            <w:tcW w:type="dxa" w:w="3402"/>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营运资金（应收账款周转；寄售模式下无备货资金）</w:t>
            </w:r>
          </w:p>
        </w:tc>
        <w:tc>
          <w:tcPr>
            <w:tcW w:type="dxa" w:w="1757"/>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5,000,000</w:t>
            </w:r>
          </w:p>
        </w:tc>
        <w:tc>
          <w:tcPr>
            <w:tcW w:type="dxa" w:w="1361"/>
            <w:shd w:val="clear" w:color="auto" w:fill="F2F4F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270,270</w:t>
            </w:r>
          </w:p>
        </w:tc>
        <w:tc>
          <w:tcPr>
            <w:tcW w:type="dxa" w:w="3005"/>
            <w:shd w:val="clear" w:color="auto" w:fill="F2F4F7"/>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仅为账期垫付，占收入 5%</w:t>
            </w:r>
          </w:p>
        </w:tc>
      </w:tr>
      <w:tr>
        <w:tc>
          <w:tcPr>
            <w:tcW w:type="dxa" w:w="56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13</w:t>
            </w:r>
          </w:p>
        </w:tc>
        <w:tc>
          <w:tcPr>
            <w:tcW w:type="dxa" w:w="3402"/>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不可预见费（10%）</w:t>
            </w:r>
          </w:p>
        </w:tc>
        <w:tc>
          <w:tcPr>
            <w:tcW w:type="dxa" w:w="1757"/>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1,867,800</w:t>
            </w:r>
          </w:p>
        </w:tc>
        <w:tc>
          <w:tcPr>
            <w:tcW w:type="dxa" w:w="1361"/>
            <w:tcMar>
              <w:top w:w="40" w:type="dxa"/>
              <w:left w:w="90" w:type="dxa"/>
              <w:bottom w:w="40" w:type="dxa"/>
              <w:right w:w="90" w:type="dxa"/>
            </w:tcMar>
            <w:vAlign w:val="center"/>
          </w:tcPr>
          <w:p>
            <w:pPr>
              <w:spacing w:before="10" w:after="10" w:lineRule="auto" w:line="264"/>
              <w:jc w:val="center"/>
            </w:pPr>
            <w:r/>
            <w:r>
              <w:rPr>
                <w:rFonts w:ascii="Calibri" w:hAnsi="Calibri" w:eastAsia="Microsoft YaHei"/>
                <w:b w:val="0"/>
                <w:i w:val="0"/>
                <w:color w:val="1A1A1A"/>
                <w:sz w:val="14"/>
              </w:rPr>
              <w:t>100,962</w:t>
            </w:r>
          </w:p>
        </w:tc>
        <w:tc>
          <w:tcPr>
            <w:tcW w:type="dxa" w:w="3005"/>
            <w:tcMar>
              <w:top w:w="40" w:type="dxa"/>
              <w:left w:w="90" w:type="dxa"/>
              <w:bottom w:w="40" w:type="dxa"/>
              <w:right w:w="90" w:type="dxa"/>
            </w:tcMar>
            <w:vAlign w:val="center"/>
          </w:tcPr>
          <w:p>
            <w:pPr>
              <w:spacing w:before="10" w:after="10" w:lineRule="auto" w:line="264"/>
            </w:pPr>
            <w:r/>
            <w:r>
              <w:rPr>
                <w:rFonts w:ascii="Calibri" w:hAnsi="Calibri" w:eastAsia="Microsoft YaHei"/>
                <w:b w:val="0"/>
                <w:i w:val="0"/>
                <w:color w:val="1A1A1A"/>
                <w:sz w:val="14"/>
              </w:rPr>
              <w:t>—</w:t>
            </w:r>
          </w:p>
        </w:tc>
      </w:tr>
      <w:tr>
        <w:tc>
          <w:tcPr>
            <w:tcW w:type="dxa" w:w="567"/>
            <w:tcBorders>
              <w:top w:val="single" w:sz="8" w:space="0" w:color="B08D3F"/>
            </w:tcBorders>
            <w:shd w:val="clear" w:color="auto" w:fill="F3EBDA"/>
            <w:tcMar>
              <w:top w:w="40" w:type="dxa"/>
              <w:left w:w="90" w:type="dxa"/>
              <w:bottom w:w="40" w:type="dxa"/>
              <w:right w:w="90" w:type="dxa"/>
            </w:tcMar>
            <w:vAlign w:val="center"/>
          </w:tcPr>
          <w:p>
            <w:pPr>
              <w:spacing w:before="10" w:after="10" w:lineRule="auto" w:line="264"/>
              <w:jc w:val="center"/>
            </w:pPr>
            <w:r/>
          </w:p>
        </w:tc>
        <w:tc>
          <w:tcPr>
            <w:tcW w:type="dxa" w:w="3402"/>
            <w:tcBorders>
              <w:top w:val="single" w:sz="8" w:space="0" w:color="B08D3F"/>
            </w:tcBorders>
            <w:shd w:val="clear" w:color="auto" w:fill="F3EBDA"/>
            <w:tcMar>
              <w:top w:w="40" w:type="dxa"/>
              <w:left w:w="90" w:type="dxa"/>
              <w:bottom w:w="40" w:type="dxa"/>
              <w:right w:w="90" w:type="dxa"/>
            </w:tcMar>
            <w:vAlign w:val="center"/>
          </w:tcPr>
          <w:p>
            <w:pPr>
              <w:spacing w:before="10" w:after="10" w:lineRule="auto" w:line="264"/>
            </w:pPr>
            <w:r/>
            <w:r>
              <w:rPr>
                <w:rFonts w:ascii="Calibri" w:hAnsi="Calibri" w:eastAsia="Microsoft YaHei"/>
                <w:b/>
                <w:i w:val="0"/>
                <w:color w:val="0B2545"/>
                <w:sz w:val="14"/>
              </w:rPr>
              <w:t>启动资金合计 / 融资额（取整）</w:t>
            </w:r>
          </w:p>
        </w:tc>
        <w:tc>
          <w:tcPr>
            <w:tcW w:type="dxa" w:w="1757"/>
            <w:tcBorders>
              <w:top w:val="single" w:sz="8" w:space="0" w:color="B08D3F"/>
            </w:tcBorders>
            <w:shd w:val="clear" w:color="auto" w:fill="F3EBDA"/>
            <w:tcMar>
              <w:top w:w="40" w:type="dxa"/>
              <w:left w:w="90" w:type="dxa"/>
              <w:bottom w:w="40" w:type="dxa"/>
              <w:right w:w="90" w:type="dxa"/>
            </w:tcMar>
            <w:vAlign w:val="center"/>
          </w:tcPr>
          <w:p>
            <w:pPr>
              <w:spacing w:before="10" w:after="10" w:lineRule="auto" w:line="264"/>
              <w:jc w:val="center"/>
            </w:pPr>
            <w:r/>
            <w:r>
              <w:rPr>
                <w:rFonts w:ascii="Calibri" w:hAnsi="Calibri" w:eastAsia="Microsoft YaHei"/>
                <w:b/>
                <w:i w:val="0"/>
                <w:color w:val="0B2545"/>
                <w:sz w:val="14"/>
              </w:rPr>
              <w:t>20,545,800 / 21,300,000</w:t>
            </w:r>
          </w:p>
        </w:tc>
        <w:tc>
          <w:tcPr>
            <w:tcW w:type="dxa" w:w="1361"/>
            <w:tcBorders>
              <w:top w:val="single" w:sz="8" w:space="0" w:color="B08D3F"/>
            </w:tcBorders>
            <w:shd w:val="clear" w:color="auto" w:fill="F3EBDA"/>
            <w:tcMar>
              <w:top w:w="40" w:type="dxa"/>
              <w:left w:w="90" w:type="dxa"/>
              <w:bottom w:w="40" w:type="dxa"/>
              <w:right w:w="90" w:type="dxa"/>
            </w:tcMar>
            <w:vAlign w:val="center"/>
          </w:tcPr>
          <w:p>
            <w:pPr>
              <w:spacing w:before="10" w:after="10" w:lineRule="auto" w:line="264"/>
              <w:jc w:val="center"/>
            </w:pPr>
            <w:r/>
            <w:r>
              <w:rPr>
                <w:rFonts w:ascii="Calibri" w:hAnsi="Calibri" w:eastAsia="Microsoft YaHei"/>
                <w:b/>
                <w:i w:val="0"/>
                <w:color w:val="0B2545"/>
                <w:sz w:val="14"/>
              </w:rPr>
              <w:t>1,110,584 / 1,150,000</w:t>
            </w:r>
          </w:p>
        </w:tc>
        <w:tc>
          <w:tcPr>
            <w:tcW w:type="dxa" w:w="3005"/>
            <w:tcBorders>
              <w:top w:val="single" w:sz="8" w:space="0" w:color="B08D3F"/>
            </w:tcBorders>
            <w:shd w:val="clear" w:color="auto" w:fill="F3EBDA"/>
            <w:tcMar>
              <w:top w:w="40" w:type="dxa"/>
              <w:left w:w="90" w:type="dxa"/>
              <w:bottom w:w="40" w:type="dxa"/>
              <w:right w:w="90" w:type="dxa"/>
            </w:tcMar>
            <w:vAlign w:val="center"/>
          </w:tcPr>
          <w:p>
            <w:pPr>
              <w:spacing w:before="10" w:after="10" w:lineRule="auto" w:line="264"/>
            </w:pPr>
            <w:r/>
            <w:r>
              <w:rPr>
                <w:rFonts w:ascii="Calibri" w:hAnsi="Calibri" w:eastAsia="Microsoft YaHei"/>
                <w:b/>
                <w:i w:val="0"/>
                <w:color w:val="0B2545"/>
                <w:sz w:val="14"/>
              </w:rPr>
              <w:t>场地与信息化 21%｜前3个月运营 19%｜押金 14%｜营运资金与备用 33%｜合规 7%</w:t>
            </w:r>
          </w:p>
        </w:tc>
      </w:tr>
    </w:tbl>
    <w:p>
      <w:pPr>
        <w:spacing w:before="0" w:after="0" w:line="8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7"/>
        </w:rPr>
        <w:t>第 4 个月起的内生再投资计划（不再需要追加股权融资）</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1701"/>
        <w:gridCol w:w="4876"/>
        <w:gridCol w:w="1701"/>
        <w:gridCol w:w="1814"/>
      </w:tblGrid>
      <w:tr>
        <w:trPr>
          <w:tblHeader w:val="true"/>
        </w:trPr>
        <w:tc>
          <w:tcPr>
            <w:tcW w:type="dxa" w:w="170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期间</w:t>
            </w:r>
          </w:p>
        </w:tc>
        <w:tc>
          <w:tcPr>
            <w:tcW w:type="dxa" w:w="4876"/>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再投资项目</w:t>
            </w:r>
          </w:p>
        </w:tc>
        <w:tc>
          <w:tcPr>
            <w:tcW w:type="dxa" w:w="170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金额（比索）</w:t>
            </w:r>
          </w:p>
        </w:tc>
        <w:tc>
          <w:tcPr>
            <w:tcW w:type="dxa" w:w="181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资金来源</w:t>
            </w:r>
          </w:p>
        </w:tc>
      </w:tr>
      <w:tr>
        <w:tc>
          <w:tcPr>
            <w:tcW w:type="dxa" w:w="1701"/>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第 4–6 个月</w:t>
            </w:r>
          </w:p>
        </w:tc>
        <w:tc>
          <w:tcPr>
            <w:tcW w:type="dxa" w:w="4876"/>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自有品牌首批量产订金、平台 V1.0 迭代、SKU 摄影与素材库</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约 3,500,000</w:t>
            </w:r>
          </w:p>
        </w:tc>
        <w:tc>
          <w:tcPr>
            <w:tcW w:type="dxa" w:w="181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经营现金流</w:t>
            </w:r>
          </w:p>
        </w:tc>
      </w:tr>
      <w:tr>
        <w:tc>
          <w:tcPr>
            <w:tcW w:type="dxa" w:w="1701"/>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第 7–12 个月</w:t>
            </w:r>
          </w:p>
        </w:tc>
        <w:tc>
          <w:tcPr>
            <w:tcW w:type="dxa" w:w="4876"/>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SKU 品类扩展、市场推广加码、代理商体系铺开（60 家）、第三城前置筹备、平台 V2.0</w:t>
            </w:r>
          </w:p>
        </w:tc>
        <w:tc>
          <w:tcPr>
            <w:tcW w:type="dxa" w:w="170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约 9,000,000</w:t>
            </w:r>
          </w:p>
        </w:tc>
        <w:tc>
          <w:tcPr>
            <w:tcW w:type="dxa" w:w="181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经营现金流</w:t>
            </w:r>
          </w:p>
        </w:tc>
      </w:tr>
      <w:tr>
        <w:tc>
          <w:tcPr>
            <w:tcW w:type="dxa" w:w="1701"/>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第二年全年</w:t>
            </w:r>
          </w:p>
        </w:tc>
        <w:tc>
          <w:tcPr>
            <w:tcW w:type="dxa" w:w="4876"/>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两座新城铺设、自有品牌品类扩展、代理商扩至 180 家、团队扩编至 38 人</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约 25,000,000</w:t>
            </w:r>
          </w:p>
        </w:tc>
        <w:tc>
          <w:tcPr>
            <w:tcW w:type="dxa" w:w="181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经营现金流</w:t>
            </w:r>
          </w:p>
        </w:tc>
      </w:tr>
    </w:tbl>
    <w:p>
      <w:pPr>
        <w:spacing w:before="0" w:after="0" w:line="100" w:lineRule="exact"/>
      </w:pPr>
      <w:r>
        <w:rPr>
          <w:rFonts w:ascii="Calibri" w:hAnsi="Calibri" w:eastAsia="Microsoft YaHei"/>
          <w:b w:val="0"/>
          <w:i w:val="0"/>
          <w:color w:val="1A1A1A"/>
          <w:sz w:val="2"/>
        </w:rPr>
      </w:r>
    </w:p>
    <w:p>
      <w:pPr>
        <w:spacing w:before="0" w:after="60" w:lineRule="auto" w:line="283"/>
      </w:pPr>
      <w:r>
        <w:rPr>
          <w:rFonts w:ascii="Calibri" w:hAnsi="Calibri" w:eastAsia="Microsoft YaHei"/>
          <w:b/>
          <w:i w:val="0"/>
          <w:color w:val="0B2545"/>
          <w:sz w:val="17"/>
        </w:rPr>
        <w:t>双城租金模型</w:t>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608"/>
        <w:gridCol w:w="1304"/>
        <w:gridCol w:w="1361"/>
        <w:gridCol w:w="1417"/>
        <w:gridCol w:w="1701"/>
        <w:gridCol w:w="1701"/>
      </w:tblGrid>
      <w:tr>
        <w:trPr>
          <w:tblHeader w:val="true"/>
        </w:trPr>
        <w:tc>
          <w:tcPr>
            <w:tcW w:type="dxa" w:w="260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场地</w:t>
            </w:r>
          </w:p>
        </w:tc>
        <w:tc>
          <w:tcPr>
            <w:tcW w:type="dxa" w:w="130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面积（㎡）</w:t>
            </w:r>
          </w:p>
        </w:tc>
        <w:tc>
          <w:tcPr>
            <w:tcW w:type="dxa" w:w="136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美元/㎡/月</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月租（美元）</w:t>
            </w:r>
          </w:p>
        </w:tc>
        <w:tc>
          <w:tcPr>
            <w:tcW w:type="dxa" w:w="170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月租（比索）</w:t>
            </w:r>
          </w:p>
        </w:tc>
        <w:tc>
          <w:tcPr>
            <w:tcW w:type="dxa" w:w="170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年租（比索）</w:t>
            </w:r>
          </w:p>
        </w:tc>
      </w:tr>
      <w:tr>
        <w:tc>
          <w:tcPr>
            <w:tcW w:type="dxa" w:w="2608"/>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墨西哥城：展厅＋集团总部办公</w:t>
            </w:r>
          </w:p>
        </w:tc>
        <w:tc>
          <w:tcPr>
            <w:tcW w:type="dxa" w:w="130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800</w:t>
            </w:r>
          </w:p>
        </w:tc>
        <w:tc>
          <w:tcPr>
            <w:tcW w:type="dxa" w:w="136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14.00＋CAM</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11,600</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214,600</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2,575,200</w:t>
            </w:r>
          </w:p>
        </w:tc>
      </w:tr>
      <w:tr>
        <w:tc>
          <w:tcPr>
            <w:tcW w:type="dxa" w:w="2608"/>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蒙特雷：展厅＋分公司办公（500 坪）</w:t>
            </w:r>
          </w:p>
        </w:tc>
        <w:tc>
          <w:tcPr>
            <w:tcW w:type="dxa" w:w="130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1,653</w:t>
            </w:r>
          </w:p>
        </w:tc>
        <w:tc>
          <w:tcPr>
            <w:tcW w:type="dxa" w:w="136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9.00</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14,877</w:t>
            </w:r>
          </w:p>
        </w:tc>
        <w:tc>
          <w:tcPr>
            <w:tcW w:type="dxa" w:w="170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275,225</w:t>
            </w:r>
          </w:p>
        </w:tc>
        <w:tc>
          <w:tcPr>
            <w:tcW w:type="dxa" w:w="170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3,302,694</w:t>
            </w:r>
          </w:p>
        </w:tc>
      </w:tr>
      <w:tr>
        <w:tc>
          <w:tcPr>
            <w:tcW w:type="dxa" w:w="2608"/>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蒙特雷：仓库（1,000 坪）</w:t>
            </w:r>
          </w:p>
        </w:tc>
        <w:tc>
          <w:tcPr>
            <w:tcW w:type="dxa" w:w="130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3,306</w:t>
            </w:r>
          </w:p>
        </w:tc>
        <w:tc>
          <w:tcPr>
            <w:tcW w:type="dxa" w:w="136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7.00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23,142</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428,127</w:t>
            </w:r>
          </w:p>
        </w:tc>
        <w:tc>
          <w:tcPr>
            <w:tcW w:type="dxa" w:w="1701"/>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5,137,524</w:t>
            </w:r>
          </w:p>
        </w:tc>
      </w:tr>
      <w:tr>
        <w:tc>
          <w:tcPr>
            <w:tcW w:type="dxa" w:w="2608"/>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蒙特雷：物业管理费 CAM</w:t>
            </w:r>
          </w:p>
        </w:tc>
        <w:tc>
          <w:tcPr>
            <w:tcW w:type="dxa" w:w="130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4,959</w:t>
            </w:r>
          </w:p>
        </w:tc>
        <w:tc>
          <w:tcPr>
            <w:tcW w:type="dxa" w:w="136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0.55</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2,727</w:t>
            </w:r>
          </w:p>
        </w:tc>
        <w:tc>
          <w:tcPr>
            <w:tcW w:type="dxa" w:w="170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50,455</w:t>
            </w:r>
          </w:p>
        </w:tc>
        <w:tc>
          <w:tcPr>
            <w:tcW w:type="dxa" w:w="1701"/>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605,455</w:t>
            </w:r>
          </w:p>
        </w:tc>
      </w:tr>
      <w:tr>
        <w:tc>
          <w:tcPr>
            <w:tcW w:type="dxa" w:w="2608"/>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pPr>
            <w:r/>
            <w:r>
              <w:rPr>
                <w:rFonts w:ascii="Calibri" w:hAnsi="Calibri" w:eastAsia="Microsoft YaHei"/>
                <w:b/>
                <w:i w:val="0"/>
                <w:color w:val="0B2545"/>
                <w:sz w:val="14"/>
              </w:rPr>
              <w:t>双城满编运行合计</w:t>
            </w:r>
          </w:p>
        </w:tc>
        <w:tc>
          <w:tcPr>
            <w:tcW w:type="dxa" w:w="1304"/>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jc w:val="center"/>
            </w:pPr>
            <w:r/>
            <w:r>
              <w:rPr>
                <w:rFonts w:ascii="Calibri" w:hAnsi="Calibri" w:eastAsia="Microsoft YaHei"/>
                <w:b/>
                <w:i w:val="0"/>
                <w:color w:val="0B2545"/>
                <w:sz w:val="14"/>
              </w:rPr>
              <w:t>5,759</w:t>
            </w:r>
          </w:p>
        </w:tc>
        <w:tc>
          <w:tcPr>
            <w:tcW w:type="dxa" w:w="1361"/>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jc w:val="center"/>
            </w:pPr>
            <w:r/>
            <w:r>
              <w:rPr>
                <w:rFonts w:ascii="Calibri" w:hAnsi="Calibri" w:eastAsia="Microsoft YaHei"/>
                <w:b/>
                <w:i w:val="0"/>
                <w:color w:val="0B2545"/>
                <w:sz w:val="14"/>
              </w:rPr>
              <w:t>—</w:t>
            </w:r>
          </w:p>
        </w:tc>
        <w:tc>
          <w:tcPr>
            <w:tcW w:type="dxa" w:w="1417"/>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jc w:val="center"/>
            </w:pPr>
            <w:r/>
            <w:r>
              <w:rPr>
                <w:rFonts w:ascii="Calibri" w:hAnsi="Calibri" w:eastAsia="Microsoft YaHei"/>
                <w:b/>
                <w:i w:val="0"/>
                <w:color w:val="0B2545"/>
                <w:sz w:val="14"/>
              </w:rPr>
              <w:t>52,346</w:t>
            </w:r>
          </w:p>
        </w:tc>
        <w:tc>
          <w:tcPr>
            <w:tcW w:type="dxa" w:w="1701"/>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jc w:val="center"/>
            </w:pPr>
            <w:r/>
            <w:r>
              <w:rPr>
                <w:rFonts w:ascii="Calibri" w:hAnsi="Calibri" w:eastAsia="Microsoft YaHei"/>
                <w:b/>
                <w:i w:val="0"/>
                <w:color w:val="0B2545"/>
                <w:sz w:val="14"/>
              </w:rPr>
              <w:t>968,407</w:t>
            </w:r>
          </w:p>
        </w:tc>
        <w:tc>
          <w:tcPr>
            <w:tcW w:type="dxa" w:w="1701"/>
            <w:tcBorders>
              <w:top w:val="single" w:sz="8" w:space="0" w:color="B08D3F"/>
            </w:tcBorders>
            <w:shd w:val="clear" w:color="auto" w:fill="F3EBDA"/>
            <w:tcMar>
              <w:top w:w="40" w:type="dxa"/>
              <w:left w:w="90" w:type="dxa"/>
              <w:bottom w:w="40" w:type="dxa"/>
              <w:right w:w="90" w:type="dxa"/>
            </w:tcMar>
            <w:vAlign w:val="center"/>
          </w:tcPr>
          <w:p>
            <w:pPr>
              <w:spacing w:before="14" w:after="14" w:lineRule="auto" w:line="264"/>
              <w:jc w:val="center"/>
            </w:pPr>
            <w:r/>
            <w:r>
              <w:rPr>
                <w:rFonts w:ascii="Calibri" w:hAnsi="Calibri" w:eastAsia="Microsoft YaHei"/>
                <w:b/>
                <w:i w:val="0"/>
                <w:color w:val="0B2545"/>
                <w:sz w:val="14"/>
              </w:rPr>
              <w:t>11,620,873</w:t>
            </w:r>
          </w:p>
        </w:tc>
      </w:tr>
    </w:tbl>
    <w:p>
      <w:pPr>
        <w:spacing w:before="0" w:after="0" w:line="60" w:lineRule="exact"/>
      </w:pPr>
      <w:r>
        <w:rPr>
          <w:rFonts w:ascii="Calibri" w:hAnsi="Calibri" w:eastAsia="Microsoft YaHei"/>
          <w:b w:val="0"/>
          <w:i w:val="0"/>
          <w:color w:val="1A1A1A"/>
          <w:sz w:val="2"/>
        </w:rPr>
      </w:r>
    </w:p>
    <w:p>
      <w:pPr>
        <w:spacing w:before="0" w:after="0" w:lineRule="auto" w:line="274"/>
        <w:jc w:val="both"/>
      </w:pPr>
      <w:r>
        <w:rPr>
          <w:rFonts w:ascii="Calibri" w:hAnsi="Calibri" w:eastAsia="Microsoft YaHei"/>
          <w:b w:val="0"/>
          <w:i w:val="0"/>
          <w:color w:val="5A6472"/>
          <w:sz w:val="14"/>
        </w:rPr>
        <w:t>关键节省与谈判要点：因寄售货源存放于合作方位于墨西哥城的既有仓库，CLG 在墨城无需自建大仓，仅保留 800㎡ 展厅与总部办公——相较自租 5,000㎡ 仓库每年直接节省约 700 万比索。蒙特雷工业地产 2026 年一季度空置率 7.5%、报价 7.00 美元/㎡/月（Colliers），应争取 3–5 年期、3 个月免租期并将年涨幅锁定于美元 CPI 或 3%；展厅须取 flex／工业型空间而非甲级写字楼（甲级报价达 18.88 美元/㎡/月，Solili 2026年6月），选错每年多支出约 19.5 万美元。租金是本方案唯一未被压缩的固定成本——它直接决定展厅规模与成交场所。首年实付 635 万比索（仅占收入 6.4%），第二年约 4.6%、第三年约 3.3%——收入上调而场地不变，租金占比直接减半，这是本次利润率跃升最直接的来源。</w:t>
      </w:r>
    </w:p>
    <w:p>
      <w:pPr>
        <w:spacing w:before="0" w:after="0" w:line="100" w:lineRule="exact"/>
      </w:pPr>
      <w:r>
        <w:rPr>
          <w:rFonts w:ascii="Calibri" w:hAnsi="Calibri" w:eastAsia="Microsoft YaHei"/>
          <w:b w:val="0"/>
          <w:i w:val="0"/>
          <w:color w:val="1A1A1A"/>
          <w:sz w:val="2"/>
        </w:rPr>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07</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首年季度财务预测</w:t>
            </w:r>
            <w:r>
              <w:rPr>
                <w:rFonts w:ascii="Calibri" w:hAnsi="Calibri" w:eastAsia="Microsoft YaHei"/>
                <w:b w:val="0"/>
                <w:i w:val="0"/>
                <w:color w:val="5A6472"/>
                <w:sz w:val="15"/>
              </w:rPr>
              <w:t xml:space="preserve">   FY1 QUARTERLY FORECAST</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2608"/>
        <w:gridCol w:w="1417"/>
        <w:gridCol w:w="1417"/>
        <w:gridCol w:w="1417"/>
        <w:gridCol w:w="1417"/>
        <w:gridCol w:w="1814"/>
      </w:tblGrid>
      <w:tr>
        <w:trPr>
          <w:tblHeader w:val="true"/>
        </w:trPr>
        <w:tc>
          <w:tcPr>
            <w:tcW w:type="dxa" w:w="2608"/>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项目（百万比索）</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第一季度</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第二季度</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第三季度</w:t>
            </w:r>
          </w:p>
        </w:tc>
        <w:tc>
          <w:tcPr>
            <w:tcW w:type="dxa" w:w="141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第四季度</w:t>
            </w:r>
          </w:p>
        </w:tc>
        <w:tc>
          <w:tcPr>
            <w:tcW w:type="dxa" w:w="181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第一年合计</w:t>
            </w:r>
          </w:p>
        </w:tc>
      </w:tr>
      <w:tr>
        <w:tc>
          <w:tcPr>
            <w:tcW w:type="dxa" w:w="2608"/>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营业收入</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12.0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21.0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28.0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38.0</w:t>
            </w:r>
          </w:p>
        </w:tc>
        <w:tc>
          <w:tcPr>
            <w:tcW w:type="dxa" w:w="181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99.0</w:t>
            </w:r>
          </w:p>
        </w:tc>
      </w:tr>
      <w:tr>
        <w:tc>
          <w:tcPr>
            <w:tcW w:type="dxa" w:w="2608"/>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毛利润（毛利率 47%）</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5.64</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9.87</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13.16</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17.86</w:t>
            </w:r>
          </w:p>
        </w:tc>
        <w:tc>
          <w:tcPr>
            <w:tcW w:type="dxa" w:w="181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46.53</w:t>
            </w:r>
          </w:p>
        </w:tc>
      </w:tr>
      <w:tr>
        <w:tc>
          <w:tcPr>
            <w:tcW w:type="dxa" w:w="2608"/>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营业费用</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6.40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7.30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8.00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8.95</w:t>
            </w:r>
          </w:p>
        </w:tc>
        <w:tc>
          <w:tcPr>
            <w:tcW w:type="dxa" w:w="181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30.65</w:t>
            </w:r>
          </w:p>
        </w:tc>
      </w:tr>
      <w:tr>
        <w:tc>
          <w:tcPr>
            <w:tcW w:type="dxa" w:w="2608"/>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EBITDA（EBITDA 率）</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(0.76)</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2.57（12.2%）</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5.16（18.4%）</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8.91（23.4%）</w:t>
            </w:r>
          </w:p>
        </w:tc>
        <w:tc>
          <w:tcPr>
            <w:tcW w:type="dxa" w:w="181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15.88（16.0%）</w:t>
            </w:r>
          </w:p>
        </w:tc>
      </w:tr>
      <w:tr>
        <w:tc>
          <w:tcPr>
            <w:tcW w:type="dxa" w:w="2608"/>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净利润</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(1.03)</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1.90</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3.39</w:t>
            </w:r>
          </w:p>
        </w:tc>
        <w:tc>
          <w:tcPr>
            <w:tcW w:type="dxa" w:w="141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6.02</w:t>
            </w:r>
          </w:p>
        </w:tc>
        <w:tc>
          <w:tcPr>
            <w:tcW w:type="dxa" w:w="1814"/>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10.28</w:t>
            </w:r>
          </w:p>
        </w:tc>
      </w:tr>
      <w:tr>
        <w:tc>
          <w:tcPr>
            <w:tcW w:type="dxa" w:w="2608"/>
            <w:shd w:val="clear" w:color="auto" w:fill="F2F4F7"/>
            <w:tcMar>
              <w:top w:w="40" w:type="dxa"/>
              <w:left w:w="90" w:type="dxa"/>
              <w:bottom w:w="40" w:type="dxa"/>
              <w:right w:w="90" w:type="dxa"/>
            </w:tcMar>
            <w:vAlign w:val="center"/>
          </w:tcPr>
          <w:p>
            <w:pPr>
              <w:spacing w:before="14" w:after="14" w:lineRule="auto" w:line="264"/>
            </w:pPr>
            <w:r/>
            <w:r>
              <w:rPr>
                <w:rFonts w:ascii="Calibri" w:hAnsi="Calibri" w:eastAsia="Microsoft YaHei"/>
                <w:b w:val="0"/>
                <w:i w:val="0"/>
                <w:color w:val="1A1A1A"/>
                <w:sz w:val="14"/>
              </w:rPr>
              <w:t>经营现金流</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启动资金</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自给</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自给并再投资</w:t>
            </w:r>
          </w:p>
        </w:tc>
        <w:tc>
          <w:tcPr>
            <w:tcW w:type="dxa" w:w="1417"/>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自给并再投资</w:t>
            </w:r>
          </w:p>
        </w:tc>
        <w:tc>
          <w:tcPr>
            <w:tcW w:type="dxa" w:w="1814"/>
            <w:shd w:val="clear" w:color="auto" w:fill="F2F4F7"/>
            <w:tcMar>
              <w:top w:w="40" w:type="dxa"/>
              <w:left w:w="90" w:type="dxa"/>
              <w:bottom w:w="40" w:type="dxa"/>
              <w:right w:w="90" w:type="dxa"/>
            </w:tcMar>
            <w:vAlign w:val="center"/>
          </w:tcPr>
          <w:p>
            <w:pPr>
              <w:spacing w:before="14" w:after="14" w:lineRule="auto" w:line="264"/>
              <w:jc w:val="center"/>
            </w:pPr>
            <w:r/>
            <w:r>
              <w:rPr>
                <w:rFonts w:ascii="Calibri" w:hAnsi="Calibri" w:eastAsia="Microsoft YaHei"/>
                <w:b w:val="0"/>
                <w:i w:val="0"/>
                <w:color w:val="1A1A1A"/>
                <w:sz w:val="14"/>
              </w:rPr>
              <w:t>第 4 个月起内生</w:t>
            </w:r>
          </w:p>
        </w:tc>
      </w:tr>
    </w:tbl>
    <w:p>
      <w:pPr>
        <w:spacing w:before="0" w:after="0" w:line="40" w:lineRule="exact"/>
      </w:pPr>
      <w:r>
        <w:rPr>
          <w:rFonts w:ascii="Calibri" w:hAnsi="Calibri" w:eastAsia="Microsoft YaHei"/>
          <w:b w:val="0"/>
          <w:i w:val="0"/>
          <w:color w:val="1A1A1A"/>
          <w:sz w:val="2"/>
        </w:rPr>
      </w:r>
    </w:p>
    <w:p>
      <w:pPr>
        <w:spacing w:before="0" w:after="0" w:lineRule="auto" w:line="269"/>
        <w:jc w:val="both"/>
      </w:pPr>
      <w:r>
        <w:rPr>
          <w:rFonts w:ascii="Calibri" w:hAnsi="Calibri" w:eastAsia="Microsoft YaHei"/>
          <w:b w:val="0"/>
          <w:i w:val="0"/>
          <w:color w:val="5A6472"/>
          <w:sz w:val="14"/>
        </w:rPr>
        <w:t>首年即实现 EBITDA 1,588 万比索（16.0%）与净利润 1,028 万比索（10.4%）：第一季度小幅亏损仅源于场地建设与团队先行投入，第二季度单季即转正，第四季度 EBITDA 率达 23.4%。利润率跃升并非来自新增收入本身，而是来自固定成本不变——租金、总部与 IT 团队成本在收入翻倍后占比减半。</w:t>
      </w:r>
    </w:p>
    <w:p>
      <w:pPr>
        <w:spacing w:before="0" w:after="0"/>
      </w:pPr>
      <w:r>
        <w:br w:type="page"/>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08</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三年扩张计划</w:t>
            </w:r>
            <w:r>
              <w:rPr>
                <w:rFonts w:ascii="Calibri" w:hAnsi="Calibri" w:eastAsia="Microsoft YaHei"/>
                <w:b w:val="0"/>
                <w:i w:val="0"/>
                <w:color w:val="5A6472"/>
                <w:sz w:val="15"/>
              </w:rPr>
              <w:t xml:space="preserve">   THREE-YEAR EXPANSION</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765"/>
        <w:gridCol w:w="3997"/>
        <w:gridCol w:w="652"/>
        <w:gridCol w:w="992"/>
        <w:gridCol w:w="765"/>
        <w:gridCol w:w="1049"/>
        <w:gridCol w:w="1049"/>
        <w:gridCol w:w="822"/>
      </w:tblGrid>
      <w:tr>
        <w:trPr>
          <w:tblHeader w:val="true"/>
        </w:trPr>
        <w:tc>
          <w:tcPr>
            <w:tcW w:type="dxa" w:w="76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年度</w:t>
            </w:r>
          </w:p>
        </w:tc>
        <w:tc>
          <w:tcPr>
            <w:tcW w:type="dxa" w:w="399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新增城市（选址逻辑）</w:t>
            </w:r>
          </w:p>
        </w:tc>
        <w:tc>
          <w:tcPr>
            <w:tcW w:type="dxa" w:w="652"/>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自建</w:t>
            </w:r>
            <w:r>
              <w:br/>
            </w:r>
            <w:r>
              <w:rPr>
                <w:rFonts w:ascii="Calibri" w:hAnsi="Calibri" w:eastAsia="Microsoft YaHei"/>
                <w:b/>
                <w:i w:val="0"/>
                <w:color w:val="FFFFFF"/>
                <w:sz w:val="16"/>
              </w:rPr>
              <w:t>城市</w:t>
            </w:r>
          </w:p>
        </w:tc>
        <w:tc>
          <w:tcPr>
            <w:tcW w:type="dxa" w:w="992"/>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展厅/仓库</w:t>
            </w:r>
          </w:p>
        </w:tc>
        <w:tc>
          <w:tcPr>
            <w:tcW w:type="dxa" w:w="76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代理商</w:t>
            </w:r>
          </w:p>
        </w:tc>
        <w:tc>
          <w:tcPr>
            <w:tcW w:type="dxa" w:w="104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收入</w:t>
            </w:r>
            <w:r>
              <w:br/>
            </w:r>
            <w:r>
              <w:rPr>
                <w:rFonts w:ascii="Calibri" w:hAnsi="Calibri" w:eastAsia="Microsoft YaHei"/>
                <w:b/>
                <w:i w:val="0"/>
                <w:color w:val="FFFFFF"/>
                <w:sz w:val="16"/>
              </w:rPr>
              <w:t>百万比索</w:t>
            </w:r>
          </w:p>
        </w:tc>
        <w:tc>
          <w:tcPr>
            <w:tcW w:type="dxa" w:w="1049"/>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EBITDA</w:t>
            </w:r>
            <w:r>
              <w:br/>
            </w:r>
            <w:r>
              <w:rPr>
                <w:rFonts w:ascii="Calibri" w:hAnsi="Calibri" w:eastAsia="Microsoft YaHei"/>
                <w:b/>
                <w:i w:val="0"/>
                <w:color w:val="FFFFFF"/>
                <w:sz w:val="16"/>
              </w:rPr>
              <w:t>百万比索</w:t>
            </w:r>
          </w:p>
        </w:tc>
        <w:tc>
          <w:tcPr>
            <w:tcW w:type="dxa" w:w="822"/>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净利润</w:t>
            </w:r>
            <w:r>
              <w:br/>
            </w:r>
            <w:r>
              <w:rPr>
                <w:rFonts w:ascii="Calibri" w:hAnsi="Calibri" w:eastAsia="Microsoft YaHei"/>
                <w:b/>
                <w:i w:val="0"/>
                <w:color w:val="FFFFFF"/>
                <w:sz w:val="16"/>
              </w:rPr>
              <w:t>百万比索</w:t>
            </w:r>
          </w:p>
        </w:tc>
      </w:tr>
      <w:tr>
        <w:tc>
          <w:tcPr>
            <w:tcW w:type="dxa" w:w="765"/>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第一年</w:t>
            </w:r>
          </w:p>
        </w:tc>
        <w:tc>
          <w:tcPr>
            <w:tcW w:type="dxa" w:w="399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墨西哥城（集团总部＋展厅）、蒙特雷（展厅＋仓库）——量与利的组合</w:t>
            </w:r>
          </w:p>
        </w:tc>
        <w:tc>
          <w:tcPr>
            <w:tcW w:type="dxa" w:w="65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w:t>
            </w:r>
          </w:p>
        </w:tc>
        <w:tc>
          <w:tcPr>
            <w:tcW w:type="dxa" w:w="99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 / 1</w:t>
            </w:r>
          </w:p>
        </w:tc>
        <w:tc>
          <w:tcPr>
            <w:tcW w:type="dxa" w:w="765"/>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60</w:t>
            </w:r>
          </w:p>
        </w:tc>
        <w:tc>
          <w:tcPr>
            <w:tcW w:type="dxa" w:w="104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99.0</w:t>
            </w:r>
          </w:p>
        </w:tc>
        <w:tc>
          <w:tcPr>
            <w:tcW w:type="dxa" w:w="104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15.9</w:t>
            </w:r>
          </w:p>
        </w:tc>
        <w:tc>
          <w:tcPr>
            <w:tcW w:type="dxa" w:w="82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10.3</w:t>
            </w:r>
          </w:p>
        </w:tc>
      </w:tr>
      <w:tr>
        <w:tc>
          <w:tcPr>
            <w:tcW w:type="dxa" w:w="765"/>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第二年</w:t>
            </w:r>
          </w:p>
        </w:tc>
        <w:tc>
          <w:tcPr>
            <w:tcW w:type="dxa" w:w="3997"/>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瓜达拉哈拉（第二大经济体、礼品零售密集）、蒂华纳（边境保税加工厂劳保、美墨跨境试点，与自有美国通道天然衔接）</w:t>
            </w:r>
          </w:p>
        </w:tc>
        <w:tc>
          <w:tcPr>
            <w:tcW w:type="dxa" w:w="652"/>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w:t>
            </w:r>
          </w:p>
        </w:tc>
        <w:tc>
          <w:tcPr>
            <w:tcW w:type="dxa" w:w="992"/>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 / 2</w:t>
            </w:r>
          </w:p>
        </w:tc>
        <w:tc>
          <w:tcPr>
            <w:tcW w:type="dxa" w:w="765"/>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180</w:t>
            </w:r>
          </w:p>
        </w:tc>
        <w:tc>
          <w:tcPr>
            <w:tcW w:type="dxa" w:w="104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252.0</w:t>
            </w:r>
          </w:p>
        </w:tc>
        <w:tc>
          <w:tcPr>
            <w:tcW w:type="dxa" w:w="1049"/>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43.8</w:t>
            </w:r>
          </w:p>
        </w:tc>
        <w:tc>
          <w:tcPr>
            <w:tcW w:type="dxa" w:w="822"/>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29.1</w:t>
            </w:r>
          </w:p>
        </w:tc>
      </w:tr>
      <w:tr>
        <w:tc>
          <w:tcPr>
            <w:tcW w:type="dxa" w:w="765"/>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第三年</w:t>
            </w:r>
          </w:p>
        </w:tc>
        <w:tc>
          <w:tcPr>
            <w:tcW w:type="dxa" w:w="399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莱昂／巴希奥（制鞋皮革与工业劳保）、克雷塔罗（物流枢纽）、普埃布拉（纺织服装集群）；其余各州由代理商网络与越库配送覆盖，实现全国 32 州触达</w:t>
            </w:r>
          </w:p>
        </w:tc>
        <w:tc>
          <w:tcPr>
            <w:tcW w:type="dxa" w:w="65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7</w:t>
            </w:r>
          </w:p>
        </w:tc>
        <w:tc>
          <w:tcPr>
            <w:tcW w:type="dxa" w:w="99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7 / 4</w:t>
            </w:r>
          </w:p>
        </w:tc>
        <w:tc>
          <w:tcPr>
            <w:tcW w:type="dxa" w:w="765"/>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440</w:t>
            </w:r>
          </w:p>
        </w:tc>
        <w:tc>
          <w:tcPr>
            <w:tcW w:type="dxa" w:w="104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510.0</w:t>
            </w:r>
          </w:p>
        </w:tc>
        <w:tc>
          <w:tcPr>
            <w:tcW w:type="dxa" w:w="1049"/>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96.9</w:t>
            </w:r>
          </w:p>
        </w:tc>
        <w:tc>
          <w:tcPr>
            <w:tcW w:type="dxa" w:w="822"/>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65.3</w:t>
            </w:r>
          </w:p>
        </w:tc>
      </w:tr>
    </w:tbl>
    <w:p>
      <w:pPr>
        <w:spacing w:before="0" w:after="0" w:line="60" w:lineRule="exact"/>
      </w:pPr>
      <w:r>
        <w:rPr>
          <w:rFonts w:ascii="Calibri" w:hAnsi="Calibri" w:eastAsia="Microsoft YaHei"/>
          <w:b w:val="0"/>
          <w:i w:val="0"/>
          <w:color w:val="1A1A1A"/>
          <w:sz w:val="2"/>
        </w:rPr>
      </w:r>
    </w:p>
    <w:p>
      <w:pPr>
        <w:spacing w:before="0" w:after="80" w:lineRule="auto" w:line="269"/>
        <w:jc w:val="both"/>
      </w:pPr>
      <w:r>
        <w:rPr>
          <w:rFonts w:ascii="Calibri" w:hAnsi="Calibri" w:eastAsia="Microsoft YaHei"/>
          <w:b w:val="0"/>
          <w:i w:val="0"/>
          <w:color w:val="5A6472"/>
          <w:sz w:val="14"/>
        </w:rPr>
        <w:t>轻资产纪律：第三年自建 7 城但仅设 4 个仓库、团队仅 72 人，其余由 440 家代理商与越库配送覆盖全国 32 州——这正是第三年 EBITDA 利润率达到 19.0% 的原因。全部扩张资金自第 4 个月起由经营收入承担，三年内不再进行任何股权融资。</w:t>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09</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五年纳斯达克上市路径</w:t>
            </w:r>
            <w:r>
              <w:rPr>
                <w:rFonts w:ascii="Calibri" w:hAnsi="Calibri" w:eastAsia="Microsoft YaHei"/>
                <w:b w:val="0"/>
                <w:i w:val="0"/>
                <w:color w:val="5A6472"/>
                <w:sz w:val="15"/>
              </w:rPr>
              <w:t xml:space="preserve">   THE NASDAQ PATH</w:t>
            </w:r>
          </w:p>
        </w:tc>
      </w:tr>
    </w:tbl>
    <w:p>
      <w:pPr>
        <w:spacing w:before="0" w:after="0" w:line="50" w:lineRule="exact"/>
      </w:pPr>
      <w:r>
        <w:rPr>
          <w:rFonts w:ascii="Calibri" w:hAnsi="Calibri" w:eastAsia="Microsoft YaHei"/>
          <w:b w:val="0"/>
          <w:i w:val="0"/>
          <w:color w:val="1A1A1A"/>
          <w:sz w:val="2"/>
        </w:rPr>
      </w:r>
    </w:p>
    <w:p>
      <w:pPr>
        <w:spacing w:before="10" w:after="44" w:line="278" w:lineRule="auto"/>
        <w:ind w:left="181" w:hanging="181"/>
      </w:pPr>
      <w:r>
        <w:rPr>
          <w:rFonts w:ascii="Calibri" w:hAnsi="Calibri" w:eastAsia="Microsoft YaHei"/>
          <w:b/>
          <w:i w:val="0"/>
          <w:color w:val="B08D3F"/>
          <w:sz w:val="14"/>
        </w:rPr>
        <w:t xml:space="preserve">▪ </w:t>
      </w:r>
      <w:r>
        <w:rPr>
          <w:rFonts w:ascii="Calibri" w:hAnsi="Calibri" w:eastAsia="Microsoft YaHei"/>
          <w:b/>
          <w:i w:val="0"/>
          <w:color w:val="0B2545"/>
          <w:sz w:val="14"/>
        </w:rPr>
        <w:t>（1）</w:t>
      </w:r>
      <w:r>
        <w:rPr>
          <w:rFonts w:ascii="Calibri" w:hAnsi="Calibri" w:eastAsia="Microsoft YaHei"/>
          <w:b w:val="0"/>
          <w:i w:val="0"/>
          <w:color w:val="1A1A1A"/>
          <w:sz w:val="14"/>
        </w:rPr>
        <w:t xml:space="preserve">  </w:t>
      </w:r>
      <w:r>
        <w:rPr>
          <w:rFonts w:ascii="Calibri" w:hAnsi="Calibri" w:eastAsia="Microsoft YaHei"/>
          <w:b w:val="0"/>
          <w:i w:val="0"/>
          <w:color w:val="1A1A1A"/>
          <w:sz w:val="14"/>
        </w:rPr>
        <w:t>按本版口径，第五年 CLG 目标营业收入约 8,430 万美元（15.6 亿比索）、净利率约 13%（净利润约 1,096 万美元）、自有品牌占收入 50% 以上——税前利润远超纳斯达克全球市场（Nasdaq Global Market）收益标准所要求的 100 万美元，并可同时满足股东权益 1,500 万美元、公众持股市值 800 万美元、400 名整手股东与股价 4 美元等各项门槛；若届时市值达 7,500 万美元以上，亦可选择市值标准申报。</w:t>
      </w:r>
    </w:p>
    <w:p>
      <w:pPr>
        <w:spacing w:before="10" w:after="44" w:line="278" w:lineRule="auto"/>
        <w:ind w:left="181" w:hanging="181"/>
      </w:pPr>
      <w:r>
        <w:rPr>
          <w:rFonts w:ascii="Calibri" w:hAnsi="Calibri" w:eastAsia="Microsoft YaHei"/>
          <w:b/>
          <w:i w:val="0"/>
          <w:color w:val="B08D3F"/>
          <w:sz w:val="14"/>
        </w:rPr>
        <w:t xml:space="preserve">▪ </w:t>
      </w:r>
      <w:r>
        <w:rPr>
          <w:rFonts w:ascii="Calibri" w:hAnsi="Calibri" w:eastAsia="Microsoft YaHei"/>
          <w:b/>
          <w:i w:val="0"/>
          <w:color w:val="0B2545"/>
          <w:sz w:val="14"/>
        </w:rPr>
        <w:t>（2）</w:t>
      </w:r>
      <w:r>
        <w:rPr>
          <w:rFonts w:ascii="Calibri" w:hAnsi="Calibri" w:eastAsia="Microsoft YaHei"/>
          <w:b w:val="0"/>
          <w:i w:val="0"/>
          <w:color w:val="1A1A1A"/>
          <w:sz w:val="14"/>
        </w:rPr>
        <w:t xml:space="preserve">  </w:t>
      </w:r>
      <w:r>
        <w:rPr>
          <w:rFonts w:ascii="Calibri" w:hAnsi="Calibri" w:eastAsia="Microsoft YaHei"/>
          <w:b w:val="0"/>
          <w:i w:val="0"/>
          <w:color w:val="1A1A1A"/>
          <w:sz w:val="14"/>
        </w:rPr>
        <w:t>可比公司框架：拉美及新兴市场纯分销企业的交易倍数约为 0.4–0.9 倍 EV/Revenue 与 14–20 倍 P/E，而拥有自有渠道的品牌消费品公司为 1.5–3.0 倍 EV/Revenue 与 20–28 倍 P/E；鉴于 CLG 届时自有品牌占比约 50%、毛利率 43% 左右、三年复合增速约 45%，可辩护的定价基准为 1.8 倍 EV/Revenue 或 22 倍 P/E（PEG 显著低于 1.0）。</w:t>
      </w:r>
    </w:p>
    <w:p>
      <w:pPr>
        <w:spacing w:before="10" w:after="44" w:line="278" w:lineRule="auto"/>
        <w:ind w:left="181" w:hanging="181"/>
      </w:pPr>
      <w:r>
        <w:rPr>
          <w:rFonts w:ascii="Calibri" w:hAnsi="Calibri" w:eastAsia="Microsoft YaHei"/>
          <w:b/>
          <w:i w:val="0"/>
          <w:color w:val="B08D3F"/>
          <w:sz w:val="14"/>
        </w:rPr>
        <w:t xml:space="preserve">▪ </w:t>
      </w:r>
      <w:r>
        <w:rPr>
          <w:rFonts w:ascii="Calibri" w:hAnsi="Calibri" w:eastAsia="Microsoft YaHei"/>
          <w:b/>
          <w:i w:val="0"/>
          <w:color w:val="0B2545"/>
          <w:sz w:val="14"/>
        </w:rPr>
        <w:t>（3）</w:t>
      </w:r>
      <w:r>
        <w:rPr>
          <w:rFonts w:ascii="Calibri" w:hAnsi="Calibri" w:eastAsia="Microsoft YaHei"/>
          <w:b w:val="0"/>
          <w:i w:val="0"/>
          <w:color w:val="1A1A1A"/>
          <w:sz w:val="14"/>
        </w:rPr>
        <w:t xml:space="preserve">  </w:t>
      </w:r>
      <w:r>
        <w:rPr>
          <w:rFonts w:ascii="Calibri" w:hAnsi="Calibri" w:eastAsia="Microsoft YaHei"/>
          <w:b w:val="0"/>
          <w:i w:val="0"/>
          <w:color w:val="1A1A1A"/>
          <w:sz w:val="14"/>
        </w:rPr>
        <w:t>据此隐含企业价值按收入倍数约 1.52 亿美元、按盈利倍数约 2.41 亿美元，即 1.5 亿–2.4 亿美元（28–44 亿比索）的可信上市区间，相当于对首年 115 万美元启动资金 130–210 倍的回报；三项不可妥协的前提：自第一年起由四大或 PCAOB 注册所出具 US GAAP／IFRS 审计报告、即刻搭建开曼或特拉华控股公司之于墨西哥 S.A. de C.V. 的离岸架构、自第一天建立符合 SOX 的内控与常设资料室。</w:t>
      </w:r>
    </w:p>
    <w:p>
      <w:pPr>
        <w:spacing w:before="0" w:after="0" w:line="60" w:lineRule="exact"/>
      </w:pPr>
      <w:r>
        <w:rPr>
          <w:rFonts w:ascii="Calibri" w:hAnsi="Calibri" w:eastAsia="Microsoft YaHei"/>
          <w:b w:val="0"/>
          <w:i w:val="0"/>
          <w:color w:val="1A1A1A"/>
          <w:sz w:val="2"/>
        </w:rPr>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10</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主要风险与对策</w:t>
            </w:r>
            <w:r>
              <w:rPr>
                <w:rFonts w:ascii="Calibri" w:hAnsi="Calibri" w:eastAsia="Microsoft YaHei"/>
                <w:b w:val="0"/>
                <w:i w:val="0"/>
                <w:color w:val="5A6472"/>
                <w:sz w:val="15"/>
              </w:rPr>
              <w:t xml:space="preserve">   KEY RISKS &amp; MITIGANTS</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3175"/>
        <w:gridCol w:w="1361"/>
        <w:gridCol w:w="5556"/>
      </w:tblGrid>
      <w:tr>
        <w:trPr>
          <w:tblHeader w:val="true"/>
        </w:trPr>
        <w:tc>
          <w:tcPr>
            <w:tcW w:type="dxa" w:w="3175"/>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风险</w:t>
            </w:r>
          </w:p>
        </w:tc>
        <w:tc>
          <w:tcPr>
            <w:tcW w:type="dxa" w:w="136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敞口</w:t>
            </w:r>
          </w:p>
        </w:tc>
        <w:tc>
          <w:tcPr>
            <w:tcW w:type="dxa" w:w="5556"/>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对策（与 CLG 实际结构挂钩）</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合作方供货依赖　2 亿比索寄售货源由合作方单一供给，若供货中断或结算条件变更，将直接影响 74% 的首年收入</w:t>
            </w:r>
          </w:p>
        </w:tc>
        <w:tc>
          <w:tcPr>
            <w:tcW w:type="dxa" w:w="136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3"/>
              </w:rPr>
              <w:t>首年收入 7,920 万比索</w:t>
            </w:r>
          </w:p>
        </w:tc>
        <w:tc>
          <w:tcPr>
            <w:tcW w:type="dxa" w:w="5556"/>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以合同而非资金对冲：签署书面寄售协议，明确墨西哥独家经销权、最低供货承诺与品类清单、结算价与调价机制、账期与对账规则、不少于 3 年期限及终止过渡安排；ERP 与合作方仓库实时对账；保留中国直采备份通道与集团自有物流，可在 45 天内以正常进口补位</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库存资金与滞销风险　在自购模式下本为最大风险项（2 亿比索资本占用与跌价）</w:t>
            </w:r>
          </w:p>
        </w:tc>
        <w:tc>
          <w:tcPr>
            <w:tcW w:type="dxa" w:w="136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3"/>
              </w:rPr>
              <w:t>已基本消除</w:t>
            </w:r>
          </w:p>
        </w:tc>
        <w:tc>
          <w:tcPr>
            <w:tcW w:type="dxa" w:w="5556"/>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寄售模式下 CLG 不垫付采购款、不持有库存所有权：资金占用为零、滞销跌价由合作方承担、进口汇率波动不影响 CLG 成本。CLG 仅承担销售与保管责任（投保保管人责任险，年费约 15–25 万比索）。此为本计划最显著的结构性优势</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物流与海关风险　亚洲原产消费品在墨西哥太平洋港口查验趋严，归类或估价失当可致货物扣押</w:t>
            </w:r>
          </w:p>
        </w:tc>
        <w:tc>
          <w:tcPr>
            <w:tcW w:type="dxa" w:w="136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3"/>
              </w:rPr>
              <w:t>已大幅降低</w:t>
            </w:r>
          </w:p>
        </w:tc>
        <w:tc>
          <w:tcPr>
            <w:tcW w:type="dxa" w:w="5556"/>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货物经「中国→美国→墨西哥」路径，由集团自有物流公司全程承运：在美国完成集拼、分批与文件预审，再经新拉雷多陆路口岸入墨、2 小时直达蒙特雷仓库。相较亚洲直航至曼萨尼约，该路径规避了对亚洲直航货的最严查验与港口拥堵，文件与实物链条均由集团掌控；陆运段短、路线固定，货损与失窃风险同步下降，并带来 8–12% 的永久性到岸成本优势</w:t>
            </w:r>
          </w:p>
        </w:tc>
      </w:tr>
      <w:tr>
        <w:tc>
          <w:tcPr>
            <w:tcW w:type="dxa" w:w="3175"/>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B2B 应收账款风险　正规客户要求 30–60 天账期，墨西哥中小批发商坏账率 3–6%</w:t>
            </w:r>
          </w:p>
        </w:tc>
        <w:tc>
          <w:tcPr>
            <w:tcW w:type="dxa" w:w="1361"/>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3"/>
              </w:rPr>
              <w:t>首年计提 120 万；第三年敞口约 1,560 万</w:t>
            </w:r>
          </w:p>
        </w:tc>
        <w:tc>
          <w:tcPr>
            <w:tcW w:type="dxa" w:w="5556"/>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分层授信：一级客户（墨城高周转买家，约占 B2B 收入 55%）一律现金／SPEI，零信用风险；二级正规中小企业 30 天并取本票＋个人担保；三级工业大客户 60 天并投保信用险或反向保理；10 万比索以上强制征信；大额应收经 NAFIN 无追索保理 48 小时变现</w:t>
            </w:r>
          </w:p>
        </w:tc>
      </w:tr>
      <w:tr>
        <w:tc>
          <w:tcPr>
            <w:tcW w:type="dxa" w:w="3175"/>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关键人与人手风险　18 人编制下总经理一人统管两城并全责 IT，单点依赖显著；任一核心岗位离职即形成缺口；寄售货源第二年末去化 81%，价格优势窗口约 18–24 个月</w:t>
            </w:r>
          </w:p>
        </w:tc>
        <w:tc>
          <w:tcPr>
            <w:tcW w:type="dxa" w:w="1361"/>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3"/>
              </w:rPr>
              <w:t>执行高度集中；第三年贸易毛利率递减 10 个百分点（已计入模型）</w:t>
            </w:r>
          </w:p>
        </w:tc>
        <w:tc>
          <w:tcPr>
            <w:tcW w:type="dxa" w:w="5556"/>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3"/>
              </w:rPr>
              <w:t>窗口即战略：用 18 个月锁定 440 家带独家条款与最低采购量的代理商，渠道关系在价格优势消失后依然存续；自有品牌为永久护城河，第三年 42% 毛利来自自有知识产权。精简编制的缓释设计：关键流程固化于 ERP 与书面 SOP 而非个人经验，设计、法务、报关、配送均有外部合作方可即时补位；总经理层面以书面接班安排、期权池、关键人寿险与第 12 个月视业绩增设副手缓释，并在尽调前主动披露</w:t>
            </w:r>
          </w:p>
        </w:tc>
      </w:tr>
    </w:tbl>
    <w:p>
      <w:pPr>
        <w:spacing w:before="0" w:after="0" w:line="60" w:lineRule="exact"/>
      </w:pPr>
      <w:r>
        <w:rPr>
          <w:rFonts w:ascii="Calibri" w:hAnsi="Calibri" w:eastAsia="Microsoft YaHei"/>
          <w:b w:val="0"/>
          <w:i w:val="0"/>
          <w:color w:val="1A1A1A"/>
          <w:sz w:val="2"/>
        </w:rPr>
      </w:r>
    </w:p>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567"/>
        <w:gridCol w:w="9524"/>
      </w:tblGrid>
      <w:tr>
        <w:tc>
          <w:tcPr>
            <w:tcW w:type="dxa" w:w="567"/>
            <w:shd w:val="clear" w:color="auto" w:fill="0B2545"/>
            <w:tcMar>
              <w:top w:w="20" w:type="dxa"/>
              <w:left w:w="0" w:type="dxa"/>
              <w:bottom w:w="20" w:type="dxa"/>
              <w:right w:w="0" w:type="dxa"/>
            </w:tcMar>
            <w:vAlign w:val="center"/>
          </w:tcPr>
          <w:p>
            <w:pPr>
              <w:spacing w:before="10" w:after="10" w:lineRule="auto" w:line="264"/>
              <w:jc w:val="center"/>
            </w:pPr>
            <w:r/>
            <w:r>
              <w:rPr>
                <w:rFonts w:ascii="Calibri" w:hAnsi="Calibri" w:eastAsia="Microsoft YaHei"/>
                <w:b/>
                <w:i w:val="0"/>
                <w:color w:val="FFFFFF"/>
                <w:sz w:val="24"/>
              </w:rPr>
              <w:t>11</w:t>
            </w:r>
          </w:p>
        </w:tc>
        <w:tc>
          <w:tcPr>
            <w:tcW w:type="dxa" w:w="9524"/>
            <w:shd w:val="clear" w:color="auto" w:fill="F2F4F7"/>
            <w:tcMar>
              <w:top w:w="20" w:type="dxa"/>
              <w:left w:w="120" w:type="dxa"/>
              <w:bottom w:w="20" w:type="dxa"/>
              <w:right w:w="60" w:type="dxa"/>
            </w:tcMar>
            <w:vAlign w:val="center"/>
          </w:tcPr>
          <w:p>
            <w:pPr>
              <w:spacing w:before="10" w:after="10"/>
            </w:pPr>
            <w:r/>
            <w:r>
              <w:rPr>
                <w:rFonts w:ascii="Calibri" w:hAnsi="Calibri" w:eastAsia="Microsoft YaHei"/>
                <w:b/>
                <w:i w:val="0"/>
                <w:color w:val="0B2545"/>
                <w:sz w:val="23"/>
              </w:rPr>
              <w:t>投资人监控看板（KPI）与合规前置事项</w:t>
            </w:r>
            <w:r>
              <w:rPr>
                <w:rFonts w:ascii="Calibri" w:hAnsi="Calibri" w:eastAsia="Microsoft YaHei"/>
                <w:b w:val="0"/>
                <w:i w:val="0"/>
                <w:color w:val="5A6472"/>
                <w:sz w:val="15"/>
              </w:rPr>
              <w:t xml:space="preserve">   KPI DASHBOARD &amp; COMPLIANCE</w:t>
            </w:r>
          </w:p>
        </w:tc>
      </w:tr>
    </w:tbl>
    <w:p>
      <w:pPr>
        <w:spacing w:before="0" w:after="0" w:line="50" w:lineRule="exact"/>
      </w:pPr>
      <w:r>
        <w:rPr>
          <w:rFonts w:ascii="Calibri" w:hAnsi="Calibri" w:eastAsia="Microsoft YaHei"/>
          <w:b w:val="0"/>
          <w:i w:val="0"/>
          <w:color w:val="1A1A1A"/>
          <w:sz w:val="2"/>
        </w:rPr>
      </w:r>
    </w:p>
    <w:tbl>
      <w:tblPr>
        <w:tblW w:type="auto" w:w="0"/>
        <w:jc w:val="center"/>
        <w:tblBorders>
          <w:top w:val="single" w:sz="8" w:space="0" w:color="0B2545"/>
          <w:left w:val="nil"/>
          <w:bottom w:val="single" w:sz="8" w:space="0" w:color="0B2545"/>
          <w:right w:val="nil"/>
          <w:insideH w:val="single" w:sz="2" w:space="0" w:color="C9D1DA"/>
          <w:insideV w:val="nil"/>
        </w:tblBorders>
        <w:tblLayout w:type="fixed"/>
        <w:tblLook w:firstColumn="1" w:firstRow="1" w:lastColumn="0" w:lastRow="0" w:noHBand="0" w:noVBand="1" w:val="04A0"/>
      </w:tblPr>
      <w:tblGrid>
        <w:gridCol w:w="1871"/>
        <w:gridCol w:w="794"/>
        <w:gridCol w:w="794"/>
        <w:gridCol w:w="794"/>
        <w:gridCol w:w="2041"/>
        <w:gridCol w:w="850"/>
        <w:gridCol w:w="907"/>
        <w:gridCol w:w="907"/>
      </w:tblGrid>
      <w:tr>
        <w:trPr>
          <w:tblHeader w:val="true"/>
        </w:trPr>
        <w:tc>
          <w:tcPr>
            <w:tcW w:type="dxa" w:w="187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KPI</w:t>
            </w:r>
          </w:p>
        </w:tc>
        <w:tc>
          <w:tcPr>
            <w:tcW w:type="dxa" w:w="79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第一年</w:t>
            </w:r>
          </w:p>
        </w:tc>
        <w:tc>
          <w:tcPr>
            <w:tcW w:type="dxa" w:w="79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第二年</w:t>
            </w:r>
          </w:p>
        </w:tc>
        <w:tc>
          <w:tcPr>
            <w:tcW w:type="dxa" w:w="794"/>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第三年</w:t>
            </w:r>
          </w:p>
        </w:tc>
        <w:tc>
          <w:tcPr>
            <w:tcW w:type="dxa" w:w="2041"/>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KPI</w:t>
            </w:r>
          </w:p>
        </w:tc>
        <w:tc>
          <w:tcPr>
            <w:tcW w:type="dxa" w:w="850"/>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第一年</w:t>
            </w:r>
          </w:p>
        </w:tc>
        <w:tc>
          <w:tcPr>
            <w:tcW w:type="dxa" w:w="90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第二年</w:t>
            </w:r>
          </w:p>
        </w:tc>
        <w:tc>
          <w:tcPr>
            <w:tcW w:type="dxa" w:w="907"/>
            <w:shd w:val="clear" w:color="auto" w:fill="0B2545"/>
            <w:tcMar>
              <w:top w:w="40" w:type="dxa"/>
              <w:left w:w="90" w:type="dxa"/>
              <w:bottom w:w="40" w:type="dxa"/>
              <w:right w:w="90" w:type="dxa"/>
            </w:tcMar>
            <w:vAlign w:val="center"/>
          </w:tcPr>
          <w:p>
            <w:pPr>
              <w:spacing w:before="30" w:after="30" w:lineRule="auto" w:line="264"/>
              <w:jc w:val="center"/>
            </w:pPr>
            <w:r/>
            <w:r>
              <w:rPr>
                <w:rFonts w:ascii="Calibri" w:hAnsi="Calibri" w:eastAsia="Microsoft YaHei"/>
                <w:b/>
                <w:i w:val="0"/>
                <w:color w:val="FFFFFF"/>
                <w:sz w:val="16"/>
              </w:rPr>
              <w:t>第三年</w:t>
            </w:r>
          </w:p>
        </w:tc>
      </w:tr>
      <w:tr>
        <w:tc>
          <w:tcPr>
            <w:tcW w:type="dxa" w:w="1871"/>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活跃 B2B 客户数</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360</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1,040</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2,300</w:t>
            </w:r>
          </w:p>
        </w:tc>
        <w:tc>
          <w:tcPr>
            <w:tcW w:type="dxa" w:w="2041"/>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寄售货源累计去化率</w:t>
            </w:r>
          </w:p>
        </w:tc>
        <w:tc>
          <w:tcPr>
            <w:tcW w:type="dxa" w:w="85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23%</w:t>
            </w:r>
          </w:p>
        </w:tc>
        <w:tc>
          <w:tcPr>
            <w:tcW w:type="dxa" w:w="90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81%</w:t>
            </w:r>
          </w:p>
        </w:tc>
        <w:tc>
          <w:tcPr>
            <w:tcW w:type="dxa" w:w="90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100%→转常规补货</w:t>
            </w:r>
          </w:p>
        </w:tc>
      </w:tr>
      <w:tr>
        <w:tc>
          <w:tcPr>
            <w:tcW w:type="dxa" w:w="1871"/>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代理商数量</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60</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180</w:t>
            </w:r>
          </w:p>
        </w:tc>
        <w:tc>
          <w:tcPr>
            <w:tcW w:type="dxa" w:w="794"/>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440</w:t>
            </w:r>
          </w:p>
        </w:tc>
        <w:tc>
          <w:tcPr>
            <w:tcW w:type="dxa" w:w="2041"/>
            <w:shd w:val="clear" w:color="auto" w:fill="F2F4F7"/>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库存资金占用（比索）</w:t>
            </w:r>
          </w:p>
        </w:tc>
        <w:tc>
          <w:tcPr>
            <w:tcW w:type="dxa" w:w="850"/>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w:t>
            </w:r>
          </w:p>
        </w:tc>
        <w:tc>
          <w:tcPr>
            <w:tcW w:type="dxa" w:w="90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w:t>
            </w:r>
          </w:p>
        </w:tc>
        <w:tc>
          <w:tcPr>
            <w:tcW w:type="dxa" w:w="907"/>
            <w:shd w:val="clear" w:color="auto" w:fill="F2F4F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0</w:t>
            </w:r>
          </w:p>
        </w:tc>
      </w:tr>
      <w:tr>
        <w:tc>
          <w:tcPr>
            <w:tcW w:type="dxa" w:w="1871"/>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应收账款周转天数 DSO</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≤42 天</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≤50 天</w:t>
            </w:r>
          </w:p>
        </w:tc>
        <w:tc>
          <w:tcPr>
            <w:tcW w:type="dxa" w:w="794"/>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≤55 天</w:t>
            </w:r>
          </w:p>
        </w:tc>
        <w:tc>
          <w:tcPr>
            <w:tcW w:type="dxa" w:w="2041"/>
            <w:tcMar>
              <w:top w:w="40" w:type="dxa"/>
              <w:left w:w="90" w:type="dxa"/>
              <w:bottom w:w="40" w:type="dxa"/>
              <w:right w:w="90" w:type="dxa"/>
            </w:tcMar>
            <w:vAlign w:val="center"/>
          </w:tcPr>
          <w:p>
            <w:pPr>
              <w:spacing w:before="24" w:after="24" w:lineRule="auto" w:line="264"/>
            </w:pPr>
            <w:r/>
            <w:r>
              <w:rPr>
                <w:rFonts w:ascii="Calibri" w:hAnsi="Calibri" w:eastAsia="Microsoft YaHei"/>
                <w:b w:val="0"/>
                <w:i w:val="0"/>
                <w:color w:val="1A1A1A"/>
                <w:sz w:val="14"/>
              </w:rPr>
              <w:t>人员编制 / 人均产出</w:t>
            </w:r>
          </w:p>
        </w:tc>
        <w:tc>
          <w:tcPr>
            <w:tcW w:type="dxa" w:w="850"/>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18 / 5.50</w:t>
            </w:r>
          </w:p>
        </w:tc>
        <w:tc>
          <w:tcPr>
            <w:tcW w:type="dxa" w:w="90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38 / 6.63</w:t>
            </w:r>
          </w:p>
        </w:tc>
        <w:tc>
          <w:tcPr>
            <w:tcW w:type="dxa" w:w="907"/>
            <w:tcMar>
              <w:top w:w="40" w:type="dxa"/>
              <w:left w:w="90" w:type="dxa"/>
              <w:bottom w:w="40" w:type="dxa"/>
              <w:right w:w="90" w:type="dxa"/>
            </w:tcMar>
            <w:vAlign w:val="center"/>
          </w:tcPr>
          <w:p>
            <w:pPr>
              <w:spacing w:before="24" w:after="24" w:lineRule="auto" w:line="264"/>
              <w:jc w:val="center"/>
            </w:pPr>
            <w:r/>
            <w:r>
              <w:rPr>
                <w:rFonts w:ascii="Calibri" w:hAnsi="Calibri" w:eastAsia="Microsoft YaHei"/>
                <w:b w:val="0"/>
                <w:i w:val="0"/>
                <w:color w:val="1A1A1A"/>
                <w:sz w:val="14"/>
              </w:rPr>
              <w:t>72 / 7.08</w:t>
            </w:r>
          </w:p>
        </w:tc>
      </w:tr>
    </w:tbl>
    <w:p>
      <w:pPr>
        <w:spacing w:before="0" w:after="0" w:line="60" w:lineRule="exact"/>
      </w:pPr>
      <w:r>
        <w:rPr>
          <w:rFonts w:ascii="Calibri" w:hAnsi="Calibri" w:eastAsia="Microsoft YaHei"/>
          <w:b w:val="0"/>
          <w:i w:val="0"/>
          <w:color w:val="1A1A1A"/>
          <w:sz w:val="2"/>
        </w:rPr>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0091"/>
      </w:tblGrid>
      <w:tr>
        <w:tc>
          <w:tcPr>
            <w:tcW w:type="dxa" w:w="10091"/>
            <w:tcBorders>
              <w:top w:val="single" w:sz="2" w:space="0" w:color="C9D1DA"/>
              <w:left w:val="single" w:sz="18" w:space="0" w:color="B08D3F"/>
              <w:bottom w:val="single" w:sz="2" w:space="0" w:color="C9D1DA"/>
              <w:right w:val="single" w:sz="2" w:space="0" w:color="C9D1DA"/>
            </w:tcBorders>
            <w:shd w:val="clear" w:color="auto" w:fill="FFFFFF"/>
            <w:tcMar>
              <w:top w:w="20" w:type="dxa"/>
              <w:left w:w="120" w:type="dxa"/>
              <w:bottom w:w="20" w:type="dxa"/>
              <w:right w:w="80" w:type="dxa"/>
            </w:tcMar>
          </w:tcPr>
          <w:p>
            <w:pPr>
              <w:spacing w:before="40" w:after="20"/>
            </w:pPr>
            <w:r/>
            <w:r>
              <w:rPr>
                <w:rFonts w:ascii="Calibri" w:hAnsi="Calibri" w:eastAsia="Microsoft YaHei"/>
                <w:b/>
                <w:i w:val="0"/>
                <w:color w:val="0B2545"/>
                <w:sz w:val="16"/>
              </w:rPr>
              <w:t>开业前必须完成的五项前置事项（缺一即无法营业）</w:t>
            </w:r>
          </w:p>
          <w:p>
            <w:pPr>
              <w:spacing w:before="0" w:after="24" w:line="254" w:lineRule="auto"/>
              <w:ind w:left="147" w:hanging="147"/>
            </w:pPr>
            <w:r>
              <w:rPr>
                <w:rFonts w:ascii="Calibri" w:hAnsi="Calibri" w:eastAsia="Microsoft YaHei"/>
                <w:b w:val="0"/>
                <w:i w:val="0"/>
                <w:color w:val="5A6472"/>
                <w:sz w:val="13"/>
              </w:rPr>
              <w:t>① 寄售合作协议（首要）：墨西哥独家经销、最低供货承诺与品类清单、结算价与调价机制、账期与对账规则、保管责任与保险归属、不少于 3 年期限及终止过渡安排。此协议是全部财务预测的法律基础，须先于一切支出完成签署。</w:t>
            </w:r>
          </w:p>
          <w:p>
            <w:pPr>
              <w:spacing w:before="0" w:after="24" w:line="254" w:lineRule="auto"/>
              <w:ind w:left="147" w:hanging="147"/>
            </w:pPr>
            <w:r>
              <w:rPr>
                <w:rFonts w:ascii="Calibri" w:hAnsi="Calibri" w:eastAsia="Microsoft YaHei"/>
                <w:b w:val="0"/>
                <w:i w:val="0"/>
                <w:color w:val="5A6472"/>
                <w:sz w:val="13"/>
              </w:rPr>
              <w:t>② S.A. de C.V. 实体、外资登记 RNIE、RFC、e.firma、数字签章 CSD 及 PAC 对接，并具备开具 CFDI 4.0 与货运 Carta Porte 附件的能力——否则无法向任何正规企业客户销售（买方无法抵扣增值税），蒙特雷工业客户论证即不成立。预留 6–10 周。</w:t>
            </w:r>
          </w:p>
          <w:p>
            <w:pPr>
              <w:spacing w:before="0" w:after="24" w:line="254" w:lineRule="auto"/>
              <w:ind w:left="147" w:hanging="147"/>
            </w:pPr>
            <w:r>
              <w:rPr>
                <w:rFonts w:ascii="Calibri" w:hAnsi="Calibri" w:eastAsia="Microsoft YaHei"/>
                <w:b w:val="0"/>
                <w:i w:val="0"/>
                <w:color w:val="5A6472"/>
                <w:sz w:val="13"/>
              </w:rPr>
              <w:t>③ 进口商名录（Padrón de Importadores）及服装纺织类特定行业名录；自有品牌与补货经美国通道入墨，须同步完成美墨两端报关主体与文件体系；消费品关税 0–35%，另有 16% 增值税形成现金垫付（已计入营运资金）。</w:t>
            </w:r>
          </w:p>
          <w:p>
            <w:pPr>
              <w:spacing w:before="0" w:after="24" w:line="254" w:lineRule="auto"/>
              <w:ind w:left="147" w:hanging="147"/>
            </w:pPr>
            <w:r>
              <w:rPr>
                <w:rFonts w:ascii="Calibri" w:hAnsi="Calibri" w:eastAsia="Microsoft YaHei"/>
                <w:b w:val="0"/>
                <w:i w:val="0"/>
                <w:color w:val="5A6472"/>
                <w:sz w:val="13"/>
              </w:rPr>
              <w:t>④ NOM 强制认证与标签：NOM-050-SCFI（西语标签、原产国、进口商名称／RFC／地址、净含量、保修说明）适用于生活用品、厨房、服装、文具、礼品；服装另需 NOM-004-SCFI；劳保品类风险最高，工业客户采购前必索取符合性证书。须对寄售库存做 NOM-050 合规审计——若无西语标签，返工成本承担方须在寄售协议中事先约定，不得默认由 CLG 承担。</w:t>
            </w:r>
          </w:p>
          <w:p>
            <w:pPr>
              <w:spacing w:before="0" w:after="50" w:line="254" w:lineRule="auto"/>
              <w:ind w:left="147" w:hanging="147"/>
            </w:pPr>
            <w:r>
              <w:rPr>
                <w:rFonts w:ascii="Calibri" w:hAnsi="Calibri" w:eastAsia="Microsoft YaHei"/>
                <w:b w:val="0"/>
                <w:i w:val="0"/>
                <w:color w:val="5A6472"/>
                <w:sz w:val="13"/>
              </w:rPr>
              <w:t>⑤ IMPI 商标先行注册（墨西哥为申请在先制，抢注者可合法阻断 CLG 使用自有品牌，须在首份图册印刷前完成两个品牌全部相关尼斯类别的递交，并同周注册 .com.mx 域名与社媒账号）；ERP／WMS 须先于三大平台上线并与合作方仓库实时对账（寄售模式下为财务与法律双重要求）；关联交易（自有物流与中国采购主体）须按独立交易原则定价并出具转让定价报告，否则美国审计师不予签字。</w:t>
            </w:r>
          </w:p>
        </w:tc>
      </w:tr>
    </w:tbl>
    <w:sectPr w:rsidR="00FC693F" w:rsidRPr="0006063C" w:rsidSect="00034616">
      <w:headerReference w:type="default" r:id="rId9"/>
      <w:footerReference w:type="default" r:id="rId10"/>
      <w:pgSz w:w="11906" w:h="16838"/>
      <w:pgMar w:top="822" w:right="907" w:bottom="680" w:left="907"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Borders>
        <w:top w:val="single" w:sz="6" w:space="0" w:color="C9D1DA"/>
        <w:left w:val="nil"/>
        <w:bottom w:val="nil"/>
        <w:right w:val="nil"/>
        <w:insideH w:val="nil"/>
        <w:insideV w:val="nil"/>
      </w:tblBorders>
      <w:tblLayout w:type="fixed"/>
      <w:tblLook w:firstColumn="1" w:firstRow="1" w:lastColumn="0" w:lastRow="0" w:noHBand="0" w:noVBand="1" w:val="04A0"/>
    </w:tblPr>
    <w:tblGrid>
      <w:gridCol w:w="8504"/>
      <w:gridCol w:w="1587"/>
    </w:tblGrid>
    <w:tr>
      <w:tc>
        <w:tcPr>
          <w:tcW w:type="dxa" w:w="8504"/>
          <w:tcMar>
            <w:top w:w="0" w:type="dxa"/>
            <w:left w:w="0" w:type="dxa"/>
            <w:bottom w:w="0" w:type="dxa"/>
            <w:right w:w="0" w:type="dxa"/>
          </w:tcMar>
        </w:tcPr>
        <w:p>
          <w:pPr>
            <w:spacing w:before="40" w:after="0"/>
          </w:pPr>
          <w:r/>
          <w:r>
            <w:rPr>
              <w:rFonts w:ascii="Calibri" w:hAnsi="Calibri" w:eastAsia="Microsoft YaHei"/>
              <w:b w:val="0"/>
              <w:i w:val="0"/>
              <w:color w:val="5A6472"/>
              <w:sz w:val="14"/>
            </w:rPr>
            <w:t>CLG GROUP · MEXICO  |  商业计划书（保守测算版）  |  本文件含商业机密，未经书面许可不得复制或转发</w:t>
          </w:r>
        </w:p>
      </w:tc>
      <w:tc>
        <w:tcPr>
          <w:tcW w:type="dxa" w:w="1587"/>
          <w:tcMar>
            <w:top w:w="0" w:type="dxa"/>
            <w:left w:w="0" w:type="dxa"/>
            <w:bottom w:w="0" w:type="dxa"/>
            <w:right w:w="0" w:type="dxa"/>
          </w:tcMar>
        </w:tcPr>
        <w:p>
          <w:pPr>
            <w:spacing w:before="40" w:after="0"/>
            <w:jc w:val="right"/>
          </w:pPr>
          <w:r/>
          <w:r>
            <w:rPr>
              <w:rFonts w:ascii="Calibri" w:hAnsi="Calibri" w:eastAsia="Microsoft YaHei"/>
              <w:b w:val="0"/>
              <w:i w:val="0"/>
              <w:color w:val="5A6472"/>
              <w:sz w:val="15"/>
            </w:rPr>
            <w:t xml:space="preserve">第 </w:t>
          </w:r>
          <w:r>
            <w:rPr>
              <w:rFonts w:ascii="Calibri" w:hAnsi="Calibri" w:eastAsia="Microsoft YaHei"/>
              <w:b w:val="0"/>
              <w:i w:val="0"/>
              <w:color w:val="0B2545"/>
              <w:sz w:val="15"/>
            </w:rPr>
            <w:fldChar w:fldCharType="begin"/>
            <w:instrText xml:space="preserve"> PAGE </w:instrText>
            <w:fldChar w:fldCharType="end"/>
          </w:r>
          <w:r>
            <w:rPr>
              <w:rFonts w:ascii="Calibri" w:hAnsi="Calibri" w:eastAsia="Microsoft YaHei"/>
              <w:b w:val="0"/>
              <w:i w:val="0"/>
              <w:color w:val="5A6472"/>
              <w:sz w:val="15"/>
            </w:rPr>
            <w:t xml:space="preserve"> 页</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Borders>
        <w:top w:val="nil"/>
        <w:left w:val="nil"/>
        <w:bottom w:val="single" w:sz="6" w:space="0" w:color="B08D3F"/>
        <w:right w:val="nil"/>
        <w:insideH w:val="nil"/>
        <w:insideV w:val="nil"/>
      </w:tblBorders>
      <w:tblLayout w:type="fixed"/>
      <w:tblLook w:firstColumn="1" w:firstRow="1" w:lastColumn="0" w:lastRow="0" w:noHBand="0" w:noVBand="1" w:val="04A0"/>
    </w:tblPr>
    <w:tblGrid>
      <w:gridCol w:w="6236"/>
      <w:gridCol w:w="3855"/>
    </w:tblGrid>
    <w:tr>
      <w:tc>
        <w:tcPr>
          <w:tcW w:type="dxa" w:w="6236"/>
          <w:tcMar>
            <w:top w:w="0" w:type="dxa"/>
            <w:left w:w="0" w:type="dxa"/>
            <w:bottom w:w="0" w:type="dxa"/>
            <w:right w:w="0" w:type="dxa"/>
          </w:tcMar>
        </w:tcPr>
        <w:p>
          <w:pPr>
            <w:spacing w:after="30"/>
          </w:pPr>
          <w:r/>
          <w:r>
            <w:rPr>
              <w:rFonts w:ascii="Calibri" w:hAnsi="Calibri" w:eastAsia="Microsoft YaHei"/>
              <w:b/>
              <w:i w:val="0"/>
              <w:color w:val="0B2545"/>
              <w:sz w:val="15"/>
            </w:rPr>
            <w:t>CLG 集团  |  墨西哥市场商业计划书</w:t>
          </w:r>
        </w:p>
      </w:tc>
      <w:tc>
        <w:tcPr>
          <w:tcW w:type="dxa" w:w="3855"/>
          <w:tcMar>
            <w:top w:w="0" w:type="dxa"/>
            <w:left w:w="0" w:type="dxa"/>
            <w:bottom w:w="0" w:type="dxa"/>
            <w:right w:w="0" w:type="dxa"/>
          </w:tcMar>
        </w:tcPr>
        <w:p>
          <w:pPr>
            <w:spacing w:after="30"/>
            <w:jc w:val="right"/>
          </w:pPr>
          <w:r/>
          <w:r>
            <w:rPr>
              <w:rFonts w:ascii="Calibri" w:hAnsi="Calibri" w:eastAsia="Microsoft YaHei"/>
              <w:b w:val="0"/>
              <w:i w:val="0"/>
              <w:color w:val="5A6472"/>
              <w:sz w:val="15"/>
            </w:rPr>
            <w:t>2026年9月  ·  严格保密  ·  仅供投资人审阅</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Microsoft YaHe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CLG 集团 · 墨西哥市场商业计划书</dc:title>
  <dc:subject>轻资产双城起步 · 寄售零库存 · 自有品牌战略</dc:subject>
  <dc:creator>John Kim</dc:creator>
  <cp:keywords/>
  <dc:description>编制人：总经理 John Kim</dc:description>
  <cp:lastModifiedBy>John Kim</cp:lastModifiedBy>
  <cp:revision>1</cp:revision>
  <dcterms:created xsi:type="dcterms:W3CDTF">2013-12-23T23:15:00Z</dcterms:created>
  <dcterms:modified xsi:type="dcterms:W3CDTF">2013-12-23T23:15:00Z</dcterms:modified>
  <cp:category/>
</cp:coreProperties>
</file>