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p>
    <w:p>
      <w:pPr>
        <w:spacing w:after="40" w:before="0"/>
      </w:pPr>
      <w:r>
        <w:rPr>
          <w:rFonts w:ascii="Arial" w:cs="Arial" w:eastAsia="Arial" w:hAnsi="Arial"/>
          <w:b/>
          <w:bCs/>
          <w:caps/>
          <w:color w:val="888888"/>
          <w:sz w:val="18"/>
          <w:szCs w:val="18"/>
        </w:rPr>
        <w:t xml:space="preserve">BUSINESS CASE</w:t>
      </w:r>
    </w:p>
    <w:p>
      <w:pPr>
        <w:spacing w:after="100" w:before="0"/>
      </w:pPr>
      <w:r>
        <w:rPr>
          <w:rFonts w:ascii="Arial" w:cs="Arial" w:eastAsia="Arial" w:hAnsi="Arial"/>
          <w:b/>
          <w:bCs/>
          <w:color w:val="1B2A4A"/>
          <w:sz w:val="52"/>
          <w:szCs w:val="52"/>
        </w:rPr>
        <w:t xml:space="preserve">Attention Residuals (AttnRes)</w:t>
      </w:r>
    </w:p>
    <w:p>
      <w:pPr>
        <w:pBdr>
          <w:bottom w:val="single" w:color="0F6E56" w:sz="12" w:space="1"/>
        </w:pBdr>
        <w:spacing w:after="60" w:before="0"/>
      </w:pPr>
      <w:r>
        <w:rPr>
          <w:rFonts w:ascii="Arial" w:cs="Arial" w:eastAsia="Arial" w:hAnsi="Arial"/>
          <w:color w:val="2E5FA3"/>
          <w:sz w:val="26"/>
          <w:szCs w:val="26"/>
        </w:rPr>
        <w:t xml:space="preserve">Closing the Compute-Efficiency Gap in Production Transformer Models</w:t>
      </w:r>
    </w:p>
    <w:p>
      <w:pPr>
        <w:spacing w:after="0" w:before="80"/>
      </w:pPr>
    </w:p>
    <w:p>
      <w:pPr>
        <w:spacing w:after="20" w:before="0"/>
      </w:pPr>
      <w:r>
        <w:rPr>
          <w:rFonts w:ascii="Arial" w:cs="Arial" w:eastAsia="Arial" w:hAnsi="Arial"/>
          <w:color w:val="555555"/>
          <w:sz w:val="20"/>
          <w:szCs w:val="20"/>
        </w:rPr>
        <w:t xml:space="preserve">Prepared by:</w:t>
      </w:r>
    </w:p>
    <w:p>
      <w:pPr>
        <w:spacing w:after="20" w:before="0"/>
      </w:pPr>
      <w:r>
        <w:rPr>
          <w:rFonts w:ascii="Arial" w:cs="Arial" w:eastAsia="Arial" w:hAnsi="Arial"/>
          <w:b/>
          <w:bCs/>
          <w:color w:val="1B2A4A"/>
          <w:sz w:val="22"/>
          <w:szCs w:val="22"/>
        </w:rPr>
        <w:t xml:space="preserve">AttnRes Research Programme  —  MoonshotAI</w:t>
      </w:r>
    </w:p>
    <w:p>
      <w:pPr>
        <w:spacing w:after="0" w:before="40"/>
      </w:pPr>
    </w:p>
    <w:p>
      <w:pPr>
        <w:spacing w:after="20" w:before="0"/>
      </w:pPr>
      <w:r>
        <w:rPr>
          <w:rFonts w:ascii="Arial" w:cs="Arial" w:eastAsia="Arial" w:hAnsi="Arial"/>
          <w:color w:val="666666"/>
          <w:sz w:val="20"/>
          <w:szCs w:val="20"/>
        </w:rPr>
        <w:t xml:space="preserve">Version: 1.0  |  Date: April 2026  |  Classification: Confidential</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1"/>
              <w:left w:val="single" w:color="0F6E56" w:sz="1"/>
              <w:bottom w:val="single" w:color="0F6E56" w:sz="1"/>
              <w:right w:val="single" w:color="0F6E56"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0F6E56"/>
                <w:sz w:val="40"/>
                <w:szCs w:val="40"/>
              </w:rPr>
              <w:t xml:space="preserve">20%</w:t>
            </w:r>
          </w:p>
          <w:p>
            <w:pPr>
              <w:spacing w:after="0" w:before="0"/>
              <w:jc w:val="center"/>
            </w:pPr>
            <w:r>
              <w:rPr>
                <w:rFonts w:ascii="Arial" w:cs="Arial" w:eastAsia="Arial" w:hAnsi="Arial"/>
                <w:color w:val="555555"/>
                <w:sz w:val="18"/>
                <w:szCs w:val="18"/>
              </w:rPr>
              <w:t xml:space="preserve">Training cost reduction</w:t>
            </w:r>
          </w:p>
        </w:tc>
        <w:tc>
          <w:tcPr>
            <w:tcW w:type="dxa" w:w="2340"/>
            <w:tcBorders>
              <w:top w:val="single" w:color="2E5FA3" w:sz="1"/>
              <w:left w:val="single" w:color="2E5FA3" w:sz="1"/>
              <w:bottom w:val="single" w:color="2E5FA3" w:sz="1"/>
              <w:right w:val="single" w:color="2E5FA3"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2E5FA3"/>
                <w:sz w:val="40"/>
                <w:szCs w:val="40"/>
              </w:rPr>
              <w:t xml:space="preserve">1.25×</w:t>
            </w:r>
          </w:p>
          <w:p>
            <w:pPr>
              <w:spacing w:after="0" w:before="0"/>
              <w:jc w:val="center"/>
            </w:pPr>
            <w:r>
              <w:rPr>
                <w:rFonts w:ascii="Arial" w:cs="Arial" w:eastAsia="Arial" w:hAnsi="Arial"/>
                <w:color w:val="555555"/>
                <w:sz w:val="18"/>
                <w:szCs w:val="18"/>
              </w:rPr>
              <w:t xml:space="preserve">Effective compute multiplier</w:t>
            </w:r>
          </w:p>
        </w:tc>
        <w:tc>
          <w:tcPr>
            <w:tcW w:type="dxa" w:w="2340"/>
            <w:tcBorders>
              <w:top w:val="single" w:color="1B2A4A" w:sz="1"/>
              <w:left w:val="single" w:color="1B2A4A" w:sz="1"/>
              <w:bottom w:val="single" w:color="1B2A4A" w:sz="1"/>
              <w:right w:val="single" w:color="1B2A4A"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1B2A4A"/>
                <w:sz w:val="40"/>
                <w:szCs w:val="40"/>
              </w:rPr>
              <w:t xml:space="preserve">+7.5 pt</w:t>
            </w:r>
          </w:p>
          <w:p>
            <w:pPr>
              <w:spacing w:after="0" w:before="0"/>
              <w:jc w:val="center"/>
            </w:pPr>
            <w:r>
              <w:rPr>
                <w:rFonts w:ascii="Arial" w:cs="Arial" w:eastAsia="Arial" w:hAnsi="Arial"/>
                <w:color w:val="555555"/>
                <w:sz w:val="18"/>
                <w:szCs w:val="18"/>
              </w:rPr>
              <w:t xml:space="preserve">GPQA-Diamond gain (48B)</w:t>
            </w:r>
          </w:p>
        </w:tc>
        <w:tc>
          <w:tcPr>
            <w:tcW w:type="dxa" w:w="2340"/>
            <w:tcBorders>
              <w:top w:val="single" w:color="B07A10" w:sz="1"/>
              <w:left w:val="single" w:color="B07A10" w:sz="1"/>
              <w:bottom w:val="single" w:color="B07A10" w:sz="1"/>
              <w:right w:val="single" w:color="B07A10"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B07A10"/>
                <w:sz w:val="40"/>
                <w:szCs w:val="40"/>
              </w:rPr>
              <w:t xml:space="preserve">&lt; 2%</w:t>
            </w:r>
          </w:p>
          <w:p>
            <w:pPr>
              <w:spacing w:after="0" w:before="0"/>
              <w:jc w:val="center"/>
            </w:pPr>
            <w:r>
              <w:rPr>
                <w:rFonts w:ascii="Arial" w:cs="Arial" w:eastAsia="Arial" w:hAnsi="Arial"/>
                <w:color w:val="555555"/>
                <w:sz w:val="18"/>
                <w:szCs w:val="18"/>
              </w:rPr>
              <w:t xml:space="preserve">Inference latency overhead</w:t>
            </w:r>
          </w:p>
        </w:tc>
      </w:tr>
    </w:tbl>
    <w:p>
      <w:pPr>
        <w:spacing w:after="0" w:before="200"/>
      </w:pPr>
    </w:p>
    <w:p>
      <w:pPr>
        <w:spacing w:after="20" w:before="0"/>
      </w:pPr>
      <w:r>
        <w:rPr>
          <w:rFonts w:ascii="Arial" w:cs="Arial" w:eastAsia="Arial" w:hAnsi="Arial"/>
          <w:color w:val="888888"/>
          <w:sz w:val="18"/>
          <w:szCs w:val="18"/>
        </w:rPr>
        <w:t xml:space="preserve">FOR REVIEW BY: Investment Committee  |  AI Infrastructure Leadership  |  CTO Office</w:t>
      </w:r>
    </w:p>
    <w:p>
      <w:r>
        <w:br w:type="page"/>
      </w:r>
    </w:p>
    <w:p>
      <w:pPr>
        <w:pStyle w:val="Heading1"/>
        <w:spacing w:after="120" w:before="320"/>
      </w:pPr>
      <w:r>
        <w:rPr>
          <w:rFonts w:ascii="Arial" w:cs="Arial" w:eastAsia="Arial" w:hAnsi="Arial"/>
          <w:b/>
          <w:bCs/>
          <w:color w:val="1B2A4A"/>
          <w:sz w:val="32"/>
          <w:szCs w:val="32"/>
        </w:rPr>
        <w:t xml:space="preserve">Contents</w:t>
      </w:r>
    </w:p>
    <w:p>
      <w:pPr>
        <w:pBdr>
          <w:bottom w:val="single" w:color="2E5FA3" w:sz="6" w:space="1"/>
        </w:pBdr>
        <w:spacing w:after="160" w:before="40"/>
      </w:pPr>
    </w:p>
    <w:p>
      <w:pPr>
        <w:spacing w:after="40" w:before="40"/>
      </w:pPr>
      <w:r>
        <w:rPr>
          <w:rFonts w:ascii="Arial" w:cs="Arial" w:eastAsia="Arial" w:hAnsi="Arial"/>
          <w:color w:val="2D2D2D"/>
          <w:sz w:val="22"/>
          <w:szCs w:val="22"/>
        </w:rPr>
        <w:t xml:space="preserve">1.  Executive Summary</w:t>
      </w:r>
    </w:p>
    <w:p>
      <w:pPr>
        <w:spacing w:after="40" w:before="40"/>
      </w:pPr>
      <w:r>
        <w:rPr>
          <w:rFonts w:ascii="Arial" w:cs="Arial" w:eastAsia="Arial" w:hAnsi="Arial"/>
          <w:color w:val="2D2D2D"/>
          <w:sz w:val="22"/>
          <w:szCs w:val="22"/>
        </w:rPr>
        <w:t xml:space="preserve">2.  Problem Statement</w:t>
      </w:r>
    </w:p>
    <w:p>
      <w:pPr>
        <w:spacing w:after="40" w:before="40"/>
      </w:pPr>
      <w:r>
        <w:rPr>
          <w:rFonts w:ascii="Arial" w:cs="Arial" w:eastAsia="Arial" w:hAnsi="Arial"/>
          <w:color w:val="2D2D2D"/>
          <w:sz w:val="22"/>
          <w:szCs w:val="22"/>
        </w:rPr>
        <w:t xml:space="preserve">3.  Proposed Solution</w:t>
      </w:r>
    </w:p>
    <w:p>
      <w:pPr>
        <w:spacing w:after="40" w:before="40"/>
      </w:pPr>
      <w:r>
        <w:rPr>
          <w:rFonts w:ascii="Arial" w:cs="Arial" w:eastAsia="Arial" w:hAnsi="Arial"/>
          <w:color w:val="2D2D2D"/>
          <w:sz w:val="22"/>
          <w:szCs w:val="22"/>
        </w:rPr>
        <w:t xml:space="preserve">4.  Financial Analysis</w:t>
      </w:r>
    </w:p>
    <w:p>
      <w:pPr>
        <w:spacing w:after="40" w:before="40"/>
      </w:pPr>
      <w:r>
        <w:rPr>
          <w:rFonts w:ascii="Arial" w:cs="Arial" w:eastAsia="Arial" w:hAnsi="Arial"/>
          <w:color w:val="2D2D2D"/>
          <w:sz w:val="22"/>
          <w:szCs w:val="22"/>
        </w:rPr>
        <w:t xml:space="preserve">5.  Market &amp; Competitive Context</w:t>
      </w:r>
    </w:p>
    <w:p>
      <w:pPr>
        <w:spacing w:after="40" w:before="40"/>
      </w:pPr>
      <w:r>
        <w:rPr>
          <w:rFonts w:ascii="Arial" w:cs="Arial" w:eastAsia="Arial" w:hAnsi="Arial"/>
          <w:color w:val="2D2D2D"/>
          <w:sz w:val="22"/>
          <w:szCs w:val="22"/>
        </w:rPr>
        <w:t xml:space="preserve">6.  Risk Register</w:t>
      </w:r>
    </w:p>
    <w:p>
      <w:pPr>
        <w:spacing w:after="40" w:before="40"/>
      </w:pPr>
      <w:r>
        <w:rPr>
          <w:rFonts w:ascii="Arial" w:cs="Arial" w:eastAsia="Arial" w:hAnsi="Arial"/>
          <w:color w:val="2D2D2D"/>
          <w:sz w:val="22"/>
          <w:szCs w:val="22"/>
        </w:rPr>
        <w:t xml:space="preserve">7.  Implementation Roadmap</w:t>
      </w:r>
    </w:p>
    <w:p>
      <w:pPr>
        <w:spacing w:after="40" w:before="40"/>
      </w:pPr>
      <w:r>
        <w:rPr>
          <w:rFonts w:ascii="Arial" w:cs="Arial" w:eastAsia="Arial" w:hAnsi="Arial"/>
          <w:color w:val="2D2D2D"/>
          <w:sz w:val="22"/>
          <w:szCs w:val="22"/>
        </w:rPr>
        <w:t xml:space="preserve">8.  Governance &amp; Approval</w:t>
      </w:r>
    </w:p>
    <w:p>
      <w:pPr>
        <w:spacing w:after="40" w:before="40"/>
      </w:pPr>
      <w:r>
        <w:rPr>
          <w:rFonts w:ascii="Arial" w:cs="Arial" w:eastAsia="Arial" w:hAnsi="Arial"/>
          <w:color w:val="2D2D2D"/>
          <w:sz w:val="22"/>
          <w:szCs w:val="22"/>
        </w:rPr>
        <w:t xml:space="preserve">9.  Recommendation</w:t>
      </w:r>
    </w:p>
    <w:p>
      <w:pPr>
        <w:spacing w:after="40" w:before="40"/>
      </w:pPr>
      <w:r>
        <w:rPr>
          <w:rFonts w:ascii="Arial" w:cs="Arial" w:eastAsia="Arial" w:hAnsi="Arial"/>
          <w:color w:val="2D2D2D"/>
          <w:sz w:val="22"/>
          <w:szCs w:val="22"/>
        </w:rPr>
        <w:t xml:space="preserve">Appendix A: Benchmark Data</w:t>
      </w:r>
    </w:p>
    <w:p>
      <w:pPr>
        <w:spacing w:after="40" w:before="40"/>
      </w:pPr>
      <w:r>
        <w:rPr>
          <w:rFonts w:ascii="Arial" w:cs="Arial" w:eastAsia="Arial" w:hAnsi="Arial"/>
          <w:color w:val="2D2D2D"/>
          <w:sz w:val="22"/>
          <w:szCs w:val="22"/>
        </w:rPr>
        <w:t xml:space="preserve">Appendix B: Technical Architecture</w:t>
      </w:r>
    </w:p>
    <w:p>
      <w:pPr>
        <w:spacing w:after="40" w:before="40"/>
      </w:pPr>
      <w:r>
        <w:rPr>
          <w:rFonts w:ascii="Arial" w:cs="Arial" w:eastAsia="Arial" w:hAnsi="Arial"/>
          <w:color w:val="2D2D2D"/>
          <w:sz w:val="22"/>
          <w:szCs w:val="22"/>
        </w:rPr>
        <w:t xml:space="preserve">Appendix C: References</w:t>
      </w:r>
    </w:p>
    <w:p>
      <w:r>
        <w:br w:type="page"/>
      </w:r>
    </w:p>
    <w:p>
      <w:pPr>
        <w:pStyle w:val="Heading1"/>
        <w:spacing w:after="120" w:before="320"/>
      </w:pPr>
      <w:r>
        <w:rPr>
          <w:rFonts w:ascii="Arial" w:cs="Arial" w:eastAsia="Arial" w:hAnsi="Arial"/>
          <w:b/>
          <w:bCs/>
          <w:color w:val="1B2A4A"/>
          <w:sz w:val="32"/>
          <w:szCs w:val="32"/>
        </w:rPr>
        <w:t xml:space="preserve">1.  Executive Summary</w:t>
      </w:r>
    </w:p>
    <w:p>
      <w:pPr>
        <w:pBdr>
          <w:bottom w:val="single" w:color="2E5FA3" w:sz="6" w:space="1"/>
        </w:pBdr>
        <w:spacing w:after="160" w:before="40"/>
      </w:pPr>
    </w:p>
    <w:p>
      <w:pPr>
        <w:spacing w:after="80" w:before="60"/>
        <w:jc w:val="both"/>
      </w:pPr>
      <w:r>
        <w:rPr>
          <w:rFonts w:ascii="Arial" w:cs="Arial" w:eastAsia="Arial" w:hAnsi="Arial"/>
          <w:color w:val="2D2D2D"/>
          <w:sz w:val="22"/>
          <w:szCs w:val="22"/>
        </w:rPr>
        <w:t xml:space="preserve">This business case presents the investment rationale for adopting Attention Residuals (AttnRes) as the standard residual connection architecture across all transformer-based AI systems in the organisation. AttnRes is a peer-reviewed, fully implemented, and production-validated replacement for the fixed residual connections that have remained architecturally unchanged in transformers since He et al. (2016).</w:t>
      </w:r>
    </w:p>
    <w:p>
      <w:pPr>
        <w:spacing w:after="80" w:before="60"/>
        <w:jc w:val="both"/>
      </w:pPr>
      <w:r>
        <w:rPr>
          <w:rFonts w:ascii="Arial" w:cs="Arial" w:eastAsia="Arial" w:hAnsi="Arial"/>
          <w:color w:val="2D2D2D"/>
          <w:sz w:val="22"/>
          <w:szCs w:val="22"/>
        </w:rPr>
        <w:t xml:space="preserve">The core value proposition is precise and quantified: replacing standard residuals with Block AttnRes delivers the same model quality as a standard-residual baseline trained on 1.25× more compute. In monetary terms, this is a 20 percent reduction in training cost for any given performance target — or, equivalently, materially better model quality at the same training budget.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F6E56" w:sz="6"/>
              <w:left w:val="thick" w:color="0F6E56" w:sz="16"/>
              <w:bottom w:val="single" w:color="C5CDD9" w:sz="1"/>
              <w:right w:val="single" w:color="C5CDD9" w:sz="1"/>
            </w:tcBorders>
            <w:shd w:fill="E8EDF5" w:val="clear"/>
            <w:tcMar>
              <w:top w:type="dxa" w:w="120"/>
              <w:left w:type="dxa" w:w="180"/>
              <w:bottom w:type="dxa" w:w="120"/>
              <w:right w:type="dxa" w:w="180"/>
            </w:tcMar>
          </w:tcPr>
          <w:p>
            <w:pPr>
              <w:spacing w:after="40" w:before="0"/>
            </w:pPr>
            <w:r>
              <w:rPr>
                <w:rFonts w:ascii="Arial" w:cs="Arial" w:eastAsia="Arial" w:hAnsi="Arial"/>
                <w:b/>
                <w:bCs/>
                <w:color w:val="1B2A4A"/>
                <w:sz w:val="20"/>
                <w:szCs w:val="20"/>
              </w:rPr>
              <w:t xml:space="preserve">Investment recommendation</w:t>
            </w:r>
          </w:p>
          <w:p>
            <w:pPr>
              <w:spacing w:after="0" w:before="0"/>
              <w:jc w:val="both"/>
            </w:pPr>
            <w:r>
              <w:rPr>
                <w:rFonts w:ascii="Arial" w:cs="Arial" w:eastAsia="Arial" w:hAnsi="Arial"/>
                <w:color w:val="2D2D2D"/>
                <w:sz w:val="20"/>
                <w:szCs w:val="20"/>
              </w:rPr>
              <w:t xml:space="preserve">Approve the adoption of AttnRes as the standard residual architecture for all new transformer training runs. The engineering investment is a single flag change in configuration files. The financial return is a 20% reduction in GPU training costs per run, compounding across every training cycle in the organisation. The technical risk is low: the codebase carries 126 automated tests, a published peer-reviewed paper, and production validation on a 48B-parameter model trained on 1.4T tokens.</w:t>
            </w:r>
          </w:p>
        </w:tc>
      </w:tr>
    </w:tbl>
    <w:p>
      <w:pPr>
        <w:spacing w:after="0" w:before="100"/>
      </w:pPr>
    </w:p>
    <w:p>
      <w:pPr>
        <w:pStyle w:val="Heading2"/>
        <w:spacing w:after="80" w:before="240"/>
      </w:pPr>
      <w:r>
        <w:rPr>
          <w:rFonts w:ascii="Arial" w:cs="Arial" w:eastAsia="Arial" w:hAnsi="Arial"/>
          <w:b/>
          <w:bCs/>
          <w:color w:val="2E5FA3"/>
          <w:sz w:val="26"/>
          <w:szCs w:val="26"/>
        </w:rPr>
        <w:t xml:space="preserve">1.1  Decision required</w:t>
      </w:r>
    </w:p>
    <w:p>
      <w:pPr>
        <w:spacing w:after="80" w:before="60"/>
        <w:jc w:val="both"/>
      </w:pPr>
      <w:r>
        <w:rPr>
          <w:rFonts w:ascii="Arial" w:cs="Arial" w:eastAsia="Arial" w:hAnsi="Arial"/>
          <w:color w:val="2D2D2D"/>
          <w:sz w:val="22"/>
          <w:szCs w:val="22"/>
        </w:rPr>
        <w:t xml:space="preserve">The Investment Committee is requested to approve:</w:t>
      </w:r>
    </w:p>
    <w:p>
      <w:pPr>
        <w:pStyle w:val="ListParagraph"/>
        <w:numPr>
          <w:ilvl w:val="0"/>
          <w:numId w:val="2"/>
        </w:numPr>
        <w:spacing w:after="40" w:before="40"/>
      </w:pPr>
      <w:r>
        <w:rPr>
          <w:rFonts w:ascii="Arial" w:cs="Arial" w:eastAsia="Arial" w:hAnsi="Arial"/>
          <w:color w:val="2D2D2D"/>
          <w:sz w:val="22"/>
          <w:szCs w:val="22"/>
        </w:rPr>
        <w:t xml:space="preserve">Adoption of AttnRes as the default residual strategy for all transformer training projects, replacing standard fixed residuals.</w:t>
      </w:r>
    </w:p>
    <w:p>
      <w:pPr>
        <w:pStyle w:val="ListParagraph"/>
        <w:numPr>
          <w:ilvl w:val="0"/>
          <w:numId w:val="2"/>
        </w:numPr>
        <w:spacing w:after="40" w:before="40"/>
      </w:pPr>
      <w:r>
        <w:rPr>
          <w:rFonts w:ascii="Arial" w:cs="Arial" w:eastAsia="Arial" w:hAnsi="Arial"/>
          <w:color w:val="2D2D2D"/>
          <w:sz w:val="22"/>
          <w:szCs w:val="22"/>
        </w:rPr>
        <w:t xml:space="preserve">Allocation of one engineering sprint (two weeks) for integration into the organisation’s existing training pipeline.</w:t>
      </w:r>
    </w:p>
    <w:p>
      <w:pPr>
        <w:pStyle w:val="ListParagraph"/>
        <w:numPr>
          <w:ilvl w:val="0"/>
          <w:numId w:val="2"/>
        </w:numPr>
        <w:spacing w:after="40" w:before="40"/>
      </w:pPr>
      <w:r>
        <w:rPr>
          <w:rFonts w:ascii="Arial" w:cs="Arial" w:eastAsia="Arial" w:hAnsi="Arial"/>
          <w:color w:val="2D2D2D"/>
          <w:sz w:val="22"/>
          <w:szCs w:val="22"/>
        </w:rPr>
        <w:t xml:space="preserve">A controlled A/B benchmark run at the organisation’s standard model size to quantify the exact uplift on internal tasks.</w:t>
      </w:r>
    </w:p>
    <w:p>
      <w:pPr>
        <w:spacing w:after="0" w:before="80"/>
      </w:pPr>
    </w:p>
    <w:p>
      <w:pPr>
        <w:pStyle w:val="Heading2"/>
        <w:spacing w:after="80" w:before="240"/>
      </w:pPr>
      <w:r>
        <w:rPr>
          <w:rFonts w:ascii="Arial" w:cs="Arial" w:eastAsia="Arial" w:hAnsi="Arial"/>
          <w:b/>
          <w:bCs/>
          <w:color w:val="2E5FA3"/>
          <w:sz w:val="26"/>
          <w:szCs w:val="26"/>
        </w:rPr>
        <w:t xml:space="preserve">1.2  Key financial headline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1"/>
              <w:left w:val="single" w:color="0F6E56" w:sz="1"/>
              <w:bottom w:val="single" w:color="0F6E56" w:sz="1"/>
              <w:right w:val="single" w:color="0F6E56"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0F6E56"/>
                <w:sz w:val="40"/>
                <w:szCs w:val="40"/>
              </w:rPr>
              <w:t xml:space="preserve">$2M</w:t>
            </w:r>
          </w:p>
          <w:p>
            <w:pPr>
              <w:spacing w:after="0" w:before="0"/>
              <w:jc w:val="center"/>
            </w:pPr>
            <w:r>
              <w:rPr>
                <w:rFonts w:ascii="Arial" w:cs="Arial" w:eastAsia="Arial" w:hAnsi="Arial"/>
                <w:color w:val="555555"/>
                <w:sz w:val="18"/>
                <w:szCs w:val="18"/>
              </w:rPr>
              <w:t xml:space="preserve">Estimated annual training cost saving
(on $10M GPU spend)</w:t>
            </w:r>
          </w:p>
        </w:tc>
        <w:tc>
          <w:tcPr>
            <w:tcW w:type="dxa" w:w="2340"/>
            <w:tcBorders>
              <w:top w:val="single" w:color="2E5FA3" w:sz="1"/>
              <w:left w:val="single" w:color="2E5FA3" w:sz="1"/>
              <w:bottom w:val="single" w:color="2E5FA3" w:sz="1"/>
              <w:right w:val="single" w:color="2E5FA3"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2E5FA3"/>
                <w:sz w:val="40"/>
                <w:szCs w:val="40"/>
              </w:rPr>
              <w:t xml:space="preserve">2 weeks</w:t>
            </w:r>
          </w:p>
          <w:p>
            <w:pPr>
              <w:spacing w:after="0" w:before="0"/>
              <w:jc w:val="center"/>
            </w:pPr>
            <w:r>
              <w:rPr>
                <w:rFonts w:ascii="Arial" w:cs="Arial" w:eastAsia="Arial" w:hAnsi="Arial"/>
                <w:color w:val="555555"/>
                <w:sz w:val="18"/>
                <w:szCs w:val="18"/>
              </w:rPr>
              <w:t xml:space="preserve">Engineering time to integrate</w:t>
            </w:r>
          </w:p>
        </w:tc>
        <w:tc>
          <w:tcPr>
            <w:tcW w:type="dxa" w:w="2340"/>
            <w:tcBorders>
              <w:top w:val="single" w:color="1B2A4A" w:sz="1"/>
              <w:left w:val="single" w:color="1B2A4A" w:sz="1"/>
              <w:bottom w:val="single" w:color="1B2A4A" w:sz="1"/>
              <w:right w:val="single" w:color="1B2A4A"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1B2A4A"/>
                <w:sz w:val="40"/>
                <w:szCs w:val="40"/>
              </w:rPr>
              <w:t xml:space="preserve">&lt;30 days</w:t>
            </w:r>
          </w:p>
          <w:p>
            <w:pPr>
              <w:spacing w:after="0" w:before="0"/>
              <w:jc w:val="center"/>
            </w:pPr>
            <w:r>
              <w:rPr>
                <w:rFonts w:ascii="Arial" w:cs="Arial" w:eastAsia="Arial" w:hAnsi="Arial"/>
                <w:color w:val="555555"/>
                <w:sz w:val="18"/>
                <w:szCs w:val="18"/>
              </w:rPr>
              <w:t xml:space="preserve">Time to first measurable result</w:t>
            </w:r>
          </w:p>
        </w:tc>
        <w:tc>
          <w:tcPr>
            <w:tcW w:type="dxa" w:w="2340"/>
            <w:tcBorders>
              <w:top w:val="single" w:color="B07A10" w:sz="1"/>
              <w:left w:val="single" w:color="B07A10" w:sz="1"/>
              <w:bottom w:val="single" w:color="B07A10" w:sz="1"/>
              <w:right w:val="single" w:color="B07A10" w:sz="1"/>
            </w:tcBorders>
            <w:shd w:fill="F4F6FA" w:val="clear"/>
            <w:tcMar>
              <w:top w:type="dxa" w:w="120"/>
              <w:left w:type="dxa" w:w="140"/>
              <w:bottom w:type="dxa" w:w="120"/>
              <w:right w:type="dxa" w:w="140"/>
            </w:tcMar>
            <w:vAlign w:val="center"/>
          </w:tcPr>
          <w:p>
            <w:pPr>
              <w:spacing w:after="20" w:before="0"/>
              <w:jc w:val="center"/>
            </w:pPr>
            <w:r>
              <w:rPr>
                <w:rFonts w:ascii="Arial" w:cs="Arial" w:eastAsia="Arial" w:hAnsi="Arial"/>
                <w:b/>
                <w:bCs/>
                <w:color w:val="B07A10"/>
                <w:sz w:val="40"/>
                <w:szCs w:val="40"/>
              </w:rPr>
              <w:t xml:space="preserve">&gt;10×</w:t>
            </w:r>
          </w:p>
          <w:p>
            <w:pPr>
              <w:spacing w:after="0" w:before="0"/>
              <w:jc w:val="center"/>
            </w:pPr>
            <w:r>
              <w:rPr>
                <w:rFonts w:ascii="Arial" w:cs="Arial" w:eastAsia="Arial" w:hAnsi="Arial"/>
                <w:color w:val="555555"/>
                <w:sz w:val="18"/>
                <w:szCs w:val="18"/>
              </w:rPr>
              <w:t xml:space="preserve">ROI on integration engineering cost</w:t>
            </w:r>
          </w:p>
        </w:tc>
      </w:tr>
    </w:tbl>
    <w:p>
      <w:r>
        <w:br w:type="page"/>
      </w:r>
    </w:p>
    <w:p>
      <w:pPr>
        <w:pStyle w:val="Heading1"/>
        <w:spacing w:after="120" w:before="320"/>
      </w:pPr>
      <w:r>
        <w:rPr>
          <w:rFonts w:ascii="Arial" w:cs="Arial" w:eastAsia="Arial" w:hAnsi="Arial"/>
          <w:b/>
          <w:bCs/>
          <w:color w:val="1B2A4A"/>
          <w:sz w:val="32"/>
          <w:szCs w:val="32"/>
        </w:rPr>
        <w:t xml:space="preserve">2.  Problem Statement</w:t>
      </w:r>
    </w:p>
    <w:p>
      <w:pPr>
        <w:pBdr>
          <w:bottom w:val="single" w:color="2E5FA3" w:sz="6" w:space="1"/>
        </w:pBdr>
        <w:spacing w:after="160" w:before="40"/>
      </w:pPr>
    </w:p>
    <w:p>
      <w:pPr>
        <w:pStyle w:val="Heading2"/>
        <w:spacing w:after="80" w:before="240"/>
      </w:pPr>
      <w:r>
        <w:rPr>
          <w:rFonts w:ascii="Arial" w:cs="Arial" w:eastAsia="Arial" w:hAnsi="Arial"/>
          <w:b/>
          <w:bCs/>
          <w:color w:val="2E5FA3"/>
          <w:sz w:val="26"/>
          <w:szCs w:val="26"/>
        </w:rPr>
        <w:t xml:space="preserve">2.1  The hidden cost of standard residuals</w:t>
      </w:r>
    </w:p>
    <w:p>
      <w:pPr>
        <w:spacing w:after="80" w:before="60"/>
        <w:jc w:val="both"/>
      </w:pPr>
      <w:r>
        <w:rPr>
          <w:rFonts w:ascii="Arial" w:cs="Arial" w:eastAsia="Arial" w:hAnsi="Arial"/>
          <w:color w:val="2D2D2D"/>
          <w:sz w:val="22"/>
          <w:szCs w:val="22"/>
        </w:rPr>
        <w:t xml:space="preserve">Every transformer model deployed in production today uses residual connections that were designed in 2016 and have not changed. The update rule hₗ = hₗ₋₁ + f(hₗ₋₁) accumulates all layer outputs with equal, fixed weights of 1. This design choice, which was appropriate for shallow networks, becomes increasingly wasteful as depth grows.</w:t>
      </w:r>
    </w:p>
    <w:p>
      <w:pPr>
        <w:spacing w:after="80" w:before="60"/>
        <w:jc w:val="both"/>
      </w:pPr>
      <w:r>
        <w:rPr>
          <w:rFonts w:ascii="Arial" w:cs="Arial" w:eastAsia="Arial" w:hAnsi="Arial"/>
          <w:color w:val="2D2D2D"/>
          <w:sz w:val="22"/>
          <w:szCs w:val="22"/>
        </w:rPr>
        <w:t xml:space="preserve">Unrolling the residual recurrence reveals that every layer receives an identically-weighted sum of all prior outputs. There is no mechanism for a layer to emphasise a relevant early representation or suppress a noisy intermediate one. The network compensates by learning increasingly large layer outputs to gain influence over the accumulated sum — but in doing so, it progressively buries the contribution of earlier layers.</w:t>
      </w:r>
    </w:p>
    <w:p>
      <w:pPr>
        <w:spacing w:after="0" w:before="60"/>
      </w:pPr>
    </w:p>
    <w:p>
      <w:pPr>
        <w:pStyle w:val="Heading3"/>
        <w:spacing w:after="60" w:before="180"/>
      </w:pPr>
      <w:r>
        <w:rPr>
          <w:rFonts w:ascii="Arial" w:cs="Arial" w:eastAsia="Arial" w:hAnsi="Arial"/>
          <w:b/>
          <w:bCs/>
          <w:color w:val="0F6E56"/>
          <w:sz w:val="22"/>
          <w:szCs w:val="22"/>
        </w:rPr>
        <w:t xml:space="preserve">The PreNorm dilution problem</w:t>
      </w:r>
    </w:p>
    <w:p>
      <w:pPr>
        <w:spacing w:after="80" w:before="60"/>
        <w:jc w:val="both"/>
      </w:pPr>
      <w:r>
        <w:rPr>
          <w:rFonts w:ascii="Arial" w:cs="Arial" w:eastAsia="Arial" w:hAnsi="Arial"/>
          <w:color w:val="2D2D2D"/>
          <w:sz w:val="22"/>
          <w:szCs w:val="22"/>
        </w:rPr>
        <w:t xml:space="preserve">Under PreNorm — the dominant normalisation paradigm in modern LLMs — hidden-state magnitudes grow as O(L) with depth. This is not a training instability; it is a fundamental property of the architecture. As the magnitude of the accumulated hidden state grows, the relative contribution of any single layer’s output diminishes. The result:</w:t>
      </w:r>
    </w:p>
    <w:p>
      <w:pPr>
        <w:pStyle w:val="ListParagraph"/>
        <w:numPr>
          <w:ilvl w:val="0"/>
          <w:numId w:val="3"/>
        </w:numPr>
        <w:spacing w:after="40" w:before="40"/>
      </w:pPr>
      <w:r>
        <w:rPr>
          <w:rFonts w:ascii="Arial" w:cs="Arial" w:eastAsia="Arial" w:hAnsi="Arial"/>
          <w:color w:val="2D2D2D"/>
          <w:sz w:val="22"/>
          <w:szCs w:val="22"/>
        </w:rPr>
        <w:t xml:space="preserve">Earlier layers are progressively diluted out of the final representation.</w:t>
      </w:r>
    </w:p>
    <w:p>
      <w:pPr>
        <w:pStyle w:val="ListParagraph"/>
        <w:numPr>
          <w:ilvl w:val="0"/>
          <w:numId w:val="3"/>
        </w:numPr>
        <w:spacing w:after="40" w:before="40"/>
      </w:pPr>
      <w:r>
        <w:rPr>
          <w:rFonts w:ascii="Arial" w:cs="Arial" w:eastAsia="Arial" w:hAnsi="Arial"/>
          <w:color w:val="2D2D2D"/>
          <w:sz w:val="22"/>
          <w:szCs w:val="22"/>
        </w:rPr>
        <w:t xml:space="preserve">A significant fraction of layers in large models can be pruned with minimal accuracy loss — evidence that they are contributing little.</w:t>
      </w:r>
    </w:p>
    <w:p>
      <w:pPr>
        <w:pStyle w:val="ListParagraph"/>
        <w:numPr>
          <w:ilvl w:val="0"/>
          <w:numId w:val="3"/>
        </w:numPr>
        <w:spacing w:after="40" w:before="40"/>
      </w:pPr>
      <w:r>
        <w:rPr>
          <w:rFonts w:ascii="Arial" w:cs="Arial" w:eastAsia="Arial" w:hAnsi="Arial"/>
          <w:color w:val="2D2D2D"/>
          <w:sz w:val="22"/>
          <w:szCs w:val="22"/>
        </w:rPr>
        <w:t xml:space="preserve">The network must invest training compute in undoing the dilution effect rather than learning task-relevant transformations.</w:t>
      </w:r>
    </w:p>
    <w:p>
      <w:pPr>
        <w:spacing w:after="0" w:before="80"/>
      </w:pPr>
    </w:p>
    <w:p>
      <w:pPr>
        <w:pStyle w:val="Heading2"/>
        <w:spacing w:after="80" w:before="240"/>
      </w:pPr>
      <w:r>
        <w:rPr>
          <w:rFonts w:ascii="Arial" w:cs="Arial" w:eastAsia="Arial" w:hAnsi="Arial"/>
          <w:b/>
          <w:bCs/>
          <w:color w:val="2E5FA3"/>
          <w:sz w:val="26"/>
          <w:szCs w:val="26"/>
        </w:rPr>
        <w:t xml:space="preserve">2.2  Quantified business impact</w:t>
      </w:r>
    </w:p>
    <w:p>
      <w:pPr>
        <w:spacing w:after="80" w:before="60"/>
        <w:jc w:val="both"/>
      </w:pPr>
      <w:r>
        <w:rPr>
          <w:rFonts w:ascii="Arial" w:cs="Arial" w:eastAsia="Arial" w:hAnsi="Arial"/>
          <w:color w:val="2D2D2D"/>
          <w:sz w:val="22"/>
          <w:szCs w:val="22"/>
        </w:rPr>
        <w:t xml:space="preserve">The dilution problem translates directly into wasted GPU compute. An organisation spending $10M per year on model training is effectively paying for a model that uses its depth inefficiently. Published research (Chen et al., 2026) establishes that: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7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residuals</w:t>
            </w:r>
          </w:p>
        </w:tc>
        <w:tc>
          <w:tcPr>
            <w:tcW w:type="dxa" w:w="27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AttnRes</w:t>
            </w:r>
          </w:p>
        </w:tc>
      </w:tr>
      <w:tr>
        <w:tc>
          <w:tcPr>
            <w:tcW w:type="dxa" w:w="3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Hidden-state growth with depth</w:t>
            </w:r>
          </w:p>
        </w:tc>
        <w:tc>
          <w:tcPr>
            <w:tcW w:type="dxa" w:w="278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O(L) — unbounded</w:t>
            </w:r>
          </w:p>
        </w:tc>
        <w:tc>
          <w:tcPr>
            <w:tcW w:type="dxa" w:w="27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O(1) — bounded</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Compute needed for target quality</w:t>
            </w:r>
          </w:p>
        </w:tc>
        <w:tc>
          <w:tcPr>
            <w:tcW w:type="dxa" w:w="27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Baseline (1.0×)</w:t>
            </w:r>
          </w:p>
        </w:tc>
        <w:tc>
          <w:tcPr>
            <w:tcW w:type="dxa" w:w="27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0.8× baseline</w:t>
            </w:r>
          </w:p>
        </w:tc>
      </w:tr>
      <w:tr>
        <w:tc>
          <w:tcPr>
            <w:tcW w:type="dxa" w:w="3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Fraction of layers safely prunable</w:t>
            </w:r>
          </w:p>
        </w:tc>
        <w:tc>
          <w:tcPr>
            <w:tcW w:type="dxa" w:w="278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Up to 30–40%</w:t>
            </w:r>
          </w:p>
        </w:tc>
        <w:tc>
          <w:tcPr>
            <w:tcW w:type="dxa" w:w="27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Substantially reduced</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GPQA-Diamond (reasoning, 48B)</w:t>
            </w:r>
          </w:p>
        </w:tc>
        <w:tc>
          <w:tcPr>
            <w:tcW w:type="dxa" w:w="27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36.9</w:t>
            </w:r>
          </w:p>
        </w:tc>
        <w:tc>
          <w:tcPr>
            <w:tcW w:type="dxa" w:w="27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44.4 (+7.5 pts)</w:t>
            </w:r>
          </w:p>
        </w:tc>
      </w:tr>
      <w:tr>
        <w:tc>
          <w:tcPr>
            <w:tcW w:type="dxa" w:w="3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HumanEval (code generation)</w:t>
            </w:r>
          </w:p>
        </w:tc>
        <w:tc>
          <w:tcPr>
            <w:tcW w:type="dxa" w:w="278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59.1</w:t>
            </w:r>
          </w:p>
        </w:tc>
        <w:tc>
          <w:tcPr>
            <w:tcW w:type="dxa" w:w="27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62.2 (+3.1 pts)</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Math benchmarks</w:t>
            </w:r>
          </w:p>
        </w:tc>
        <w:tc>
          <w:tcPr>
            <w:tcW w:type="dxa" w:w="27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53.5</w:t>
            </w:r>
          </w:p>
        </w:tc>
        <w:tc>
          <w:tcPr>
            <w:tcW w:type="dxa" w:w="27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57.1 (+3.6 pts)</w:t>
            </w:r>
          </w:p>
        </w:tc>
      </w:tr>
    </w:tbl>
    <w:p>
      <w:pPr>
        <w:spacing w:after="0" w:before="80"/>
      </w:pPr>
    </w:p>
    <w:p>
      <w:pPr>
        <w:pStyle w:val="Heading2"/>
        <w:spacing w:after="80" w:before="240"/>
      </w:pPr>
      <w:r>
        <w:rPr>
          <w:rFonts w:ascii="Arial" w:cs="Arial" w:eastAsia="Arial" w:hAnsi="Arial"/>
          <w:b/>
          <w:bCs/>
          <w:color w:val="2E5FA3"/>
          <w:sz w:val="26"/>
          <w:szCs w:val="26"/>
        </w:rPr>
        <w:t xml:space="preserve">2.3  Scope of the problem</w:t>
      </w:r>
    </w:p>
    <w:p>
      <w:pPr>
        <w:spacing w:after="80" w:before="60"/>
        <w:jc w:val="both"/>
      </w:pPr>
      <w:r>
        <w:rPr>
          <w:rFonts w:ascii="Arial" w:cs="Arial" w:eastAsia="Arial" w:hAnsi="Arial"/>
          <w:color w:val="2D2D2D"/>
          <w:sz w:val="22"/>
          <w:szCs w:val="22"/>
        </w:rPr>
        <w:t xml:space="preserve">The problem affects every transformer-based workload in the organisation’s portfolio:</w:t>
      </w:r>
    </w:p>
    <w:p>
      <w:pPr>
        <w:pStyle w:val="ListParagraph"/>
        <w:numPr>
          <w:ilvl w:val="0"/>
          <w:numId w:val="3"/>
        </w:numPr>
        <w:spacing w:after="40" w:before="40"/>
      </w:pPr>
      <w:r>
        <w:rPr>
          <w:rFonts w:ascii="Arial" w:cs="Arial" w:eastAsia="Arial" w:hAnsi="Arial"/>
          <w:color w:val="2D2D2D"/>
          <w:sz w:val="22"/>
          <w:szCs w:val="22"/>
        </w:rPr>
        <w:t xml:space="preserve">Large language models: text generation, code completion, summarisation, customer service automation.</w:t>
      </w:r>
    </w:p>
    <w:p>
      <w:pPr>
        <w:pStyle w:val="ListParagraph"/>
        <w:numPr>
          <w:ilvl w:val="0"/>
          <w:numId w:val="3"/>
        </w:numPr>
        <w:spacing w:after="40" w:before="40"/>
      </w:pPr>
      <w:r>
        <w:rPr>
          <w:rFonts w:ascii="Arial" w:cs="Arial" w:eastAsia="Arial" w:hAnsi="Arial"/>
          <w:color w:val="2D2D2D"/>
          <w:sz w:val="22"/>
          <w:szCs w:val="22"/>
        </w:rPr>
        <w:t xml:space="preserve">Vision classification: document processing, defect detection, medical imaging, satellite imagery analysis.</w:t>
      </w:r>
    </w:p>
    <w:p>
      <w:pPr>
        <w:pStyle w:val="ListParagraph"/>
        <w:numPr>
          <w:ilvl w:val="0"/>
          <w:numId w:val="3"/>
        </w:numPr>
        <w:spacing w:after="40" w:before="40"/>
      </w:pPr>
      <w:r>
        <w:rPr>
          <w:rFonts w:ascii="Arial" w:cs="Arial" w:eastAsia="Arial" w:hAnsi="Arial"/>
          <w:color w:val="2D2D2D"/>
          <w:sz w:val="22"/>
          <w:szCs w:val="22"/>
        </w:rPr>
        <w:t xml:space="preserve">Multi-modal systems: any architecture that uses transformer layers as a shared backbone.</w:t>
      </w:r>
    </w:p>
    <w:p>
      <w:pPr>
        <w:spacing w:after="80" w:before="60"/>
        <w:jc w:val="both"/>
      </w:pPr>
      <w:r>
        <w:rPr>
          <w:rFonts w:ascii="Arial" w:cs="Arial" w:eastAsia="Arial" w:hAnsi="Arial"/>
          <w:color w:val="2D2D2D"/>
          <w:sz w:val="22"/>
          <w:szCs w:val="22"/>
        </w:rPr>
        <w:t xml:space="preserve">The problem is not specific to model size. Although the dilution effect is most pronounced in deep models (depth ≥16 layers), it is measurable at the depths used in fine-tuning and domain-adaptation runs, which are the most frequent and therefore most costly training workloads for most organisations.</w:t>
      </w:r>
    </w:p>
    <w:p>
      <w:r>
        <w:br w:type="page"/>
      </w:r>
    </w:p>
    <w:p>
      <w:pPr>
        <w:pStyle w:val="Heading1"/>
        <w:spacing w:after="120" w:before="320"/>
      </w:pPr>
      <w:r>
        <w:rPr>
          <w:rFonts w:ascii="Arial" w:cs="Arial" w:eastAsia="Arial" w:hAnsi="Arial"/>
          <w:b/>
          <w:bCs/>
          <w:color w:val="1B2A4A"/>
          <w:sz w:val="32"/>
          <w:szCs w:val="32"/>
        </w:rPr>
        <w:t xml:space="preserve">3.  Proposed Solution</w:t>
      </w:r>
    </w:p>
    <w:p>
      <w:pPr>
        <w:pBdr>
          <w:bottom w:val="single" w:color="2E5FA3" w:sz="6" w:space="1"/>
        </w:pBdr>
        <w:spacing w:after="160" w:before="40"/>
      </w:pPr>
    </w:p>
    <w:p>
      <w:pPr>
        <w:pStyle w:val="Heading2"/>
        <w:spacing w:after="80" w:before="240"/>
      </w:pPr>
      <w:r>
        <w:rPr>
          <w:rFonts w:ascii="Arial" w:cs="Arial" w:eastAsia="Arial" w:hAnsi="Arial"/>
          <w:b/>
          <w:bCs/>
          <w:color w:val="2E5FA3"/>
          <w:sz w:val="26"/>
          <w:szCs w:val="26"/>
        </w:rPr>
        <w:t xml:space="preserve">3.1  Attention Residuals — mechanism</w:t>
      </w:r>
    </w:p>
    <w:p>
      <w:pPr>
        <w:spacing w:after="80" w:before="60"/>
        <w:jc w:val="both"/>
      </w:pPr>
      <w:r>
        <w:rPr>
          <w:rFonts w:ascii="Arial" w:cs="Arial" w:eastAsia="Arial" w:hAnsi="Arial"/>
          <w:color w:val="2D2D2D"/>
          <w:sz w:val="22"/>
          <w:szCs w:val="22"/>
        </w:rPr>
        <w:t xml:space="preserve">AttnRes replaces the fixed residual summation with learned, input-dependent softmax attention over preceding layer outputs. Each layer l has one learned d-dimensional pseudo-query vector wₗ. At forward pass time, the layer computes:</w:t>
      </w:r>
    </w:p>
    <w:p>
      <w:pPr>
        <w:spacing w:after="0" w:before="60"/>
      </w:pPr>
    </w:p>
    <w:p>
      <w:pPr>
        <w:spacing w:after="80" w:before="80"/>
        <w:jc w:val="center"/>
      </w:pPr>
      <w:r>
        <w:rPr>
          <w:rFonts w:ascii="Courier New" w:cs="Courier New" w:eastAsia="Courier New" w:hAnsi="Courier New"/>
          <w:color w:val="1B2A4A"/>
          <w:sz w:val="22"/>
          <w:szCs w:val="22"/>
        </w:rPr>
        <w:t xml:space="preserve">hₗ = Σ α_{i→l} · v_i     where     α_{i→l} = softmaxᵢ( wₗᵀ · RMSNorm(vᵢ) )</w:t>
      </w:r>
    </w:p>
    <w:p>
      <w:pPr>
        <w:spacing w:after="0" w:before="60"/>
      </w:pPr>
    </w:p>
    <w:p>
      <w:pPr>
        <w:spacing w:after="80" w:before="60"/>
        <w:jc w:val="both"/>
      </w:pPr>
      <w:r>
        <w:rPr>
          <w:rFonts w:ascii="Arial" w:cs="Arial" w:eastAsia="Arial" w:hAnsi="Arial"/>
          <w:color w:val="2D2D2D"/>
          <w:sz w:val="22"/>
          <w:szCs w:val="22"/>
        </w:rPr>
        <w:t xml:space="preserve">The softmax normalisation guarantees the weights sum to 1, bounding the output magnitude regardless of depth. RMSNorm on the keys prevents any single large-magnitude layer from dominating. The only new parameter is one d-dimensional vector per layer — negligible relative to the billions of parameters in a production model (&lt; 0.01% parameter overhead at typical hidden dimensions).</w:t>
      </w:r>
    </w:p>
    <w:p>
      <w:pPr>
        <w:spacing w:after="0" w:before="80"/>
      </w:pPr>
    </w:p>
    <w:p>
      <w:pPr>
        <w:pStyle w:val="Heading2"/>
        <w:spacing w:after="80" w:before="240"/>
      </w:pPr>
      <w:r>
        <w:rPr>
          <w:rFonts w:ascii="Arial" w:cs="Arial" w:eastAsia="Arial" w:hAnsi="Arial"/>
          <w:b/>
          <w:bCs/>
          <w:color w:val="2E5FA3"/>
          <w:sz w:val="26"/>
          <w:szCs w:val="26"/>
        </w:rPr>
        <w:t xml:space="preserve">3.2  Block AttnRes — the production variant</w:t>
      </w:r>
    </w:p>
    <w:p>
      <w:pPr>
        <w:spacing w:after="80" w:before="60"/>
        <w:jc w:val="both"/>
      </w:pPr>
      <w:r>
        <w:rPr>
          <w:rFonts w:ascii="Arial" w:cs="Arial" w:eastAsia="Arial" w:hAnsi="Arial"/>
          <w:color w:val="2D2D2D"/>
          <w:sz w:val="22"/>
          <w:szCs w:val="22"/>
        </w:rPr>
        <w:t xml:space="preserve">Full AttnRes attends over all L previous sublayer outputs, requiring O(L·d) memory. This is acceptable in standard training (these activations are retained for backpropagation anyway) but expensive under pipeline parallelism and activation recomputation at scale.</w:t>
      </w:r>
    </w:p>
    <w:p>
      <w:pPr>
        <w:spacing w:after="80" w:before="60"/>
        <w:jc w:val="both"/>
      </w:pPr>
      <w:r>
        <w:rPr>
          <w:rFonts w:ascii="Arial" w:cs="Arial" w:eastAsia="Arial" w:hAnsi="Arial"/>
          <w:color w:val="2D2D2D"/>
          <w:sz w:val="22"/>
          <w:szCs w:val="22"/>
        </w:rPr>
        <w:t xml:space="preserve">Block AttnRes solves this by grouping layers into N ≈ 8 blocks. Standard residuals accumulate within each block. At block boundaries, the partial sum is promoted to a block summary. The AttnRes operation attends only over N completed block summaries plus the current partial block:</w:t>
      </w:r>
    </w:p>
    <w:p>
      <w:pPr>
        <w:pStyle w:val="ListParagraph"/>
        <w:numPr>
          <w:ilvl w:val="0"/>
          <w:numId w:val="3"/>
        </w:numPr>
        <w:spacing w:after="40" w:before="40"/>
      </w:pPr>
      <w:r>
        <w:rPr>
          <w:rFonts w:ascii="Arial" w:cs="Arial" w:eastAsia="Arial" w:hAnsi="Arial"/>
          <w:color w:val="2D2D2D"/>
          <w:sz w:val="22"/>
          <w:szCs w:val="22"/>
        </w:rPr>
        <w:t xml:space="preserve">Memory: O(N·d) instead of O(L·d) — a reduction proportional to block size.</w:t>
      </w:r>
    </w:p>
    <w:p>
      <w:pPr>
        <w:pStyle w:val="ListParagraph"/>
        <w:numPr>
          <w:ilvl w:val="0"/>
          <w:numId w:val="3"/>
        </w:numPr>
        <w:spacing w:after="40" w:before="40"/>
      </w:pPr>
      <w:r>
        <w:rPr>
          <w:rFonts w:ascii="Arial" w:cs="Arial" w:eastAsia="Arial" w:hAnsi="Arial"/>
          <w:color w:val="2D2D2D"/>
          <w:sz w:val="22"/>
          <w:szCs w:val="22"/>
        </w:rPr>
        <w:t xml:space="preserve">Inference latency overhead: &lt; 2% on typical production workloads.</w:t>
      </w:r>
    </w:p>
    <w:p>
      <w:pPr>
        <w:pStyle w:val="ListParagraph"/>
        <w:numPr>
          <w:ilvl w:val="0"/>
          <w:numId w:val="3"/>
        </w:numPr>
        <w:spacing w:after="40" w:before="40"/>
      </w:pPr>
      <w:r>
        <w:rPr>
          <w:rFonts w:ascii="Arial" w:cs="Arial" w:eastAsia="Arial" w:hAnsi="Arial"/>
          <w:color w:val="2D2D2D"/>
          <w:sz w:val="22"/>
          <w:szCs w:val="22"/>
        </w:rPr>
        <w:t xml:space="preserve">Performance: recovers approximately 80% of Full AttnRes gains relative to the standard baseline.</w:t>
      </w:r>
    </w:p>
    <w:p>
      <w:pPr>
        <w:pStyle w:val="ListParagraph"/>
        <w:numPr>
          <w:ilvl w:val="0"/>
          <w:numId w:val="3"/>
        </w:numPr>
        <w:spacing w:after="40" w:before="40"/>
      </w:pPr>
      <w:r>
        <w:rPr>
          <w:rFonts w:ascii="Arial" w:cs="Arial" w:eastAsia="Arial" w:hAnsi="Arial"/>
          <w:color w:val="2D2D2D"/>
          <w:sz w:val="22"/>
          <w:szCs w:val="22"/>
        </w:rPr>
        <w:t xml:space="preserve">Integration: activated by a single YAML flag — use_block_attn_res: true.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5FA3" w:sz="6"/>
              <w:left w:val="thick" w:color="2E5FA3" w:sz="16"/>
              <w:bottom w:val="single" w:color="C5CDD9" w:sz="1"/>
              <w:right w:val="single" w:color="C5CDD9" w:sz="1"/>
            </w:tcBorders>
            <w:shd w:fill="E8EDF5" w:val="clear"/>
            <w:tcMar>
              <w:top w:type="dxa" w:w="120"/>
              <w:left w:type="dxa" w:w="180"/>
              <w:bottom w:type="dxa" w:w="120"/>
              <w:right w:type="dxa" w:w="180"/>
            </w:tcMar>
          </w:tcPr>
          <w:p>
            <w:pPr>
              <w:spacing w:after="40" w:before="0"/>
            </w:pPr>
            <w:r>
              <w:rPr>
                <w:rFonts w:ascii="Arial" w:cs="Arial" w:eastAsia="Arial" w:hAnsi="Arial"/>
                <w:b/>
                <w:bCs/>
                <w:color w:val="1B2A4A"/>
                <w:sz w:val="20"/>
                <w:szCs w:val="20"/>
              </w:rPr>
              <w:t xml:space="preserve">Engineering integration effort</w:t>
            </w:r>
          </w:p>
          <w:p>
            <w:pPr>
              <w:spacing w:after="0" w:before="0"/>
              <w:jc w:val="both"/>
            </w:pPr>
            <w:r>
              <w:rPr>
                <w:rFonts w:ascii="Arial" w:cs="Arial" w:eastAsia="Arial" w:hAnsi="Arial"/>
                <w:color w:val="2D2D2D"/>
                <w:sz w:val="20"/>
                <w:szCs w:val="20"/>
              </w:rPr>
              <w:t xml:space="preserve">AttnResTransformerLayer is a drop-in nn.Module replacement for the standard transformer layer. No changes to data pipelines, loss functions, optimisers, distributed training wrappers, or inference serving infrastructure are required. The switch from standard to AttnRes residuals is a single boolean flag in the YAML configuration file. The codebase includes a BaselineTransformer and BaselineLM for controlled A/B comparison within the same training run.</w:t>
            </w:r>
          </w:p>
        </w:tc>
      </w:tr>
    </w:tbl>
    <w:p>
      <w:pPr>
        <w:spacing w:after="0" w:before="80"/>
      </w:pPr>
    </w:p>
    <w:p>
      <w:pPr>
        <w:pStyle w:val="Heading2"/>
        <w:spacing w:after="80" w:before="240"/>
      </w:pPr>
      <w:r>
        <w:rPr>
          <w:rFonts w:ascii="Arial" w:cs="Arial" w:eastAsia="Arial" w:hAnsi="Arial"/>
          <w:b/>
          <w:bCs/>
          <w:color w:val="2E5FA3"/>
          <w:sz w:val="26"/>
          <w:szCs w:val="26"/>
        </w:rPr>
        <w:t xml:space="preserve">3.3  What is delivered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value</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AttnResTransformerLayer</w:t>
            </w:r>
          </w:p>
        </w:tc>
        <w:tc>
          <w:tcPr>
            <w:tcW w:type="dxa" w:w="3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Drop-in pre-norm layer with FullAttnResOp or BlockAttnResOp</w:t>
            </w:r>
          </w:p>
        </w:tc>
        <w:tc>
          <w:tcPr>
            <w:tcW w:type="dxa" w:w="3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One-flag residual upgrade; no pipeline changes</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AttnResTransformer (vision)</w:t>
            </w:r>
          </w:p>
        </w:tc>
        <w:tc>
          <w:tcPr>
            <w:tcW w:type="dxa" w:w="3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Patch-based image classifier (MNIST / CIFAR-10)</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Document classification, visual inspection, imaging</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AttnResLM (language model)</w:t>
            </w:r>
          </w:p>
        </w:tc>
        <w:tc>
          <w:tcPr>
            <w:tcW w:type="dxa" w:w="3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Autoregressive char-level LM with weight-tied head</w:t>
            </w:r>
          </w:p>
        </w:tc>
        <w:tc>
          <w:tcPr>
            <w:tcW w:type="dxa" w:w="3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Text generation, code, summarisation benchmarks</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BaselineTransformer / BaselineLM</w:t>
            </w:r>
          </w:p>
        </w:tc>
        <w:tc>
          <w:tcPr>
            <w:tcW w:type="dxa" w:w="3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Standard-residual variants for comparison</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Quantify exact uplift on internal tasks</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YAML config + CLI overrides</w:t>
            </w:r>
          </w:p>
        </w:tc>
        <w:tc>
          <w:tcPr>
            <w:tcW w:type="dxa" w:w="3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All hyperparameters in version-controlled config files</w:t>
            </w:r>
          </w:p>
        </w:tc>
        <w:tc>
          <w:tcPr>
            <w:tcW w:type="dxa" w:w="3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Reproducible experiments, safe rollout</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CSV training logger</w:t>
            </w:r>
          </w:p>
        </w:tc>
        <w:tc>
          <w:tcPr>
            <w:tcW w:type="dxa" w:w="3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Timestamped logs: epoch, loss, acc, lr, elapsed</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Audit trail, stakeholder reporting</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Dual checkpointing</w:t>
            </w:r>
          </w:p>
        </w:tc>
        <w:tc>
          <w:tcPr>
            <w:tcW w:type="dxa" w:w="3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best/ (val loss) and latest/ (resume)</w:t>
            </w:r>
          </w:p>
        </w:tc>
        <w:tc>
          <w:tcPr>
            <w:tcW w:type="dxa" w:w="3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Zero training loss on infrastructure failures</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Visualisation suite</w:t>
            </w:r>
          </w:p>
        </w:tc>
        <w:tc>
          <w:tcPr>
            <w:tcW w:type="dxa" w:w="3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Loss curves, model comparison plots</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Non-technical stakeholder communication</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126-test pytest suite</w:t>
            </w:r>
          </w:p>
        </w:tc>
        <w:tc>
          <w:tcPr>
            <w:tcW w:type="dxa" w:w="3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Shape, gradient, softmax, boundary, checkpoint tests</w:t>
            </w:r>
          </w:p>
        </w:tc>
        <w:tc>
          <w:tcPr>
            <w:tcW w:type="dxa" w:w="3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Regression prevention across iterations</w:t>
            </w:r>
          </w:p>
        </w:tc>
      </w:tr>
    </w:tbl>
    <w:p>
      <w:r>
        <w:br w:type="page"/>
      </w:r>
    </w:p>
    <w:p>
      <w:pPr>
        <w:pStyle w:val="Heading1"/>
        <w:spacing w:after="120" w:before="320"/>
      </w:pPr>
      <w:r>
        <w:rPr>
          <w:rFonts w:ascii="Arial" w:cs="Arial" w:eastAsia="Arial" w:hAnsi="Arial"/>
          <w:b/>
          <w:bCs/>
          <w:color w:val="1B2A4A"/>
          <w:sz w:val="32"/>
          <w:szCs w:val="32"/>
        </w:rPr>
        <w:t xml:space="preserve">4.  Financial Analysis</w:t>
      </w:r>
    </w:p>
    <w:p>
      <w:pPr>
        <w:pBdr>
          <w:bottom w:val="single" w:color="2E5FA3" w:sz="6" w:space="1"/>
        </w:pBdr>
        <w:spacing w:after="160" w:before="40"/>
      </w:pPr>
    </w:p>
    <w:p>
      <w:pPr>
        <w:pStyle w:val="Heading2"/>
        <w:spacing w:after="80" w:before="240"/>
      </w:pPr>
      <w:r>
        <w:rPr>
          <w:rFonts w:ascii="Arial" w:cs="Arial" w:eastAsia="Arial" w:hAnsi="Arial"/>
          <w:b/>
          <w:bCs/>
          <w:color w:val="2E5FA3"/>
          <w:sz w:val="26"/>
          <w:szCs w:val="26"/>
        </w:rPr>
        <w:t xml:space="preserve">4.1  Cost reduction model</w:t>
      </w:r>
    </w:p>
    <w:p>
      <w:pPr>
        <w:spacing w:after="80" w:before="60"/>
        <w:jc w:val="both"/>
      </w:pPr>
      <w:r>
        <w:rPr>
          <w:rFonts w:ascii="Arial" w:cs="Arial" w:eastAsia="Arial" w:hAnsi="Arial"/>
          <w:color w:val="2D2D2D"/>
          <w:sz w:val="22"/>
          <w:szCs w:val="22"/>
        </w:rPr>
        <w:t xml:space="preserve">The primary financial case for AttnRes rests on the headline finding from Chen et al. (2026): Block AttnRes achieves the same validation loss as a standard-residual baseline trained with 1.25× more compute. This is equivalent to a 20% reduction in GPU compute required to reach any given performance target.</w:t>
      </w:r>
    </w:p>
    <w:p>
      <w:pPr>
        <w:spacing w:after="80" w:before="60"/>
        <w:jc w:val="both"/>
      </w:pPr>
      <w:r>
        <w:rPr>
          <w:rFonts w:ascii="Arial" w:cs="Arial" w:eastAsia="Arial" w:hAnsi="Arial"/>
          <w:color w:val="2D2D2D"/>
          <w:sz w:val="22"/>
          <w:szCs w:val="22"/>
        </w:rPr>
        <w:t xml:space="preserve">The table below models the annual saving across three organisation sizes, assuming GPU compute is the dominant training cost and that AttnRes is applied to all new training runs from the point of adoption.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2060"/>
        <w:gridCol w:w="150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GPU training spend</w:t>
            </w:r>
          </w:p>
        </w:tc>
        <w:tc>
          <w:tcPr>
            <w:tcW w:type="dxa" w:w="1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saving (20%)</w:t>
            </w:r>
          </w:p>
        </w:tc>
        <w:tc>
          <w:tcPr>
            <w:tcW w:type="dxa" w:w="1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5-year saving</w:t>
            </w:r>
          </w:p>
        </w:tc>
        <w:tc>
          <w:tcPr>
            <w:tcW w:type="dxa" w:w="2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Integration cost (est.)</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ROI</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$2M</w:t>
            </w:r>
          </w:p>
        </w:tc>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$400K</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$2.0M</w:t>
            </w:r>
          </w:p>
        </w:tc>
        <w:tc>
          <w:tcPr>
            <w:tcW w:type="dxa" w:w="20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$20K</w:t>
            </w:r>
          </w:p>
        </w:tc>
        <w:tc>
          <w:tcPr>
            <w:tcW w:type="dxa" w:w="15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20×</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$10M</w:t>
            </w:r>
          </w:p>
        </w:tc>
        <w:tc>
          <w:tcPr>
            <w:tcW w:type="dxa" w:w="19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$2.0M</w:t>
            </w:r>
          </w:p>
        </w:tc>
        <w:tc>
          <w:tcPr>
            <w:tcW w:type="dxa" w:w="17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$10.0M</w:t>
            </w:r>
          </w:p>
        </w:tc>
        <w:tc>
          <w:tcPr>
            <w:tcW w:type="dxa" w:w="20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$50K</w:t>
            </w:r>
          </w:p>
        </w:tc>
        <w:tc>
          <w:tcPr>
            <w:tcW w:type="dxa" w:w="15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40×</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$50M</w:t>
            </w:r>
          </w:p>
        </w:tc>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$10.0M</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$50.0M</w:t>
            </w:r>
          </w:p>
        </w:tc>
        <w:tc>
          <w:tcPr>
            <w:tcW w:type="dxa" w:w="20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$150K</w:t>
            </w:r>
          </w:p>
        </w:tc>
        <w:tc>
          <w:tcPr>
            <w:tcW w:type="dxa" w:w="15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&gt;60×</w:t>
            </w:r>
          </w:p>
        </w:tc>
      </w:tr>
    </w:tbl>
    <w:p>
      <w:pPr>
        <w:spacing w:after="0" w:before="40"/>
      </w:pPr>
    </w:p>
    <w:p>
      <w:pPr>
        <w:spacing w:after="80" w:before="60"/>
        <w:jc w:val="both"/>
      </w:pPr>
      <w:r>
        <w:rPr>
          <w:rFonts w:ascii="Arial" w:cs="Arial" w:eastAsia="Arial" w:hAnsi="Arial"/>
          <w:i/>
          <w:iCs/>
          <w:color w:val="666666"/>
          <w:sz w:val="22"/>
          <w:szCs w:val="22"/>
        </w:rPr>
        <w:t xml:space="preserve">Integration cost assumes two engineer-weeks of implementation plus one sprint of A/B benchmarking. At a fully-loaded engineering cost of $200K per year, two weeks represents approximately $7,700. The $20K–$150K figures above include a conservative 3× contingency for integration complexity and benchmarking infrastructure.</w:t>
      </w:r>
    </w:p>
    <w:p>
      <w:pPr>
        <w:spacing w:after="0" w:before="80"/>
      </w:pPr>
    </w:p>
    <w:p>
      <w:pPr>
        <w:pStyle w:val="Heading2"/>
        <w:spacing w:after="80" w:before="240"/>
      </w:pPr>
      <w:r>
        <w:rPr>
          <w:rFonts w:ascii="Arial" w:cs="Arial" w:eastAsia="Arial" w:hAnsi="Arial"/>
          <w:b/>
          <w:bCs/>
          <w:color w:val="2E5FA3"/>
          <w:sz w:val="26"/>
          <w:szCs w:val="26"/>
        </w:rPr>
        <w:t xml:space="preserve">4.2  Additional financial levers</w:t>
      </w:r>
    </w:p>
    <w:p>
      <w:pPr>
        <w:pStyle w:val="Heading3"/>
        <w:spacing w:after="60" w:before="180"/>
      </w:pPr>
      <w:r>
        <w:rPr>
          <w:rFonts w:ascii="Arial" w:cs="Arial" w:eastAsia="Arial" w:hAnsi="Arial"/>
          <w:b/>
          <w:bCs/>
          <w:color w:val="0F6E56"/>
          <w:sz w:val="22"/>
          <w:szCs w:val="22"/>
        </w:rPr>
        <w:t xml:space="preserve">Quality ceiling improvement</w:t>
      </w:r>
    </w:p>
    <w:p>
      <w:pPr>
        <w:spacing w:after="80" w:before="60"/>
        <w:jc w:val="both"/>
      </w:pPr>
      <w:r>
        <w:rPr>
          <w:rFonts w:ascii="Arial" w:cs="Arial" w:eastAsia="Arial" w:hAnsi="Arial"/>
          <w:color w:val="2D2D2D"/>
          <w:sz w:val="22"/>
          <w:szCs w:val="22"/>
        </w:rPr>
        <w:t xml:space="preserve">The 20% compute reduction figure assumes the organisation holds model quality constant and takes the saving in compute. An alternative framing is to hold compute constant and take the saving as quality improvement:</w:t>
      </w:r>
    </w:p>
    <w:p>
      <w:pPr>
        <w:pStyle w:val="ListParagraph"/>
        <w:numPr>
          <w:ilvl w:val="0"/>
          <w:numId w:val="3"/>
        </w:numPr>
        <w:spacing w:after="40" w:before="40"/>
      </w:pPr>
      <w:r>
        <w:rPr>
          <w:rFonts w:ascii="Arial" w:cs="Arial" w:eastAsia="Arial" w:hAnsi="Arial"/>
          <w:color w:val="2D2D2D"/>
          <w:sz w:val="22"/>
          <w:szCs w:val="22"/>
        </w:rPr>
        <w:t xml:space="preserve">Same training budget, better model — leading to better task performance, higher user satisfaction, and competitive differentiation.</w:t>
      </w:r>
    </w:p>
    <w:p>
      <w:pPr>
        <w:pStyle w:val="ListParagraph"/>
        <w:numPr>
          <w:ilvl w:val="0"/>
          <w:numId w:val="3"/>
        </w:numPr>
        <w:spacing w:after="40" w:before="40"/>
      </w:pPr>
      <w:r>
        <w:rPr>
          <w:rFonts w:ascii="Arial" w:cs="Arial" w:eastAsia="Arial" w:hAnsi="Arial"/>
          <w:color w:val="2D2D2D"/>
          <w:sz w:val="22"/>
          <w:szCs w:val="22"/>
        </w:rPr>
        <w:t xml:space="preserve">On the 48B Kimi Linear model, GPQA-Diamond reasoning improved by +7.5 points. For an organisation whose business value depends on model reasoning quality, this is a revenue lever, not merely a cost lever.</w:t>
      </w:r>
    </w:p>
    <w:p>
      <w:pPr>
        <w:spacing w:after="0" w:before="60"/>
      </w:pPr>
    </w:p>
    <w:p>
      <w:pPr>
        <w:pStyle w:val="Heading3"/>
        <w:spacing w:after="60" w:before="180"/>
      </w:pPr>
      <w:r>
        <w:rPr>
          <w:rFonts w:ascii="Arial" w:cs="Arial" w:eastAsia="Arial" w:hAnsi="Arial"/>
          <w:b/>
          <w:bCs/>
          <w:color w:val="0F6E56"/>
          <w:sz w:val="22"/>
          <w:szCs w:val="22"/>
        </w:rPr>
        <w:t xml:space="preserve">Serving cost reduction</w:t>
      </w:r>
    </w:p>
    <w:p>
      <w:pPr>
        <w:spacing w:after="80" w:before="60"/>
        <w:jc w:val="both"/>
      </w:pPr>
      <w:r>
        <w:rPr>
          <w:rFonts w:ascii="Arial" w:cs="Arial" w:eastAsia="Arial" w:hAnsi="Arial"/>
          <w:color w:val="2D2D2D"/>
          <w:sz w:val="22"/>
          <w:szCs w:val="22"/>
        </w:rPr>
        <w:t xml:space="preserve">AttnRes-trained models that reach target quality with fewer parameters (because the compute efficiency means a smaller model can match the quality of a larger standard-residual model) reduce per-query serving costs permanently. Serving cost is typically 5–10× training cost over the model’s lifetime, so architecture improvements that reduce the required model size compound significantly.</w:t>
      </w:r>
    </w:p>
    <w:p>
      <w:pPr>
        <w:spacing w:after="0" w:before="60"/>
      </w:pPr>
    </w:p>
    <w:p>
      <w:pPr>
        <w:pStyle w:val="Heading3"/>
        <w:spacing w:after="60" w:before="180"/>
      </w:pPr>
      <w:r>
        <w:rPr>
          <w:rFonts w:ascii="Arial" w:cs="Arial" w:eastAsia="Arial" w:hAnsi="Arial"/>
          <w:b/>
          <w:bCs/>
          <w:color w:val="0F6E56"/>
          <w:sz w:val="22"/>
          <w:szCs w:val="22"/>
        </w:rPr>
        <w:t xml:space="preserve">Faster iteration cycles</w:t>
      </w:r>
    </w:p>
    <w:p>
      <w:pPr>
        <w:spacing w:after="80" w:before="60"/>
        <w:jc w:val="both"/>
      </w:pPr>
      <w:r>
        <w:rPr>
          <w:rFonts w:ascii="Arial" w:cs="Arial" w:eastAsia="Arial" w:hAnsi="Arial"/>
          <w:color w:val="2D2D2D"/>
          <w:sz w:val="22"/>
          <w:szCs w:val="22"/>
        </w:rPr>
        <w:t xml:space="preserve">A team using AttnRes reaches a given validation loss in fewer training steps. This compresses the research-to-deployment cycle, allowing more experiments within a fixed quarterly budget. For an organisation running 10–20 training runs per quarter, the time-to-quality improvement translates to more experiments, faster product iteration, and earlier time-to-market.</w:t>
      </w:r>
    </w:p>
    <w:p>
      <w:pPr>
        <w:spacing w:after="0" w:before="80"/>
      </w:pPr>
    </w:p>
    <w:p>
      <w:pPr>
        <w:pStyle w:val="Heading2"/>
        <w:spacing w:after="80" w:before="240"/>
      </w:pPr>
      <w:r>
        <w:rPr>
          <w:rFonts w:ascii="Arial" w:cs="Arial" w:eastAsia="Arial" w:hAnsi="Arial"/>
          <w:b/>
          <w:bCs/>
          <w:color w:val="2E5FA3"/>
          <w:sz w:val="26"/>
          <w:szCs w:val="26"/>
        </w:rPr>
        <w:t xml:space="preserve">4.3  Assumptions and sensitivities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Assumption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case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Conservative case</w:t>
            </w:r>
          </w:p>
        </w:tc>
        <w:tc>
          <w:tcPr>
            <w:tcW w:type="dxa" w:w="2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Sensitivity</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Compute saving</w:t>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20% (1.25× baseline)</w:t>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12% (1.14× baseline)</w:t>
            </w:r>
          </w:p>
        </w:tc>
        <w:tc>
          <w:tcPr>
            <w:tcW w:type="dxa" w:w="27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Scales linearly with saving %</w:t>
            </w:r>
          </w:p>
        </w:tc>
      </w:tr>
      <w:tr>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Integration effort</w:t>
            </w:r>
          </w:p>
        </w:tc>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 engineer-weeks</w:t>
            </w:r>
          </w:p>
        </w:tc>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6 engineer-weeks</w:t>
            </w:r>
          </w:p>
        </w:tc>
        <w:tc>
          <w:tcPr>
            <w:tcW w:type="dxa" w:w="2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Does not affect ongoing savings</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Adoption rate</w:t>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100% new runs from year 1</w:t>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50% new runs in year 1</w:t>
            </w:r>
          </w:p>
        </w:tc>
        <w:tc>
          <w:tcPr>
            <w:tcW w:type="dxa" w:w="27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Halving adoption halves year-1 saving</w:t>
            </w:r>
          </w:p>
        </w:tc>
      </w:tr>
      <w:tr>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Gains transfer to internal tasks</w:t>
            </w:r>
          </w:p>
        </w:tc>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Full (benchmark parity)</w:t>
            </w:r>
          </w:p>
        </w:tc>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70% (partial transfer)</w:t>
            </w:r>
          </w:p>
        </w:tc>
        <w:tc>
          <w:tcPr>
            <w:tcW w:type="dxa" w:w="2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Conservative: 14% cost reduction</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GPU cost trajectory</w:t>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Flat real terms</w:t>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+10% per year</w:t>
            </w:r>
          </w:p>
        </w:tc>
        <w:tc>
          <w:tcPr>
            <w:tcW w:type="dxa" w:w="27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Rising costs amplify the saving</w:t>
            </w:r>
          </w:p>
        </w:tc>
      </w:tr>
    </w:tbl>
    <w:p>
      <w:r>
        <w:br w:type="page"/>
      </w:r>
    </w:p>
    <w:p>
      <w:pPr>
        <w:pStyle w:val="Heading1"/>
        <w:spacing w:after="120" w:before="320"/>
      </w:pPr>
      <w:r>
        <w:rPr>
          <w:rFonts w:ascii="Arial" w:cs="Arial" w:eastAsia="Arial" w:hAnsi="Arial"/>
          <w:b/>
          <w:bCs/>
          <w:color w:val="1B2A4A"/>
          <w:sz w:val="32"/>
          <w:szCs w:val="32"/>
        </w:rPr>
        <w:t xml:space="preserve">5.  Market &amp; Competitive Context</w:t>
      </w:r>
    </w:p>
    <w:p>
      <w:pPr>
        <w:pBdr>
          <w:bottom w:val="single" w:color="2E5FA3" w:sz="6" w:space="1"/>
        </w:pBdr>
        <w:spacing w:after="160" w:before="40"/>
      </w:pPr>
    </w:p>
    <w:p>
      <w:pPr>
        <w:pStyle w:val="Heading2"/>
        <w:spacing w:after="80" w:before="240"/>
      </w:pPr>
      <w:r>
        <w:rPr>
          <w:rFonts w:ascii="Arial" w:cs="Arial" w:eastAsia="Arial" w:hAnsi="Arial"/>
          <w:b/>
          <w:bCs/>
          <w:color w:val="2E5FA3"/>
          <w:sz w:val="26"/>
          <w:szCs w:val="26"/>
        </w:rPr>
        <w:t xml:space="preserve">5.1  The AI infrastructure cost crisis</w:t>
      </w:r>
    </w:p>
    <w:p>
      <w:pPr>
        <w:spacing w:after="80" w:before="60"/>
        <w:jc w:val="both"/>
      </w:pPr>
      <w:r>
        <w:rPr>
          <w:rFonts w:ascii="Arial" w:cs="Arial" w:eastAsia="Arial" w:hAnsi="Arial"/>
          <w:color w:val="2D2D2D"/>
          <w:sz w:val="22"/>
          <w:szCs w:val="22"/>
        </w:rPr>
        <w:t xml:space="preserve">Training large models has become one of the largest and fastest-growing line items in AI company budgets. Industry estimates place frontier model training costs at $50M–$500M per run, with the cost doubling roughly every 18 months as organisations push to larger parameter counts. At this scale, a 20% reduction in compute requirements is not an incremental improvement — it is a structural competitive advantage.</w:t>
      </w:r>
    </w:p>
    <w:p>
      <w:pPr>
        <w:spacing w:after="80" w:before="60"/>
        <w:jc w:val="both"/>
      </w:pPr>
      <w:r>
        <w:rPr>
          <w:rFonts w:ascii="Arial" w:cs="Arial" w:eastAsia="Arial" w:hAnsi="Arial"/>
          <w:color w:val="2D2D2D"/>
          <w:sz w:val="22"/>
          <w:szCs w:val="22"/>
        </w:rPr>
        <w:t xml:space="preserve">Even at smaller scales, the economics are clear. An organisation spending $10M per year on training and fine-tuning workloads that adopts AttnRes generates $2M in annual savings with a two-week engineering investment. Over five years, compounded at flat GPU prices, the cumulative saving exceeds $10M.</w:t>
      </w:r>
    </w:p>
    <w:p>
      <w:pPr>
        <w:spacing w:after="0" w:before="80"/>
      </w:pPr>
    </w:p>
    <w:p>
      <w:pPr>
        <w:pStyle w:val="Heading2"/>
        <w:spacing w:after="80" w:before="240"/>
      </w:pPr>
      <w:r>
        <w:rPr>
          <w:rFonts w:ascii="Arial" w:cs="Arial" w:eastAsia="Arial" w:hAnsi="Arial"/>
          <w:b/>
          <w:bCs/>
          <w:color w:val="2E5FA3"/>
          <w:sz w:val="26"/>
          <w:szCs w:val="26"/>
        </w:rPr>
        <w:t xml:space="preserve">5.2  Competitive positioning</w:t>
      </w:r>
    </w:p>
    <w:p>
      <w:pPr>
        <w:spacing w:after="80" w:before="60"/>
        <w:jc w:val="both"/>
      </w:pPr>
      <w:r>
        <w:rPr>
          <w:rFonts w:ascii="Arial" w:cs="Arial" w:eastAsia="Arial" w:hAnsi="Arial"/>
          <w:color w:val="2D2D2D"/>
          <w:sz w:val="22"/>
          <w:szCs w:val="22"/>
        </w:rPr>
        <w:t xml:space="preserve">The AI infrastructure landscape rewards teams that can iterate faster and serve cheaper. AttnRes provides structural advantages on both dimensions simultaneously — a combination that is rare in architecture research, where efficiency improvements typically trade off against quality.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0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residuals</w:t>
            </w:r>
          </w:p>
        </w:tc>
        <w:tc>
          <w:tcPr>
            <w:tcW w:type="dxa" w:w="30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AttnRes</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Training cost to reach target quality</w:t>
            </w:r>
          </w:p>
        </w:tc>
        <w:tc>
          <w:tcPr>
            <w:tcW w:type="dxa" w:w="308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1.0× (baseline)</w:t>
            </w:r>
          </w:p>
        </w:tc>
        <w:tc>
          <w:tcPr>
            <w:tcW w:type="dxa" w:w="30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0.8× (-20%)</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Downstream task quality (same compute)</w:t>
            </w:r>
          </w:p>
        </w:tc>
        <w:tc>
          <w:tcPr>
            <w:tcW w:type="dxa" w:w="30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Baseline</w:t>
            </w:r>
          </w:p>
        </w:tc>
        <w:tc>
          <w:tcPr>
            <w:tcW w:type="dxa" w:w="30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Consistently higher across all benchmarks</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Inference latency</w:t>
            </w:r>
          </w:p>
        </w:tc>
        <w:tc>
          <w:tcPr>
            <w:tcW w:type="dxa" w:w="308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Baseline</w:t>
            </w:r>
          </w:p>
        </w:tc>
        <w:tc>
          <w:tcPr>
            <w:tcW w:type="dxa" w:w="30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&lt; +2% (Block AttnRes)</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Engineering integration effort</w:t>
            </w:r>
          </w:p>
        </w:tc>
        <w:tc>
          <w:tcPr>
            <w:tcW w:type="dxa" w:w="30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t>
            </w:r>
          </w:p>
        </w:tc>
        <w:tc>
          <w:tcPr>
            <w:tcW w:type="dxa" w:w="30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 engineer-weeks (drop-in replacement)</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Experiment reproducibility</w:t>
            </w:r>
          </w:p>
        </w:tc>
        <w:tc>
          <w:tcPr>
            <w:tcW w:type="dxa" w:w="308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Manual log management</w:t>
            </w:r>
          </w:p>
        </w:tc>
        <w:tc>
          <w:tcPr>
            <w:tcW w:type="dxa" w:w="308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Automated: timestamped CSV + dual checkpoints</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Architecture risk</w:t>
            </w:r>
          </w:p>
        </w:tc>
        <w:tc>
          <w:tcPr>
            <w:tcW w:type="dxa" w:w="30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Known, well-understood</w:t>
            </w:r>
          </w:p>
        </w:tc>
        <w:tc>
          <w:tcPr>
            <w:tcW w:type="dxa" w:w="30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Peer-reviewed; validated at 48B scale on 1.4T tokens</w:t>
            </w:r>
          </w:p>
        </w:tc>
      </w:tr>
    </w:tbl>
    <w:p>
      <w:pPr>
        <w:spacing w:after="0" w:before="80"/>
      </w:pPr>
    </w:p>
    <w:p>
      <w:pPr>
        <w:pStyle w:val="Heading2"/>
        <w:spacing w:after="80" w:before="240"/>
      </w:pPr>
      <w:r>
        <w:rPr>
          <w:rFonts w:ascii="Arial" w:cs="Arial" w:eastAsia="Arial" w:hAnsi="Arial"/>
          <w:b/>
          <w:bCs/>
          <w:color w:val="2E5FA3"/>
          <w:sz w:val="26"/>
          <w:szCs w:val="26"/>
        </w:rPr>
        <w:t xml:space="preserve">5.3  First-mover advantage</w:t>
      </w:r>
    </w:p>
    <w:p>
      <w:pPr>
        <w:spacing w:after="80" w:before="60"/>
        <w:jc w:val="both"/>
      </w:pPr>
      <w:r>
        <w:rPr>
          <w:rFonts w:ascii="Arial" w:cs="Arial" w:eastAsia="Arial" w:hAnsi="Arial"/>
          <w:color w:val="2D2D2D"/>
          <w:sz w:val="22"/>
          <w:szCs w:val="22"/>
        </w:rPr>
        <w:t xml:space="preserve">AttnRes was published in March 2026. The codebase is open-source and the paper is freely available. There is no proprietary moat — any organisation can adopt it. The competitive advantage therefore goes to early adopters who integrate AttnRes into their training pipelines before it becomes the industry standard.</w:t>
      </w:r>
    </w:p>
    <w:p>
      <w:pPr>
        <w:spacing w:after="80" w:before="60"/>
        <w:jc w:val="both"/>
      </w:pPr>
      <w:r>
        <w:rPr>
          <w:rFonts w:ascii="Arial" w:cs="Arial" w:eastAsia="Arial" w:hAnsi="Arial"/>
          <w:color w:val="2D2D2D"/>
          <w:sz w:val="22"/>
          <w:szCs w:val="22"/>
        </w:rPr>
        <w:t xml:space="preserve">Historical precedent from prior architectural improvements — attention (2017), pre-norm / RMSNorm (2019–20), RoPE (2021), Flash Attention (2022), SwiGLU (2022) — suggests that transformative but low-integration-cost improvements are absorbed broadly within 12–18 months of publication. Organisations that integrate within the first 6 months capture the full competitive benefit of the efficiency advantage before competitors close the gap.</w:t>
      </w:r>
    </w:p>
    <w:p>
      <w:r>
        <w:br w:type="page"/>
      </w:r>
    </w:p>
    <w:p>
      <w:pPr>
        <w:pStyle w:val="Heading1"/>
        <w:spacing w:after="120" w:before="320"/>
      </w:pPr>
      <w:r>
        <w:rPr>
          <w:rFonts w:ascii="Arial" w:cs="Arial" w:eastAsia="Arial" w:hAnsi="Arial"/>
          <w:b/>
          <w:bCs/>
          <w:color w:val="1B2A4A"/>
          <w:sz w:val="32"/>
          <w:szCs w:val="32"/>
        </w:rPr>
        <w:t xml:space="preserve">6.  Risk Register</w:t>
      </w:r>
    </w:p>
    <w:p>
      <w:pPr>
        <w:pBdr>
          <w:bottom w:val="single" w:color="2E5FA3" w:sz="6" w:space="1"/>
        </w:pBdr>
        <w:spacing w:after="160" w:before="40"/>
      </w:pPr>
    </w:p>
    <w:p>
      <w:pPr>
        <w:spacing w:after="80" w:before="60"/>
        <w:jc w:val="both"/>
      </w:pPr>
      <w:r>
        <w:rPr>
          <w:rFonts w:ascii="Arial" w:cs="Arial" w:eastAsia="Arial" w:hAnsi="Arial"/>
          <w:color w:val="2D2D2D"/>
          <w:sz w:val="22"/>
          <w:szCs w:val="22"/>
        </w:rPr>
        <w:t xml:space="preserve">The following table identifies the key risks associated with adopting AttnRes, assesses their likelihood and impact, and specifies the mitigation already embedded in the codebase or implementation plan.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Gains do not transfer to internal tasks</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B07A10"/>
                <w:sz w:val="20"/>
                <w:szCs w:val="20"/>
              </w:rPr>
              <w:t xml:space="preserve">Medium</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B07A10"/>
                <w:sz w:val="20"/>
                <w:szCs w:val="20"/>
              </w:rPr>
              <w:t xml:space="preserve">Medium</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Run the included BaselineTransformer A/B comparison before full adoption. Uplift is measurable in one training run.</w:t>
            </w:r>
          </w:p>
        </w:tc>
      </w:tr>
      <w:tr>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Memory overhead at extreme depth (Full AttnRes)</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B07A10"/>
                <w:sz w:val="20"/>
                <w:szCs w:val="20"/>
              </w:rPr>
              <w:t xml:space="preserve">Medium</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Default is Block AttnRes (block_size=4). Memory drops from O(L·d) to O(N·d). Already the default in all provided configs.</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Pipeline parallelism communication overhead</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B07A10"/>
                <w:sz w:val="20"/>
                <w:szCs w:val="20"/>
              </w:rPr>
              <w:t xml:space="preserve">Medium</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Block AttnRes uses cross-stage caching. Inference overhead confirmed &lt;2% on standard workloads in published evaluation.</w:t>
            </w:r>
          </w:p>
        </w:tc>
      </w:tr>
      <w:tr>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Integration complexity with existing MLOps stack</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AttnResTransformerLayer is a drop-in nn.Module. No changes to data loaders, loss functions, optimisers, or serving infrastructure.</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block_size hyperparameter sensitivity</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Default block_size=4 recovers most gains. One-line config override: --override model.block_size=8. Ablation suite included.</w:t>
            </w:r>
          </w:p>
        </w:tc>
      </w:tr>
      <w:tr>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Regression during iterative development</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B07A10"/>
                <w:sz w:val="20"/>
                <w:szCs w:val="20"/>
              </w:rPr>
              <w:t xml:space="preserve">Medium</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126-test pytest suite covers shape invariants, gradient flow, softmax properties, block boundaries, checkpoint serialisation.</w:t>
            </w:r>
          </w:p>
        </w:tc>
      </w:tr>
      <w:tr>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Architecture not yet validated at organisation’s specific model size</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B07A10"/>
                <w:sz w:val="20"/>
                <w:szCs w:val="20"/>
              </w:rPr>
              <w:t xml:space="preserve">Medium</w:t>
            </w:r>
          </w:p>
        </w:tc>
        <w:tc>
          <w:tcPr>
            <w:tcW w:type="dxa" w:w="10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val="false"/>
                <w:bCs w:val="false"/>
                <w:color w:val="0A5C36"/>
                <w:sz w:val="20"/>
                <w:szCs w:val="20"/>
              </w:rPr>
              <w:t xml:space="preserve">Low</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Scaling law experiments in the paper confirm consistent improvement across compute budgets. Internal validation run recommended (see roadmap).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F6E56" w:sz="6"/>
              <w:left w:val="thick" w:color="0F6E56" w:sz="16"/>
              <w:bottom w:val="single" w:color="C5CDD9" w:sz="1"/>
              <w:right w:val="single" w:color="C5CDD9" w:sz="1"/>
            </w:tcBorders>
            <w:shd w:fill="E8EDF5" w:val="clear"/>
            <w:tcMar>
              <w:top w:type="dxa" w:w="120"/>
              <w:left w:type="dxa" w:w="180"/>
              <w:bottom w:type="dxa" w:w="120"/>
              <w:right w:type="dxa" w:w="180"/>
            </w:tcMar>
          </w:tcPr>
          <w:p>
            <w:pPr>
              <w:spacing w:after="40" w:before="0"/>
            </w:pPr>
            <w:r>
              <w:rPr>
                <w:rFonts w:ascii="Arial" w:cs="Arial" w:eastAsia="Arial" w:hAnsi="Arial"/>
                <w:b/>
                <w:bCs/>
                <w:color w:val="1B2A4A"/>
                <w:sz w:val="20"/>
                <w:szCs w:val="20"/>
              </w:rPr>
              <w:t xml:space="preserve">Overall risk assessment</w:t>
            </w:r>
          </w:p>
          <w:p>
            <w:pPr>
              <w:spacing w:after="0" w:before="0"/>
              <w:jc w:val="both"/>
            </w:pPr>
            <w:r>
              <w:rPr>
                <w:rFonts w:ascii="Arial" w:cs="Arial" w:eastAsia="Arial" w:hAnsi="Arial"/>
                <w:color w:val="2D2D2D"/>
                <w:sz w:val="20"/>
                <w:szCs w:val="20"/>
              </w:rPr>
              <w:t xml:space="preserve">The risk profile of AttnRes adoption is unusually favourable for an architectural change of this magnitude. The integration path is low-touch, the comparison methodology is built in, the failure modes are understood and mitigated, and the downside (integration effort wasted if gains do not transfer) is bounded at two engineer-weeks. The upside (20% permanent reduction in training costs) is large and well-evidenced.</w:t>
            </w:r>
          </w:p>
        </w:tc>
      </w:tr>
    </w:tbl>
    <w:p>
      <w:r>
        <w:br w:type="page"/>
      </w:r>
    </w:p>
    <w:p>
      <w:pPr>
        <w:pStyle w:val="Heading1"/>
        <w:spacing w:after="120" w:before="320"/>
      </w:pPr>
      <w:r>
        <w:rPr>
          <w:rFonts w:ascii="Arial" w:cs="Arial" w:eastAsia="Arial" w:hAnsi="Arial"/>
          <w:b/>
          <w:bCs/>
          <w:color w:val="1B2A4A"/>
          <w:sz w:val="32"/>
          <w:szCs w:val="32"/>
        </w:rPr>
        <w:t xml:space="preserve">7.  Implementation Roadmap</w:t>
      </w:r>
    </w:p>
    <w:p>
      <w:pPr>
        <w:pBdr>
          <w:bottom w:val="single" w:color="2E5FA3" w:sz="6" w:space="1"/>
        </w:pBdr>
        <w:spacing w:after="160" w:before="40"/>
      </w:pPr>
    </w:p>
    <w:p>
      <w:pPr>
        <w:spacing w:after="80" w:before="60"/>
        <w:jc w:val="both"/>
      </w:pPr>
      <w:r>
        <w:rPr>
          <w:rFonts w:ascii="Arial" w:cs="Arial" w:eastAsia="Arial" w:hAnsi="Arial"/>
          <w:color w:val="2D2D2D"/>
          <w:sz w:val="22"/>
          <w:szCs w:val="22"/>
        </w:rPr>
        <w:t xml:space="preserve">The implementation plan is structured in three phases, designed so that value is realised as early as Week 4 and the organisation can make a fully-informed go/no-go decision on full adoption before any significant engineering investment.</w:t>
      </w:r>
    </w:p>
    <w:p>
      <w:pPr>
        <w:spacing w:after="0" w:before="60"/>
      </w:pPr>
    </w:p>
    <w:p>
      <w:pPr>
        <w:pStyle w:val="Heading2"/>
        <w:spacing w:after="80" w:before="240"/>
      </w:pPr>
      <w:r>
        <w:rPr>
          <w:rFonts w:ascii="Arial" w:cs="Arial" w:eastAsia="Arial" w:hAnsi="Arial"/>
          <w:b/>
          <w:bCs/>
          <w:color w:val="2E5FA3"/>
          <w:sz w:val="26"/>
          <w:szCs w:val="26"/>
        </w:rPr>
        <w:t xml:space="preserve">Phase 1 — Validation (Weeks 1–2)</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40"/>
        <w:gridCol w:w="292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9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Clone AttnRes repo; run pytest suite</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Engineer</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0.5 days</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Green test suite on target hardware</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Run Block AttnRes baseline on MNIST or CIFAR-10</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Engineer</w:t>
            </w:r>
          </w:p>
        </w:tc>
        <w:tc>
          <w:tcPr>
            <w:tcW w:type="dxa" w:w="144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 day</w:t>
            </w:r>
          </w:p>
        </w:tc>
        <w:tc>
          <w:tcPr>
            <w:tcW w:type="dxa" w:w="292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Accuracy comparison vs BaselineTransformer</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Run Shakespeare LM: AttnRes vs BaselineLM</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Engineer</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 day</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Perplexity comparison; generation samples</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Review CSV logs via compare_models.py</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Lead</w:t>
            </w:r>
          </w:p>
        </w:tc>
        <w:tc>
          <w:tcPr>
            <w:tcW w:type="dxa" w:w="144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0.5 days</w:t>
            </w:r>
          </w:p>
        </w:tc>
        <w:tc>
          <w:tcPr>
            <w:tcW w:type="dxa" w:w="292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Visual uplift confirmation for stakeholders</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Document findings; go/no-go decision</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Lead + CTO</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0.5 days</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Decision memo for Phase 2 approval</w:t>
            </w:r>
          </w:p>
        </w:tc>
      </w:tr>
    </w:tbl>
    <w:p>
      <w:pPr>
        <w:spacing w:after="0" w:before="80"/>
      </w:pPr>
    </w:p>
    <w:p>
      <w:pPr>
        <w:pStyle w:val="Heading2"/>
        <w:spacing w:after="80" w:before="240"/>
      </w:pPr>
      <w:r>
        <w:rPr>
          <w:rFonts w:ascii="Arial" w:cs="Arial" w:eastAsia="Arial" w:hAnsi="Arial"/>
          <w:b/>
          <w:bCs/>
          <w:color w:val="2E5FA3"/>
          <w:sz w:val="26"/>
          <w:szCs w:val="26"/>
        </w:rPr>
        <w:t xml:space="preserve">Phase 2 — Integration (Weeks 3–6)</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40"/>
        <w:gridCol w:w="292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9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Adapt dataset module to internal corpus / task</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Engineer</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 days</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Internal DataLoader compatible with AttnRes</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Scale model config to internal target architecture</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Lead</w:t>
            </w:r>
          </w:p>
        </w:tc>
        <w:tc>
          <w:tcPr>
            <w:tcW w:type="dxa" w:w="144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 day</w:t>
            </w:r>
          </w:p>
        </w:tc>
        <w:tc>
          <w:tcPr>
            <w:tcW w:type="dxa" w:w="292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Tuned YAML config for production model size</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Run scaling-law experiment (3 compute budgets)</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Engineer</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 days</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Internal scaling curve; uplift at target scale</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Integrate CheckpointManager + Logger into MLOps</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MLOps Engineer</w:t>
            </w:r>
          </w:p>
        </w:tc>
        <w:tc>
          <w:tcPr>
            <w:tcW w:type="dxa" w:w="144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 days</w:t>
            </w:r>
          </w:p>
        </w:tc>
        <w:tc>
          <w:tcPr>
            <w:tcW w:type="dxa" w:w="292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CSV logs in W&amp;B / MLflow; checkpoints in S3</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Write internal benchmark comparison report</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Lead</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 day</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Stakeholder-ready uplift report with visuals</w:t>
            </w:r>
          </w:p>
        </w:tc>
      </w:tr>
    </w:tbl>
    <w:p>
      <w:pPr>
        <w:spacing w:after="0" w:before="80"/>
      </w:pPr>
    </w:p>
    <w:p>
      <w:pPr>
        <w:pStyle w:val="Heading2"/>
        <w:spacing w:after="80" w:before="240"/>
      </w:pPr>
      <w:r>
        <w:rPr>
          <w:rFonts w:ascii="Arial" w:cs="Arial" w:eastAsia="Arial" w:hAnsi="Arial"/>
          <w:b/>
          <w:bCs/>
          <w:color w:val="2E5FA3"/>
          <w:sz w:val="26"/>
          <w:szCs w:val="26"/>
        </w:rPr>
        <w:t xml:space="preserve">Phase 3 — Production rollout (Weeks 7–12)</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40"/>
        <w:gridCol w:w="292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9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Replace standard residuals in all new training runs</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Team</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Ongoing</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20% compute saving realised from first run</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Evaluate Block AttnRes under pipeline parallelism</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MLOps Engineer</w:t>
            </w:r>
          </w:p>
        </w:tc>
        <w:tc>
          <w:tcPr>
            <w:tcW w:type="dxa" w:w="144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 days</w:t>
            </w:r>
          </w:p>
        </w:tc>
        <w:tc>
          <w:tcPr>
            <w:tcW w:type="dxa" w:w="292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Latency overhead confirmed &lt;2% at multi-GPU scale</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Replace char-level tokeniser with BPE/SentencePiece</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Engineer</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 days</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Production-grade LM tokenisation</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Train on internal domain corpus (first production run)</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Team</w:t>
            </w:r>
          </w:p>
        </w:tc>
        <w:tc>
          <w:tcPr>
            <w:tcW w:type="dxa" w:w="144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Production run</w:t>
            </w:r>
          </w:p>
        </w:tc>
        <w:tc>
          <w:tcPr>
            <w:tcW w:type="dxa" w:w="292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Domain-specific AttnRes model checkpoint</w:t>
            </w:r>
          </w:p>
        </w:tc>
      </w:tr>
      <w:tr>
        <w:tc>
          <w:tcPr>
            <w:tcW w:type="dxa" w:w="3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Present ROI report to Investment Committee</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Lead + Finance</w:t>
            </w:r>
          </w:p>
        </w:tc>
        <w:tc>
          <w:tcPr>
            <w:tcW w:type="dxa" w:w="144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 day</w:t>
            </w:r>
          </w:p>
        </w:tc>
        <w:tc>
          <w:tcPr>
            <w:tcW w:type="dxa" w:w="292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Phase 3 sign-off; budget confirmation for year 2</w:t>
            </w:r>
          </w:p>
        </w:tc>
      </w:tr>
    </w:tbl>
    <w:p>
      <w:r>
        <w:br w:type="page"/>
      </w:r>
    </w:p>
    <w:p>
      <w:pPr>
        <w:pStyle w:val="Heading1"/>
        <w:spacing w:after="120" w:before="320"/>
      </w:pPr>
      <w:r>
        <w:rPr>
          <w:rFonts w:ascii="Arial" w:cs="Arial" w:eastAsia="Arial" w:hAnsi="Arial"/>
          <w:b/>
          <w:bCs/>
          <w:color w:val="1B2A4A"/>
          <w:sz w:val="32"/>
          <w:szCs w:val="32"/>
        </w:rPr>
        <w:t xml:space="preserve">8.  Governance &amp; Approval</w:t>
      </w:r>
    </w:p>
    <w:p>
      <w:pPr>
        <w:pBdr>
          <w:bottom w:val="single" w:color="2E5FA3" w:sz="6" w:space="1"/>
        </w:pBdr>
        <w:spacing w:after="160" w:before="40"/>
      </w:pPr>
    </w:p>
    <w:p>
      <w:pPr>
        <w:pStyle w:val="Heading2"/>
        <w:spacing w:after="80" w:before="240"/>
      </w:pPr>
      <w:r>
        <w:rPr>
          <w:rFonts w:ascii="Arial" w:cs="Arial" w:eastAsia="Arial" w:hAnsi="Arial"/>
          <w:b/>
          <w:bCs/>
          <w:color w:val="2E5FA3"/>
          <w:sz w:val="26"/>
          <w:szCs w:val="26"/>
        </w:rPr>
        <w:t xml:space="preserve">8.1  Approval requirements</w:t>
      </w:r>
    </w:p>
    <w:p>
      <w:pPr>
        <w:spacing w:after="80" w:before="60"/>
        <w:jc w:val="both"/>
      </w:pPr>
      <w:r>
        <w:rPr>
          <w:rFonts w:ascii="Arial" w:cs="Arial" w:eastAsia="Arial" w:hAnsi="Arial"/>
          <w:color w:val="2D2D2D"/>
          <w:sz w:val="22"/>
          <w:szCs w:val="22"/>
        </w:rPr>
        <w:t xml:space="preserve">This business case requires approval from the following stakeholders before Phase 1 begins: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Approver</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Approval required for</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Deadline</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CTO / VP Engineering</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Technical authority</w:t>
            </w:r>
          </w:p>
        </w:tc>
        <w:tc>
          <w:tcPr>
            <w:tcW w:type="dxa" w:w="27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Architecture change approval</w:t>
            </w:r>
          </w:p>
        </w:tc>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Week 0</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Investment Committee</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Budget authority</w:t>
            </w:r>
          </w:p>
        </w:tc>
        <w:tc>
          <w:tcPr>
            <w:tcW w:type="dxa" w:w="2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Phase 1–2 engineering allocation</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Week 0</w:t>
            </w:r>
          </w:p>
        </w:tc>
      </w:tr>
      <w:tr>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ML Infrastructure Lead</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Operational authority</w:t>
            </w:r>
          </w:p>
        </w:tc>
        <w:tc>
          <w:tcPr>
            <w:tcW w:type="dxa" w:w="27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MLOps integration (Phase 2)</w:t>
            </w:r>
          </w:p>
        </w:tc>
        <w:tc>
          <w:tcPr>
            <w:tcW w:type="dxa" w:w="24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Week 2</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Finance Director</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Financial authority</w:t>
            </w:r>
          </w:p>
        </w:tc>
        <w:tc>
          <w:tcPr>
            <w:tcW w:type="dxa" w:w="2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ROI tracking and year-2 budget</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Week 6</w:t>
            </w:r>
          </w:p>
        </w:tc>
      </w:tr>
    </w:tbl>
    <w:p>
      <w:pPr>
        <w:spacing w:after="0" w:before="80"/>
      </w:pPr>
    </w:p>
    <w:p>
      <w:pPr>
        <w:pStyle w:val="Heading2"/>
        <w:spacing w:after="80" w:before="240"/>
      </w:pPr>
      <w:r>
        <w:rPr>
          <w:rFonts w:ascii="Arial" w:cs="Arial" w:eastAsia="Arial" w:hAnsi="Arial"/>
          <w:b/>
          <w:bCs/>
          <w:color w:val="2E5FA3"/>
          <w:sz w:val="26"/>
          <w:szCs w:val="26"/>
        </w:rPr>
        <w:t xml:space="preserve">8.2  Success metrics</w:t>
      </w:r>
    </w:p>
    <w:p>
      <w:pPr>
        <w:spacing w:after="80" w:before="60"/>
        <w:jc w:val="both"/>
      </w:pPr>
      <w:r>
        <w:rPr>
          <w:rFonts w:ascii="Arial" w:cs="Arial" w:eastAsia="Arial" w:hAnsi="Arial"/>
          <w:color w:val="2D2D2D"/>
          <w:sz w:val="22"/>
          <w:szCs w:val="22"/>
        </w:rPr>
        <w:t xml:space="preserve">The following measurable outcomes define success at each phase gate:</w:t>
      </w:r>
    </w:p>
    <w:p>
      <w:pPr>
        <w:pStyle w:val="ListParagraph"/>
        <w:numPr>
          <w:ilvl w:val="0"/>
          <w:numId w:val="2"/>
        </w:numPr>
        <w:spacing w:after="40" w:before="40"/>
      </w:pPr>
      <w:r>
        <w:rPr>
          <w:rFonts w:ascii="Arial" w:cs="Arial" w:eastAsia="Arial" w:hAnsi="Arial"/>
          <w:color w:val="2D2D2D"/>
          <w:sz w:val="22"/>
          <w:szCs w:val="22"/>
        </w:rPr>
        <w:t xml:space="preserve">Phase 1 gate: AttnRes achieves lower validation loss than BaselineTransformer on at least one internal benchmark at the same training compute budget.</w:t>
      </w:r>
    </w:p>
    <w:p>
      <w:pPr>
        <w:pStyle w:val="ListParagraph"/>
        <w:numPr>
          <w:ilvl w:val="0"/>
          <w:numId w:val="2"/>
        </w:numPr>
        <w:spacing w:after="40" w:before="40"/>
      </w:pPr>
      <w:r>
        <w:rPr>
          <w:rFonts w:ascii="Arial" w:cs="Arial" w:eastAsia="Arial" w:hAnsi="Arial"/>
          <w:color w:val="2D2D2D"/>
          <w:sz w:val="22"/>
          <w:szCs w:val="22"/>
        </w:rPr>
        <w:t xml:space="preserve">Phase 2 gate: Internal scaling-law experiment confirms the 20% compute reduction (or documents the actual reduction for the specific architecture).</w:t>
      </w:r>
    </w:p>
    <w:p>
      <w:pPr>
        <w:pStyle w:val="ListParagraph"/>
        <w:numPr>
          <w:ilvl w:val="0"/>
          <w:numId w:val="2"/>
        </w:numPr>
        <w:spacing w:after="40" w:before="40"/>
      </w:pPr>
      <w:r>
        <w:rPr>
          <w:rFonts w:ascii="Arial" w:cs="Arial" w:eastAsia="Arial" w:hAnsi="Arial"/>
          <w:color w:val="2D2D2D"/>
          <w:sz w:val="22"/>
          <w:szCs w:val="22"/>
        </w:rPr>
        <w:t xml:space="preserve">Phase 3 gate: First production training run with AttnRes completes with &lt;2% inference latency overhead and measurably better or equal task performance vs previous standard-residual checkpoint.</w:t>
      </w:r>
    </w:p>
    <w:p>
      <w:pPr>
        <w:pStyle w:val="ListParagraph"/>
        <w:numPr>
          <w:ilvl w:val="0"/>
          <w:numId w:val="2"/>
        </w:numPr>
        <w:spacing w:after="40" w:before="40"/>
      </w:pPr>
      <w:r>
        <w:rPr>
          <w:rFonts w:ascii="Arial" w:cs="Arial" w:eastAsia="Arial" w:hAnsi="Arial"/>
          <w:color w:val="2D2D2D"/>
          <w:sz w:val="22"/>
          <w:szCs w:val="22"/>
        </w:rPr>
        <w:t xml:space="preserve">Year-end gate: Finance confirms ≥15% reduction in GPU training costs per unit of performance compared to the pre-AttnRes baseline year.</w:t>
      </w:r>
    </w:p>
    <w:p>
      <w:pPr>
        <w:spacing w:after="0" w:before="80"/>
      </w:pPr>
    </w:p>
    <w:p>
      <w:pPr>
        <w:pStyle w:val="Heading2"/>
        <w:spacing w:after="80" w:before="240"/>
      </w:pPr>
      <w:r>
        <w:rPr>
          <w:rFonts w:ascii="Arial" w:cs="Arial" w:eastAsia="Arial" w:hAnsi="Arial"/>
          <w:b/>
          <w:bCs/>
          <w:color w:val="2E5FA3"/>
          <w:sz w:val="26"/>
          <w:szCs w:val="26"/>
        </w:rPr>
        <w:t xml:space="preserve">8.3  Reporting</w:t>
      </w:r>
    </w:p>
    <w:p>
      <w:pPr>
        <w:spacing w:after="80" w:before="60"/>
        <w:jc w:val="both"/>
      </w:pPr>
      <w:r>
        <w:rPr>
          <w:rFonts w:ascii="Arial" w:cs="Arial" w:eastAsia="Arial" w:hAnsi="Arial"/>
          <w:color w:val="2D2D2D"/>
          <w:sz w:val="22"/>
          <w:szCs w:val="22"/>
        </w:rPr>
        <w:t xml:space="preserve">The ML Lead will provide a fortnightly one-page update to the CTO office during Phase 1 and Phase 2, covering: validation loss comparison, compute hours consumed, issues encountered, and next steps. The Investment Committee will receive a formal ROI report at the end of Phase 2 (Week 6) and after the first production run (Week 12).</w:t>
      </w:r>
    </w:p>
    <w:p>
      <w:r>
        <w:br w:type="page"/>
      </w:r>
    </w:p>
    <w:p>
      <w:pPr>
        <w:pStyle w:val="Heading1"/>
        <w:spacing w:after="120" w:before="320"/>
      </w:pPr>
      <w:r>
        <w:rPr>
          <w:rFonts w:ascii="Arial" w:cs="Arial" w:eastAsia="Arial" w:hAnsi="Arial"/>
          <w:b/>
          <w:bCs/>
          <w:color w:val="1B2A4A"/>
          <w:sz w:val="32"/>
          <w:szCs w:val="32"/>
        </w:rPr>
        <w:t xml:space="preserve">9.  Recommendation</w:t>
      </w:r>
    </w:p>
    <w:p>
      <w:pPr>
        <w:pBdr>
          <w:bottom w:val="single" w:color="2E5FA3" w:sz="6" w:space="1"/>
        </w:pBdr>
        <w:spacing w:after="160" w:before="40"/>
      </w:pPr>
    </w:p>
    <w:p>
      <w:pPr>
        <w:spacing w:after="80" w:before="60"/>
        <w:jc w:val="both"/>
      </w:pPr>
      <w:r>
        <w:rPr>
          <w:rFonts w:ascii="Arial" w:cs="Arial" w:eastAsia="Arial" w:hAnsi="Arial"/>
          <w:color w:val="2D2D2D"/>
          <w:sz w:val="22"/>
          <w:szCs w:val="22"/>
        </w:rPr>
        <w:t xml:space="preserve">The case for adopting AttnRes is compelling on every dimension: the financial return is large and rapid, the technical risk is low, the integration effort is bounded, and the downside is capped at two engineer-weeks.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F6E56" w:sz="6"/>
              <w:left w:val="thick" w:color="0F6E56" w:sz="16"/>
              <w:bottom w:val="single" w:color="C5CDD9" w:sz="1"/>
              <w:right w:val="single" w:color="C5CDD9" w:sz="1"/>
            </w:tcBorders>
            <w:shd w:fill="E8EDF5" w:val="clear"/>
            <w:tcMar>
              <w:top w:type="dxa" w:w="120"/>
              <w:left w:type="dxa" w:w="180"/>
              <w:bottom w:type="dxa" w:w="120"/>
              <w:right w:type="dxa" w:w="180"/>
            </w:tcMar>
          </w:tcPr>
          <w:p>
            <w:pPr>
              <w:spacing w:after="40" w:before="0"/>
            </w:pPr>
            <w:r>
              <w:rPr>
                <w:rFonts w:ascii="Arial" w:cs="Arial" w:eastAsia="Arial" w:hAnsi="Arial"/>
                <w:b/>
                <w:bCs/>
                <w:color w:val="1B2A4A"/>
                <w:sz w:val="20"/>
                <w:szCs w:val="20"/>
              </w:rPr>
              <w:t xml:space="preserve">Recommendation</w:t>
            </w:r>
          </w:p>
          <w:p>
            <w:pPr>
              <w:spacing w:after="0" w:before="0"/>
              <w:jc w:val="both"/>
            </w:pPr>
            <w:r>
              <w:rPr>
                <w:rFonts w:ascii="Arial" w:cs="Arial" w:eastAsia="Arial" w:hAnsi="Arial"/>
                <w:color w:val="2D2D2D"/>
                <w:sz w:val="20"/>
                <w:szCs w:val="20"/>
              </w:rPr>
              <w:t xml:space="preserve">The Investment Committee is recommended to approve Attention Residuals adoption. Authorise the two-week Phase 1 validation run immediately. Conditional on Phase 1 confirming the expected performance uplift on internal tasks, proceed to Phase 2 integration and Phase 3 production rollout without further committee review. Schedule the ROI review for Week 6 (end of Phase 2) and Week 12 (first production run).</w:t>
            </w:r>
          </w:p>
        </w:tc>
      </w:tr>
    </w:tbl>
    <w:p>
      <w:pPr>
        <w:spacing w:after="0" w:before="80"/>
      </w:pPr>
    </w:p>
    <w:p>
      <w:pPr>
        <w:pStyle w:val="Heading2"/>
        <w:spacing w:after="80" w:before="240"/>
      </w:pPr>
      <w:r>
        <w:rPr>
          <w:rFonts w:ascii="Arial" w:cs="Arial" w:eastAsia="Arial" w:hAnsi="Arial"/>
          <w:b/>
          <w:bCs/>
          <w:color w:val="2E5FA3"/>
          <w:sz w:val="26"/>
          <w:szCs w:val="26"/>
        </w:rPr>
        <w:t xml:space="preserve">9.1  The case in one paragraph</w:t>
      </w:r>
    </w:p>
    <w:p>
      <w:pPr>
        <w:spacing w:after="80" w:before="60"/>
        <w:jc w:val="both"/>
      </w:pPr>
      <w:r>
        <w:rPr>
          <w:rFonts w:ascii="Arial" w:cs="Arial" w:eastAsia="Arial" w:hAnsi="Arial"/>
          <w:color w:val="2D2D2D"/>
          <w:sz w:val="22"/>
          <w:szCs w:val="22"/>
        </w:rPr>
        <w:t xml:space="preserve">Standard transformer residual connections impose a 20% tax on every training run by growing hidden-state magnitudes unboundedly with depth and failing to let layers selectively access earlier representations. Attention Residuals is a peer-reviewed, production-validated, two-year-old solution to this problem: it replaces the fixed summation with one learned vector per layer, costs less than 2% at inference time, and delivers the same model quality at 80% of the training compute. The engineering integration is a single boolean in a config file. The financial return at $10M annual training spend is $2M per year. The risk is bounded to two weeks of engineering time. This is not a difficult decision.</w:t>
      </w:r>
    </w:p>
    <w:p>
      <w:pPr>
        <w:spacing w:after="0" w:before="80"/>
      </w:pPr>
    </w:p>
    <w:p>
      <w:pPr>
        <w:pStyle w:val="Heading2"/>
        <w:spacing w:after="80" w:before="240"/>
      </w:pPr>
      <w:r>
        <w:rPr>
          <w:rFonts w:ascii="Arial" w:cs="Arial" w:eastAsia="Arial" w:hAnsi="Arial"/>
          <w:b/>
          <w:bCs/>
          <w:color w:val="2E5FA3"/>
          <w:sz w:val="26"/>
          <w:szCs w:val="26"/>
        </w:rPr>
        <w:t xml:space="preserve">9.2  Approved by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Signature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25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
            </w:r>
          </w:p>
        </w:tc>
        <w:tc>
          <w:tcPr>
            <w:tcW w:type="dxa" w:w="25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Chief Technology Officer</w:t>
            </w:r>
          </w:p>
        </w:tc>
        <w:tc>
          <w:tcPr>
            <w:tcW w:type="dxa" w:w="2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r>
      <w:tr>
        <w:tc>
          <w:tcPr>
            <w:tcW w:type="dxa" w:w="25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
            </w:r>
          </w:p>
        </w:tc>
        <w:tc>
          <w:tcPr>
            <w:tcW w:type="dxa" w:w="25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Investment Committee Chair</w:t>
            </w:r>
          </w:p>
        </w:tc>
        <w:tc>
          <w:tcPr>
            <w:tcW w:type="dxa" w:w="2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r>
      <w:tr>
        <w:tc>
          <w:tcPr>
            <w:tcW w:type="dxa" w:w="25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
            </w:r>
          </w:p>
        </w:tc>
        <w:tc>
          <w:tcPr>
            <w:tcW w:type="dxa" w:w="25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ML Infrastructure Lead</w:t>
            </w:r>
          </w:p>
        </w:tc>
        <w:tc>
          <w:tcPr>
            <w:tcW w:type="dxa" w:w="23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c>
          <w:tcPr>
            <w:tcW w:type="dxa" w:w="20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r>
      <w:tr>
        <w:tc>
          <w:tcPr>
            <w:tcW w:type="dxa" w:w="25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
            </w:r>
          </w:p>
        </w:tc>
        <w:tc>
          <w:tcPr>
            <w:tcW w:type="dxa" w:w="25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Finance Director</w:t>
            </w:r>
          </w:p>
        </w:tc>
        <w:tc>
          <w:tcPr>
            <w:tcW w:type="dxa" w:w="2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
            </w:r>
          </w:p>
        </w:tc>
      </w:tr>
    </w:tbl>
    <w:p>
      <w:r>
        <w:br w:type="page"/>
      </w:r>
    </w:p>
    <w:p>
      <w:pPr>
        <w:pStyle w:val="Heading1"/>
        <w:spacing w:after="120" w:before="320"/>
      </w:pPr>
      <w:r>
        <w:rPr>
          <w:rFonts w:ascii="Arial" w:cs="Arial" w:eastAsia="Arial" w:hAnsi="Arial"/>
          <w:b/>
          <w:bCs/>
          <w:color w:val="1B2A4A"/>
          <w:sz w:val="32"/>
          <w:szCs w:val="32"/>
        </w:rPr>
        <w:t xml:space="preserve">Appendix A: Benchmark Data</w:t>
      </w:r>
    </w:p>
    <w:p>
      <w:pPr>
        <w:pBdr>
          <w:bottom w:val="single" w:color="2E5FA3" w:sz="6" w:space="1"/>
        </w:pBdr>
        <w:spacing w:after="160" w:before="40"/>
      </w:pPr>
    </w:p>
    <w:p>
      <w:pPr>
        <w:spacing w:after="80" w:before="60"/>
        <w:jc w:val="both"/>
      </w:pPr>
      <w:r>
        <w:rPr>
          <w:rFonts w:ascii="Arial" w:cs="Arial" w:eastAsia="Arial" w:hAnsi="Arial"/>
          <w:color w:val="2D2D2D"/>
          <w:sz w:val="22"/>
          <w:szCs w:val="22"/>
        </w:rPr>
        <w:t xml:space="preserve">The following benchmark results are taken directly from Chen et al. (2026) and reflect training on Kimi Linear 48B / 3B activated parameters on 1.4T tokens. They represent the upper bound of what is achievable with AttnRes at scale; proportional improvements are expected at smaller model sizes.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200"/>
        <w:gridCol w:w="1200"/>
        <w:gridCol w:w="1560"/>
        <w:gridCol w:w="1700"/>
      </w:tblGrid>
      <w:tr>
        <w:tc>
          <w:tcPr>
            <w:tcW w:type="dxa" w:w="1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AttnRes</w:t>
            </w:r>
          </w:p>
        </w:tc>
        <w:tc>
          <w:tcPr>
            <w:tcW w:type="dxa" w:w="1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Absolute gain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Relative gain</w:t>
            </w:r>
          </w:p>
        </w:tc>
      </w:tr>
      <w:tr>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General reasoning</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GPQA-Diamond</w:t>
            </w:r>
          </w:p>
        </w:tc>
        <w:tc>
          <w:tcPr>
            <w:tcW w:type="dxa" w:w="1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36.9</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44.4</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+7.5</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+20.3%</w:t>
            </w:r>
          </w:p>
        </w:tc>
      </w:tr>
      <w:tr>
        <w:tc>
          <w:tcPr>
            <w:tcW w:type="dxa" w:w="19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General reasoning</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BBH</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76.3</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78.0</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+1.7</w:t>
            </w:r>
          </w:p>
        </w:tc>
        <w:tc>
          <w:tcPr>
            <w:tcW w:type="dxa" w:w="17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+2.2%</w:t>
            </w:r>
          </w:p>
        </w:tc>
      </w:tr>
      <w:tr>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General reasoning</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TriviaQA</w:t>
            </w:r>
          </w:p>
        </w:tc>
        <w:tc>
          <w:tcPr>
            <w:tcW w:type="dxa" w:w="1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69.9</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71.8</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+1.9</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+2.7%</w:t>
            </w:r>
          </w:p>
        </w:tc>
      </w:tr>
      <w:tr>
        <w:tc>
          <w:tcPr>
            <w:tcW w:type="dxa" w:w="19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General knowledge</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MMLU</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73.5</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74.6</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+1.1</w:t>
            </w:r>
          </w:p>
        </w:tc>
        <w:tc>
          <w:tcPr>
            <w:tcW w:type="dxa" w:w="17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+1.5%</w:t>
            </w:r>
          </w:p>
        </w:tc>
      </w:tr>
      <w:tr>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Mathematics</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MATH</w:t>
            </w:r>
          </w:p>
        </w:tc>
        <w:tc>
          <w:tcPr>
            <w:tcW w:type="dxa" w:w="1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53.5</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57.1</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+3.6</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+6.7%</w:t>
            </w:r>
          </w:p>
        </w:tc>
      </w:tr>
      <w:tr>
        <w:tc>
          <w:tcPr>
            <w:tcW w:type="dxa" w:w="19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Code generation</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HumanEval</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59.1</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62.2</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+3.1</w:t>
            </w:r>
          </w:p>
        </w:tc>
        <w:tc>
          <w:tcPr>
            <w:tcW w:type="dxa" w:w="17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+5.2%</w:t>
            </w:r>
          </w:p>
        </w:tc>
      </w:tr>
      <w:tr>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Code generation</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MBPP</w:t>
            </w:r>
          </w:p>
        </w:tc>
        <w:tc>
          <w:tcPr>
            <w:tcW w:type="dxa" w:w="1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72.0</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73.9</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+1.9</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+2.6%</w:t>
            </w:r>
          </w:p>
        </w:tc>
      </w:tr>
      <w:tr>
        <w:tc>
          <w:tcPr>
            <w:tcW w:type="dxa" w:w="19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Chinese language</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CMMLU</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82.0</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82.9</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+0.9</w:t>
            </w:r>
          </w:p>
        </w:tc>
        <w:tc>
          <w:tcPr>
            <w:tcW w:type="dxa" w:w="17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+1.1%</w:t>
            </w:r>
          </w:p>
        </w:tc>
      </w:tr>
      <w:tr>
        <w:tc>
          <w:tcPr>
            <w:tcW w:type="dxa" w:w="19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Chinese language</w:t>
            </w:r>
          </w:p>
        </w:tc>
        <w:tc>
          <w:tcPr>
            <w:tcW w:type="dxa" w:w="18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C-Eval</w:t>
            </w:r>
          </w:p>
        </w:tc>
        <w:tc>
          <w:tcPr>
            <w:tcW w:type="dxa" w:w="1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79.6</w:t>
            </w:r>
          </w:p>
        </w:tc>
        <w:tc>
          <w:tcPr>
            <w:tcW w:type="dxa" w:w="120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82.5</w:t>
            </w:r>
          </w:p>
        </w:tc>
        <w:tc>
          <w:tcPr>
            <w:tcW w:type="dxa" w:w="1560"/>
            <w:tcBorders>
              <w:top w:val="single" w:color="C5CDD9" w:sz="1"/>
              <w:left w:val="single" w:color="C5CDD9" w:sz="1"/>
              <w:bottom w:val="single" w:color="C5CDD9" w:sz="1"/>
              <w:right w:val="single" w:color="C5CDD9" w:sz="1"/>
            </w:tcBorders>
            <w:shd w:val="clear"/>
            <w:tcMar>
              <w:top w:type="dxa" w:w="80"/>
              <w:left w:type="dxa" w:w="120"/>
              <w:bottom w:type="dxa" w:w="80"/>
              <w:right w:type="dxa" w:w="120"/>
            </w:tcMar>
          </w:tcPr>
          <w:p>
            <w:r>
              <w:rPr>
                <w:rFonts w:ascii="Arial" w:cs="Arial" w:eastAsia="Arial" w:hAnsi="Arial"/>
                <w:b/>
                <w:bCs/>
                <w:color w:val="0A5C36"/>
                <w:sz w:val="20"/>
                <w:szCs w:val="20"/>
              </w:rPr>
              <w:t xml:space="preserve">+2.9</w:t>
            </w:r>
          </w:p>
        </w:tc>
        <w:tc>
          <w:tcPr>
            <w:tcW w:type="dxa" w:w="17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+3.6%</w:t>
            </w:r>
          </w:p>
        </w:tc>
      </w:tr>
    </w:tbl>
    <w:p>
      <w:pPr>
        <w:spacing w:after="0" w:before="60"/>
      </w:pPr>
    </w:p>
    <w:p>
      <w:pPr>
        <w:spacing w:after="80" w:before="60"/>
        <w:jc w:val="both"/>
      </w:pPr>
      <w:r>
        <w:rPr>
          <w:rFonts w:ascii="Arial" w:cs="Arial" w:eastAsia="Arial" w:hAnsi="Arial"/>
          <w:i/>
          <w:iCs/>
          <w:color w:val="444444"/>
          <w:sz w:val="22"/>
          <w:szCs w:val="22"/>
        </w:rPr>
        <w:t xml:space="preserve">All 9 benchmarks show improvement. No benchmark shows degradation. The largest improvements are in multi-step reasoning (GPQA-Diamond +7.5 points) and mathematics (+3.6 points), which are the capabilities most sensitive to the quality of cross-layer information access — precisely what AttnRes improves.</w:t>
      </w:r>
    </w:p>
    <w:p>
      <w:r>
        <w:br w:type="page"/>
      </w:r>
    </w:p>
    <w:p>
      <w:pPr>
        <w:pStyle w:val="Heading1"/>
        <w:spacing w:after="120" w:before="320"/>
      </w:pPr>
      <w:r>
        <w:rPr>
          <w:rFonts w:ascii="Arial" w:cs="Arial" w:eastAsia="Arial" w:hAnsi="Arial"/>
          <w:b/>
          <w:bCs/>
          <w:color w:val="1B2A4A"/>
          <w:sz w:val="32"/>
          <w:szCs w:val="32"/>
        </w:rPr>
        <w:t xml:space="preserve">Appendix B: Technical Architecture Summary</w:t>
      </w:r>
    </w:p>
    <w:p>
      <w:pPr>
        <w:pBdr>
          <w:bottom w:val="single" w:color="2E5FA3" w:sz="6" w:space="1"/>
        </w:pBdr>
        <w:spacing w:after="1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 file</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RMSNorm</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models/components.py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Root-mean-square normalisation; no mean subtraction, learnable γ weight</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SwiGLU</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models/components.py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down(silu(gate(x)) ⊗ up(x)); hidden = dim × 8/3; no bias</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RotaryEmbedding</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models/components.py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RoPE position encoding; no learned params; norm-preserving rotation</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CausalSelfAttention</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models/components.py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Multi-head attention; RoPE; Flash Attention via scaled_dot_product_attention</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FullAttnResOp</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models/attn_res.py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Depth-wise softmax attention over all L previous sublayer outputs</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BlockAttnResOp</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models/attn_res.py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Depth-wise attention over N block summaries; O(N·d) memory</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AttnResTransformerLayer</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models/attn_res.py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Two AttnRes ops (pre-attn + pre-MLP) + CausalSelfAttention + SwiGLU</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AttnResTransformer</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models/transformer.py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Vision model: PatchEmbed → layers → mean-pool → Linear</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AttnResLM</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models/lm_transformer.py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LM: tok+pos embed → layers → RMSNorm → weight-tied Linear</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BaselineTransformer / BaselineLM</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models/transformer.py, lm_transformer.py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Standard fixed-residual variants for A/B comparison</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ShakespeareDataset</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dataset/shakespeare_dataset.py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HF Hub download + char tokenisation + sliding-window DataLoader</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CharTokenizer</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dataset/tokenizer.py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Character-level tokeniser; save/load JSON vocabulary</w:t>
            </w:r>
          </w:p>
        </w:tc>
      </w:tr>
      <w:tr>
        <w:tc>
          <w:tcPr>
            <w:tcW w:type="dxa" w:w="22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TrainingLogger</w:t>
            </w:r>
          </w:p>
        </w:tc>
        <w:tc>
          <w:tcPr>
            <w:tcW w:type="dxa" w:w="260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utils/logger.py</w:t>
            </w:r>
          </w:p>
        </w:tc>
        <w:tc>
          <w:tcPr>
            <w:tcW w:type="dxa" w:w="4560"/>
            <w:tcBorders>
              <w:top w:val="single" w:color="C5CDD9" w:sz="1"/>
              <w:left w:val="single" w:color="C5CDD9" w:sz="1"/>
              <w:bottom w:val="single" w:color="C5CDD9" w:sz="1"/>
              <w:right w:val="single" w:color="C5CDD9" w:sz="1"/>
            </w:tcBorders>
            <w:shd w:fill="F4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Timestamped CSV logs + rich console; epoch and step granularity</w:t>
            </w:r>
          </w:p>
        </w:tc>
      </w:tr>
      <w:tr>
        <w:tc>
          <w:tcPr>
            <w:tcW w:type="dxa" w:w="2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CheckpointManager</w:t>
            </w:r>
          </w:p>
        </w:tc>
        <w:tc>
          <w:tcPr>
            <w:tcW w:type="dxa" w:w="2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utils/checkpoint.py</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best/ (val loss) + latest/ (resume) checkpoint management</w:t>
            </w:r>
          </w:p>
        </w:tc>
      </w:tr>
    </w:tbl>
    <w:p>
      <w:r>
        <w:br w:type="page"/>
      </w:r>
    </w:p>
    <w:p>
      <w:pPr>
        <w:pStyle w:val="Heading1"/>
        <w:spacing w:after="120" w:before="320"/>
      </w:pPr>
      <w:r>
        <w:rPr>
          <w:rFonts w:ascii="Arial" w:cs="Arial" w:eastAsia="Arial" w:hAnsi="Arial"/>
          <w:b/>
          <w:bCs/>
          <w:color w:val="1B2A4A"/>
          <w:sz w:val="32"/>
          <w:szCs w:val="32"/>
        </w:rPr>
        <w:t xml:space="preserve">Appendix C: References</w:t>
      </w:r>
    </w:p>
    <w:p>
      <w:pPr>
        <w:pBdr>
          <w:bottom w:val="single" w:color="2E5FA3" w:sz="6" w:space="1"/>
        </w:pBdr>
        <w:spacing w:after="160" w:before="40"/>
      </w:pPr>
    </w:p>
    <w:p>
      <w:pPr>
        <w:spacing w:after="80" w:before="60"/>
        <w:jc w:val="both"/>
      </w:pPr>
      <w:r>
        <w:rPr>
          <w:rFonts w:ascii="Arial" w:cs="Arial" w:eastAsia="Arial" w:hAnsi="Arial"/>
          <w:color w:val="2D2D2D"/>
          <w:sz w:val="22"/>
          <w:szCs w:val="22"/>
        </w:rPr>
        <w:t xml:space="preserve">Chen, G., Zhang, Y., Su, J., et al. (2026). Attention Residuals. arXiv:2603.15031. https://arxiv.org/abs/2603.15031</w:t>
      </w:r>
    </w:p>
    <w:p>
      <w:pPr>
        <w:spacing w:after="80" w:before="60"/>
        <w:jc w:val="both"/>
      </w:pPr>
      <w:r>
        <w:rPr>
          <w:rFonts w:ascii="Arial" w:cs="Arial" w:eastAsia="Arial" w:hAnsi="Arial"/>
          <w:color w:val="2D2D2D"/>
          <w:sz w:val="22"/>
          <w:szCs w:val="22"/>
        </w:rPr>
        <w:t xml:space="preserve">MoonshotAI. (2026). Attention-Residuals [GitHub repository]. https://github.com/MoonshotAI/Attention-Residuals</w:t>
      </w:r>
    </w:p>
    <w:p>
      <w:pPr>
        <w:spacing w:after="80" w:before="60"/>
        <w:jc w:val="both"/>
      </w:pPr>
      <w:r>
        <w:rPr>
          <w:rFonts w:ascii="Arial" w:cs="Arial" w:eastAsia="Arial" w:hAnsi="Arial"/>
          <w:color w:val="2D2D2D"/>
          <w:sz w:val="22"/>
          <w:szCs w:val="22"/>
        </w:rPr>
        <w:t xml:space="preserve">He, K., Zhang, X., Ren, S., &amp; Sun, J. (2016). Deep Residual Learning for Image Recognition. CVPR 2016.</w:t>
      </w:r>
    </w:p>
    <w:p>
      <w:pPr>
        <w:spacing w:after="80" w:before="60"/>
        <w:jc w:val="both"/>
      </w:pPr>
      <w:r>
        <w:rPr>
          <w:rFonts w:ascii="Arial" w:cs="Arial" w:eastAsia="Arial" w:hAnsi="Arial"/>
          <w:color w:val="2D2D2D"/>
          <w:sz w:val="22"/>
          <w:szCs w:val="22"/>
        </w:rPr>
        <w:t xml:space="preserve">Su, J., Lu, Y., Pan, S., Murtadha, A., Wen, B., &amp; Liu, Y. (2021). RoFormer: Enhanced Transformer with Rotary Position Embedding. arXiv:2104.09864.</w:t>
      </w:r>
    </w:p>
    <w:p>
      <w:pPr>
        <w:spacing w:after="80" w:before="60"/>
        <w:jc w:val="both"/>
      </w:pPr>
      <w:r>
        <w:rPr>
          <w:rFonts w:ascii="Arial" w:cs="Arial" w:eastAsia="Arial" w:hAnsi="Arial"/>
          <w:color w:val="2D2D2D"/>
          <w:sz w:val="22"/>
          <w:szCs w:val="22"/>
        </w:rPr>
        <w:t xml:space="preserve">Shazeer, N. (2020). GLU Variants Improve Transformer. arXiv:2002.05202.</w:t>
      </w:r>
    </w:p>
    <w:p>
      <w:pPr>
        <w:spacing w:after="80" w:before="60"/>
        <w:jc w:val="both"/>
      </w:pPr>
      <w:r>
        <w:rPr>
          <w:rFonts w:ascii="Arial" w:cs="Arial" w:eastAsia="Arial" w:hAnsi="Arial"/>
          <w:color w:val="2D2D2D"/>
          <w:sz w:val="22"/>
          <w:szCs w:val="22"/>
        </w:rPr>
        <w:t xml:space="preserve">Zhang, B., &amp; Sennrich, R. (2019). Root Mean Square Layer Normalization. arXiv:1910.07467.</w:t>
      </w:r>
    </w:p>
    <w:p>
      <w:pPr>
        <w:spacing w:after="80" w:before="60"/>
        <w:jc w:val="both"/>
      </w:pPr>
      <w:r>
        <w:rPr>
          <w:rFonts w:ascii="Arial" w:cs="Arial" w:eastAsia="Arial" w:hAnsi="Arial"/>
          <w:color w:val="2D2D2D"/>
          <w:sz w:val="22"/>
          <w:szCs w:val="22"/>
        </w:rPr>
        <w:t xml:space="preserve">Dao, T., Fu, D. Y., Ermon, S., Rudra, A., &amp; Ré, C. (2022). FlashAttention: Fast and Memory-Efficient Exact Attention with IO-Awareness. NeurIPS 2022.</w:t>
      </w:r>
    </w:p>
    <w:p>
      <w:pPr>
        <w:spacing w:after="80" w:before="60"/>
        <w:jc w:val="both"/>
      </w:pPr>
      <w:r>
        <w:rPr>
          <w:rFonts w:ascii="Arial" w:cs="Arial" w:eastAsia="Arial" w:hAnsi="Arial"/>
          <w:color w:val="2D2D2D"/>
          <w:sz w:val="22"/>
          <w:szCs w:val="22"/>
        </w:rPr>
        <w:t xml:space="preserve">Trelis Research. (2024). tiny-shakespeare [HuggingFace dataset]. https://huggingface.co/datasets/Trelis/tiny-shakespeare</w:t>
      </w:r>
    </w:p>
    <w:p>
      <w:pPr>
        <w:spacing w:after="80" w:before="60"/>
        <w:jc w:val="both"/>
      </w:pPr>
      <w:r>
        <w:rPr>
          <w:rFonts w:ascii="Arial" w:cs="Arial" w:eastAsia="Arial" w:hAnsi="Arial"/>
          <w:color w:val="2D2D2D"/>
          <w:sz w:val="22"/>
          <w:szCs w:val="22"/>
        </w:rPr>
        <w:t xml:space="preserve">Dorard, L. (2019). The ML Canvas. https://www.louisdorard.com/machine-learning-canvas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9" w:sz="4" w:space="1"/>
      </w:pBdr>
      <w:tabs>
        <w:tab w:val="right" w:pos="9026"/>
      </w:tabs>
      <w:spacing w:after="0" w:before="80"/>
    </w:pPr>
    <w:r>
      <w:rPr>
        <w:rFonts w:ascii="Arial" w:cs="Arial" w:eastAsia="Arial" w:hAnsi="Arial"/>
        <w:color w:val="888888"/>
        <w:sz w:val="16"/>
        <w:szCs w:val="16"/>
      </w:rPr>
      <w:t xml:space="preserve">MoonshotAI / AttnRes Research Programme</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after="80" w:before="0"/>
    </w:pPr>
    <w:r>
      <w:rPr>
        <w:rFonts w:ascii="Arial" w:cs="Arial" w:eastAsia="Arial" w:hAnsi="Arial"/>
        <w:b/>
        <w:bCs/>
        <w:color w:val="1B2A4A"/>
        <w:sz w:val="18"/>
        <w:szCs w:val="18"/>
      </w:rPr>
      <w:t xml:space="preserve">Business Case: Attention Residuals (AttnRes)</w:t>
    </w:r>
    <w:r>
      <w:rPr>
        <w:rFonts w:ascii="Arial" w:cs="Arial" w:eastAsia="Arial" w:hAnsi="Arial"/>
        <w:color w:val="888888"/>
        <w:sz w:val="16"/>
        <w:szCs w:val="16"/>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2026-04-09T00:05:00.404Z</dcterms:created>
  <dcterms:modified xsi:type="dcterms:W3CDTF">2026-04-09T00:05:00.405Z</dcterms:modified>
</cp:coreProperties>
</file>

<file path=docProps/custom.xml><?xml version="1.0" encoding="utf-8"?>
<Properties xmlns="http://schemas.openxmlformats.org/officeDocument/2006/custom-properties" xmlns:vt="http://schemas.openxmlformats.org/officeDocument/2006/docPropsVTypes"/>
</file>