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aps/>
          <w:color w:val="888888"/>
          <w:sz w:val="18"/>
          <w:szCs w:val="18"/>
        </w:rPr>
        <w:t xml:space="preserve">BUSINESS PROBLEM STATEMENT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Attention Residuals: Closing the Compute-Efficiency Gap in Production Transformer Models</w:t>
      </w:r>
    </w:p>
    <w:p>
      <w:pPr>
        <w:pBdr>
          <w:bottom w:val="single" w:color="1D9E75" w:sz="12" w:space="1"/>
        </w:pBdr>
        <w:spacing w:after="1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AttnRes Research Programme  |  April 2026  |  v1.0</w:t>
      </w:r>
    </w:p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Executive Summary</w:t>
      </w:r>
    </w:p>
    <w:p>
      <w:pPr>
        <w:pBdr>
          <w:bottom w:val="single" w:color="1B2A4A" w:sz="8" w:space="1"/>
        </w:pBdr>
        <w:spacing w:after="40" w:before="40"/>
      </w:pPr>
    </w:p>
    <w:p>
      <w:pPr>
        <w:spacing w:after="0" w:before="60"/>
      </w:pP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organisation deploying large language models or vision-classification systems today faces the same hidden cost: they pay for depth that does not deliver. Standard transformer residual connections accumulate all layer outputs with fixed, equal weights. As networks grow deeper, this uniform aggregation causes hidden-state magnitudes to swell as O(L) with the number of layers — systematically diluting the contribution of earlier representations and wasting the compute invested in them.</w:t>
      </w:r>
    </w:p>
    <w:p>
      <w:pPr>
        <w:spacing w:after="0" w:before="60"/>
      </w:pP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AttnRes codebase implements a targeted, drop-in remedy: replace the fixed summation with learned, input-dependent softmax attention over preceding layer outputs. The result is that every layer gains selective, bounded access to all earlier representations — at an inference overhead of less than 2 percent. Published benchmarks show Block AttnRes matches the downstream task performance of a baseline trained with 1.25× more compute, translating directly into either faster time-to-performance or a reduction in cloud training spend.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E5FA3" w:sz="6"/>
              <w:left w:val="thick" w:color="2E5FA3" w:sz="12"/>
              <w:bottom w:val="single" w:color="C5CDD9" w:sz="1"/>
              <w:right w:val="single" w:color="C5CDD9" w:sz="1"/>
            </w:tcBorders>
            <w:shd w:fill="E8E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Core finding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Block AttnRes achieves the loss of a standard transformer trained on 1.25× more compute. On a 48 B-parameter model pre-trained on 1.4 T tokens, GPQA-Diamond reasoning improves by +7.5 points, HumanEval code generation by +3.1 points, and mathematics benchmarks by +3.6 points — all from a single architectural swap requiring no changes to the training pipeline.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The Problem</w:t>
      </w:r>
    </w:p>
    <w:p>
      <w:pPr>
        <w:pBdr>
          <w:bottom w:val="single" w:color="1B2A4A" w:sz="8" w:space="1"/>
        </w:pBdr>
        <w:spacing w:after="40" w:before="40"/>
      </w:pP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 Depth is expensive but increasingly ineffective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standard technique for training deeper neural networks — residual connections — has remained architecturally unchanged since He et al. (2016). Each layer simply adds its output to the running sum: hₗ = hₗ₋₁ + f(hₗ₋₁). Unrolling this recurrence reveals that every layer receives an identically-weighted mixture of all prior outputs. There is no mechanism to emphasise a relevant early layer or suppress a noisy intermediate one. The network learns increasingly large layer outputs to gain influence over the accumulated sum, but does so at the cost of the entire stack.</w:t>
      </w:r>
    </w:p>
    <w:p>
      <w:pPr>
        <w:spacing w:after="0" w:before="40"/>
      </w:pP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Three failure modes compound as depth grows: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Hidden-state magnitude grows as O(L) under PreNorm, progressively drowning the relative contribution of earlier layers.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There is no selective access: attention and MLP sublayers receive the same undifferentiated mixture regardless of their function.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Information lost through early aggregation is irrecoverable in deeper layers — explaining why a significant fraction of layers in large models can be pruned with only minor accuracy loss.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  The compute tax on organisations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These architectural inefficiencies impose direct financial and competitive costs across two domains addressed by this codebase: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Vision classification (MNIST, CIFAR-10)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Convolutional and patch-based transformers applied to document processing, medical imaging, quality inspection, and satellite imagery all rely on fixed residuals. Organisations building such systems must over-provision model depth and training compute to compensate for the dilution problem, increasing both cloud spend and model-serving latency.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Language modelling (Tiny-Shakespeare and beyond)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Character-level and sub-word language models used in content generation, code completion, customer-service automation, and document summarisation exhibit the same residual dilution at scale. The Shakespeare benchmark in this codebase demonstrates the problem on a reproducible, compact corpus: a standard-residual baseline achieves a measurably higher perplexity than AttnRes at the same model size and training budget.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47B0A" w:sz="1"/>
              <w:left w:val="single" w:color="C47B0A" w:sz="1"/>
              <w:bottom w:val="single" w:color="C47B0A" w:sz="1"/>
              <w:right w:val="single" w:color="C47B0A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47B0A"/>
                <w:sz w:val="36"/>
                <w:szCs w:val="36"/>
              </w:rPr>
              <w:t xml:space="preserve">O(L)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Hidden-state magnitude growth with depth under standard residuals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36"/>
                <w:szCs w:val="36"/>
              </w:rPr>
              <w:t xml:space="preserve">1.25×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Compute saved: AttnRes matches a baseline at 1.25× the cost</w:t>
            </w:r>
          </w:p>
        </w:tc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36"/>
                <w:szCs w:val="36"/>
              </w:rPr>
              <w:t xml:space="preserve">&lt; 2%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Inference latency overhead of Block AttnRes over standard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6"/>
                <w:szCs w:val="36"/>
              </w:rPr>
              <w:t xml:space="preserve">+7.5 pt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GPQA-Diamond reasoning gain on the 48 B Kimi Linear model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Proposed Solution</w:t>
      </w:r>
    </w:p>
    <w:p>
      <w:pPr>
        <w:pBdr>
          <w:bottom w:val="single" w:color="1B2A4A" w:sz="8" w:space="1"/>
        </w:pBdr>
        <w:spacing w:after="40" w:before="40"/>
      </w:pP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 Attention over depth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Attention Residuals (AttnRes) applies the same insight that made attention transformative over sequences — selective, weighted aggregation — to the depth dimension of a transformer. Rather than summing all previous outputs with fixed unit weights, each layer learns a single d-dimensional pseudo-query vector wₗ and computes softmax attention weights over the keys derived from all preceding sublayer outputs:</w:t>
      </w:r>
    </w:p>
    <w:p>
      <w:pPr>
        <w:spacing w:after="0" w:before="60"/>
      </w:pP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hₗ = Σ α_{i→l} · v_i     where     α_{i→l} = softmax_i( wₗᵀ · RMSNorm(v_i) )</w:t>
      </w:r>
    </w:p>
    <w:p>
      <w:pPr>
        <w:spacing w:after="0" w:before="60"/>
      </w:pP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RMSNorm on the keys prevents any single large-magnitude layer from monopolising attention. Softmax normalisation guarantees the weights sum to one, bounding hidden-state magnitudes regardless of depth. The only new parameter is one d-dimensional vector per layer — negligible relative to the billions of parameters in a production model.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 Block AttnRes: scaling to production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Full AttnRes retains O(L · d) memory to store all sublayer outputs — acceptable in vanilla training (where these activations are already retained for backpropagation) but expensive under pipeline parallelism and activation recomputation at scale. Block AttnRes solves this by partitioning layers into N ≈ 8 blocks: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Within each block, standard residuals accumulate a partial sum.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block boundaries, the partial sum is promoted to a block-level summary tensor.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AttnRes operation then attends only over the N completed block summaries plus the current partial block.</w:t>
      </w:r>
    </w:p>
    <w:p>
      <w:pPr>
        <w:spacing w:after="0" w:before="40"/>
      </w:pP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reduces memory from O(L · d) to O(N · d) — a reduction proportional to the block size. With N = 8, inference latency overhead is under 2 percent on typical production workloads, and the gains relative to the baseline are preserved at approximately 80 percent of the Full AttnRes improvement.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 Implementation: a production-ready codebase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AttnRes repository provides a complete, tested PyTorch implementation that an engineering team can deploy today: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value</w:t>
            </w:r>
          </w:p>
        </w:tc>
      </w:tr>
      <w:tr>
        <w:tc>
          <w:tcPr>
            <w:tcW w:type="dxa" w:w="26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FullAttnResOp / BlockAttnResOp</w:t>
            </w:r>
          </w:p>
        </w:tc>
        <w:tc>
          <w:tcPr>
            <w:tcW w:type="dxa" w:w="676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Drop-in residual replacement. One flag in config.yaml switches between variants. No training-pipeline changes required.</w:t>
            </w:r>
          </w:p>
        </w:tc>
      </w:tr>
      <w:tr>
        <w:tc>
          <w:tcPr>
            <w:tcW w:type="dxa" w:w="26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AttnResTransformer (vision)</w:t>
            </w:r>
          </w:p>
        </w:tc>
        <w:tc>
          <w:tcPr>
            <w:tcW w:type="dxa" w:w="676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Patch-based image classifier for MNIST and CIFAR-10. Directly applicable to document classification, medical imaging, and visual inspection use cases.</w:t>
            </w:r>
          </w:p>
        </w:tc>
      </w:tr>
      <w:tr>
        <w:tc>
          <w:tcPr>
            <w:tcW w:type="dxa" w:w="26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AttnResLM (language model)</w:t>
            </w:r>
          </w:p>
        </w:tc>
        <w:tc>
          <w:tcPr>
            <w:tcW w:type="dxa" w:w="676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Character-level autoregressive LM with weight-tied embeddings, temperature/top-k sampling, and per-epoch generation preview. Demonstrates LM gains on the Shakespeare benchmark.</w:t>
            </w:r>
          </w:p>
        </w:tc>
      </w:tr>
      <w:tr>
        <w:tc>
          <w:tcPr>
            <w:tcW w:type="dxa" w:w="26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BaselineTransformer / BaselineLM</w:t>
            </w:r>
          </w:p>
        </w:tc>
        <w:tc>
          <w:tcPr>
            <w:tcW w:type="dxa" w:w="676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Identical architectures with standard residuals. Enables direct A/B comparison under controlled conditions to quantify the AttnRes uplift.</w:t>
            </w:r>
          </w:p>
        </w:tc>
      </w:tr>
      <w:tr>
        <w:tc>
          <w:tcPr>
            <w:tcW w:type="dxa" w:w="26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CSV training logger + checkpointing</w:t>
            </w:r>
          </w:p>
        </w:tc>
        <w:tc>
          <w:tcPr>
            <w:tcW w:type="dxa" w:w="676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Timestamped logs (model-YYYYMMDDHHMM.csv) with epoch-level loss, accuracy, and LR. Dual best/latest checkpoints enable safe resumption of multi-day training runs.</w:t>
            </w:r>
          </w:p>
        </w:tc>
      </w:tr>
      <w:tr>
        <w:tc>
          <w:tcPr>
            <w:tcW w:type="dxa" w:w="26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Visualisation suite</w:t>
            </w:r>
          </w:p>
        </w:tc>
        <w:tc>
          <w:tcPr>
            <w:tcW w:type="dxa" w:w="676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Side-by-side loss/accuracy/speed plots across multiple runs. Enables the product team to communicate model improvement to non-technical stakeholders without exporting raw data.</w:t>
            </w:r>
          </w:p>
        </w:tc>
      </w:tr>
      <w:tr>
        <w:tc>
          <w:tcPr>
            <w:tcW w:type="dxa" w:w="26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126-test pytest suite</w:t>
            </w:r>
          </w:p>
        </w:tc>
        <w:tc>
          <w:tcPr>
            <w:tcW w:type="dxa" w:w="676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Covers shape invariants, gradient flow, softmax normalisation, block boundary logic, checkpoint round-trips, and config parsing. Prevents regression during iterative development.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Business Impact and Opportunity</w:t>
      </w:r>
    </w:p>
    <w:p>
      <w:pPr>
        <w:pBdr>
          <w:bottom w:val="single" w:color="1B2A4A" w:sz="8" w:space="1"/>
        </w:pBdr>
        <w:spacing w:after="40" w:before="40"/>
      </w:pP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 Quantified gains from published benchmarks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results are taken from the AttnRes technical report (Chen et al., 2026) and reflect production training on Kimi Linear 48 B / 3 B activated parameters over 1.4 T tokens. They represent the upper bound of what is achievable with AttnRes at scale; smaller models trained with this codebase will exhibit proportional improvements.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W w:type="dxa" w:w="20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2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AttnRes</w:t>
            </w:r>
          </w:p>
        </w:tc>
        <w:tc>
          <w:tcPr>
            <w:tcW w:type="dxa" w:w="176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Gain</w:t>
            </w:r>
          </w:p>
        </w:tc>
      </w:tr>
      <w:tr>
        <w:tc>
          <w:tcPr>
            <w:tcW w:type="dxa" w:w="20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GPQA-Diamond (reasoning)</w:t>
            </w:r>
          </w:p>
        </w:tc>
        <w:tc>
          <w:tcPr>
            <w:tcW w:type="dxa" w:w="2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36.9</w:t>
            </w:r>
          </w:p>
        </w:tc>
        <w:tc>
          <w:tcPr>
            <w:tcW w:type="dxa" w:w="2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44.4</w:t>
            </w:r>
          </w:p>
        </w:tc>
        <w:tc>
          <w:tcPr>
            <w:tcW w:type="dxa" w:w="176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+7.5</w:t>
            </w:r>
          </w:p>
        </w:tc>
      </w:tr>
      <w:tr>
        <w:tc>
          <w:tcPr>
            <w:tcW w:type="dxa" w:w="20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</w:t>
            </w:r>
          </w:p>
        </w:tc>
        <w:tc>
          <w:tcPr>
            <w:tcW w:type="dxa" w:w="2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53.5</w:t>
            </w:r>
          </w:p>
        </w:tc>
        <w:tc>
          <w:tcPr>
            <w:tcW w:type="dxa" w:w="2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57.1</w:t>
            </w:r>
          </w:p>
        </w:tc>
        <w:tc>
          <w:tcPr>
            <w:tcW w:type="dxa" w:w="176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+3.6</w:t>
            </w:r>
          </w:p>
        </w:tc>
      </w:tr>
      <w:tr>
        <w:tc>
          <w:tcPr>
            <w:tcW w:type="dxa" w:w="20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HumanEval (code)</w:t>
            </w:r>
          </w:p>
        </w:tc>
        <w:tc>
          <w:tcPr>
            <w:tcW w:type="dxa" w:w="2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59.1</w:t>
            </w:r>
          </w:p>
        </w:tc>
        <w:tc>
          <w:tcPr>
            <w:tcW w:type="dxa" w:w="2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62.2</w:t>
            </w:r>
          </w:p>
        </w:tc>
        <w:tc>
          <w:tcPr>
            <w:tcW w:type="dxa" w:w="176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+3.1</w:t>
            </w:r>
          </w:p>
        </w:tc>
      </w:tr>
      <w:tr>
        <w:tc>
          <w:tcPr>
            <w:tcW w:type="dxa" w:w="20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MMLU (knowledge)</w:t>
            </w:r>
          </w:p>
        </w:tc>
        <w:tc>
          <w:tcPr>
            <w:tcW w:type="dxa" w:w="2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73.5</w:t>
            </w:r>
          </w:p>
        </w:tc>
        <w:tc>
          <w:tcPr>
            <w:tcW w:type="dxa" w:w="2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74.6</w:t>
            </w:r>
          </w:p>
        </w:tc>
        <w:tc>
          <w:tcPr>
            <w:tcW w:type="dxa" w:w="176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+1.1</w:t>
            </w:r>
          </w:p>
        </w:tc>
      </w:tr>
      <w:tr>
        <w:tc>
          <w:tcPr>
            <w:tcW w:type="dxa" w:w="20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C-Eval (Chinese)</w:t>
            </w:r>
          </w:p>
        </w:tc>
        <w:tc>
          <w:tcPr>
            <w:tcW w:type="dxa" w:w="2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79.6</w:t>
            </w:r>
          </w:p>
        </w:tc>
        <w:tc>
          <w:tcPr>
            <w:tcW w:type="dxa" w:w="2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82.5</w:t>
            </w:r>
          </w:p>
        </w:tc>
        <w:tc>
          <w:tcPr>
            <w:tcW w:type="dxa" w:w="176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+2.9</w:t>
            </w:r>
          </w:p>
        </w:tc>
      </w:tr>
      <w:tr>
        <w:tc>
          <w:tcPr>
            <w:tcW w:type="dxa" w:w="20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BBH (multi-step)</w:t>
            </w:r>
          </w:p>
        </w:tc>
        <w:tc>
          <w:tcPr>
            <w:tcW w:type="dxa" w:w="2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76.3</w:t>
            </w:r>
          </w:p>
        </w:tc>
        <w:tc>
          <w:tcPr>
            <w:tcW w:type="dxa" w:w="28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78.0</w:t>
            </w:r>
          </w:p>
        </w:tc>
        <w:tc>
          <w:tcPr>
            <w:tcW w:type="dxa" w:w="176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+1.7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 Cost reduction opportunity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Compute cost in large-model training scales directly with the number of GPU-hours consumed. The AttnRes paper's headline finding — that Block AttnRes matches the validation loss of a baseline trained with 1.25× the compute — translates to a 20 percent reduction in training cost for any given target performance level. At the scale of frontier model training, this is significant: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training run budgeted at $10 M achieves the same result with AttnRes as a standard-residual run budgeted at $12.5 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Alternatively, the same $10 M budget, spent on a standard-residual model, can now produce AttnRes-quality results at a model size that is 25 percent smaller — reducing serving costs permanently.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organisations running continuous fine-tuning or periodic retraining pipelines, the compound saving over a year of operations is proportionally larger.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 Competitive and strategic positioning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AI infrastructure landscape rewards teams that can iterate faster and serve cheaper. AttnRes provides a structural advantage on both dimensions: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team using AttnRes reaches a given validation loss in fewer training steps, compressing the research-to-deployment cycle.</w:t>
      </w:r>
      <w:r>
        <w:rPr>
          <w:rFonts w:ascii="Arial" w:cs="Arial" w:eastAsia="Arial" w:hAnsi="Arial"/>
          <w:sz w:val="22"/>
          <w:szCs w:val="22"/>
        </w:rPr>
        <w:t xml:space="preserve">Faster iteration: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given the same compute budget, AttnRes models consistently outperform standard-residual baselines across all evaluated tasks — creating a durable performance moat.</w:t>
      </w:r>
      <w:r>
        <w:rPr>
          <w:rFonts w:ascii="Arial" w:cs="Arial" w:eastAsia="Arial" w:hAnsi="Arial"/>
          <w:sz w:val="22"/>
          <w:szCs w:val="22"/>
        </w:rPr>
        <w:t xml:space="preserve">Better quality ceiling: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codebase's YAML-driven configuration, CSV logging, and dual-checkpoint strategy make every experiment fully reproducible, satisfying enterprise governance and model-card requirements.</w:t>
      </w:r>
      <w:r>
        <w:rPr>
          <w:rFonts w:ascii="Arial" w:cs="Arial" w:eastAsia="Arial" w:hAnsi="Arial"/>
          <w:sz w:val="22"/>
          <w:szCs w:val="22"/>
        </w:rPr>
        <w:t xml:space="preserve">Auditability: </w:t>
      </w:r>
    </w:p>
    <w:p>
      <w:pPr>
        <w:spacing w:after="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Target Users and Use Cases</w:t>
      </w:r>
    </w:p>
    <w:p>
      <w:pPr>
        <w:pBdr>
          <w:bottom w:val="single" w:color="1B2A4A" w:sz="8" w:space="1"/>
        </w:pBdr>
        <w:spacing w:after="40" w:before="40"/>
      </w:pP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 ML engineering teams at AI-first companies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Teams building proprietary LLMs or vision classifiers can adopt AttnRes as a drop-in architectural improvement. The block_attn_res flag in config.yaml requires no changes to data pipelines, optimisers, or deployment infrastructure. The included BaselineTransformer and BaselineLM classes enable a controlled A/B comparison to quantify the exact uplift within any team's specific training setup.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 Applied AI researchers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Full AttnRes variant (FullAttnResOp) provides a clean reference implementation of depth-wise softmax attention. Researchers can study the attention-weight distributions over layers, probe which preceding representations each layer emphasises, and extend the mechanism to new architectures. The 126-test suite and comprehensive docstrings lower the cost of experimentation.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 Enterprises deploying vertical-domain models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Organisations fine-tuning transformer models on domain-specific corpora — legal document review, clinical note summarisation, code generation for proprietary APIs — face the same depth-dilution problem at smaller scale. AttnRes improves fine-tuning sample efficiency by ensuring that all previously learned representations remain selectively accessible across the full depth of the model, preventing catastrophic forgetting of early-layer features.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4.4  Education and research institutions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Shakespeare language-model task provides an accessible, fully reproducible benchmark for teaching the mechanics of AttnRes. Students can observe, epoch by epoch, how a model with learnable depth-wise attention develops stylistically coherent text generation faster than a standard-residual baseline — making the abstract concept of depth-wise attention concretely visible.</w:t>
      </w:r>
    </w:p>
    <w:p>
      <w:pPr>
        <w:spacing w:after="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Risks and Mitigations</w:t>
      </w:r>
    </w:p>
    <w:p>
      <w:pPr>
        <w:pBdr>
          <w:bottom w:val="single" w:color="1B2A4A" w:sz="8" w:space="1"/>
        </w:pBdr>
        <w:spacing w:after="40" w:before="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80"/>
        <w:gridCol w:w="4080"/>
      </w:tblGrid>
      <w:tr>
        <w:tc>
          <w:tcPr>
            <w:tcW w:type="dxa" w:w="30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8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08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 overhead at extreme depth (Full AttnRes)</w:t>
            </w:r>
          </w:p>
        </w:tc>
        <w:tc>
          <w:tcPr>
            <w:tcW w:type="dxa" w:w="228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08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Block AttnRes (block_size=4–8). Memory drops from O(L·d) to O(N·d). Already the default in all provided configs.</w:t>
            </w:r>
          </w:p>
        </w:tc>
      </w:tr>
      <w:tr>
        <w:tc>
          <w:tcPr>
            <w:tcW w:type="dxa" w:w="30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Gains do not transfer to new domain / modality</w:t>
            </w:r>
          </w:p>
        </w:tc>
        <w:tc>
          <w:tcPr>
            <w:tcW w:type="dxa" w:w="228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408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the included BaselineTransformer comparison. The codebase logs every experiment; uplift can be measured in hours, not weeks.</w:t>
            </w:r>
          </w:p>
        </w:tc>
      </w:tr>
      <w:tr>
        <w:tc>
          <w:tcPr>
            <w:tcW w:type="dxa" w:w="30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parallelism communication overhead</w:t>
            </w:r>
          </w:p>
        </w:tc>
        <w:tc>
          <w:tcPr>
            <w:tcW w:type="dxa" w:w="228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08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 AttnRes uses cross-stage caching to eliminate redundant activation transfers. Inference overhead confirmed at &lt; 2% on standard workloads.</w:t>
            </w:r>
          </w:p>
        </w:tc>
      </w:tr>
      <w:tr>
        <w:tc>
          <w:tcPr>
            <w:tcW w:type="dxa" w:w="30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Increased hyperparameter surface (block_size)</w:t>
            </w:r>
          </w:p>
        </w:tc>
        <w:tc>
          <w:tcPr>
            <w:tcW w:type="dxa" w:w="228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08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block_size=4 recovers the majority of gains. The config system supports one-line overrides for ablation: --override model.block_size=8.</w:t>
            </w:r>
          </w:p>
        </w:tc>
      </w:tr>
      <w:tr>
        <w:tc>
          <w:tcPr>
            <w:tcW w:type="dxa" w:w="300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with existing training infrastructure</w:t>
            </w:r>
          </w:p>
        </w:tc>
        <w:tc>
          <w:tcPr>
            <w:tcW w:type="dxa" w:w="228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080"/>
            <w:tcBorders>
              <w:top w:val="single" w:color="C5CDD9" w:sz="1"/>
              <w:left w:val="single" w:color="C5CDD9" w:sz="1"/>
              <w:bottom w:val="single" w:color="C5CDD9" w:sz="1"/>
              <w:right w:val="single" w:color="C5CDD9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AttnResTransformerLayer is a drop-in nn.Module replacement. No changes to data loaders, loss functions, optimisers, or distributed training wrappers are required.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Success Criteria</w:t>
      </w:r>
    </w:p>
    <w:p>
      <w:pPr>
        <w:pBdr>
          <w:bottom w:val="single" w:color="1B2A4A" w:sz="8" w:space="1"/>
        </w:pBdr>
        <w:spacing w:after="40" w:before="40"/>
      </w:pPr>
    </w:p>
    <w:p>
      <w:pPr>
        <w:spacing w:after="0" w:before="60"/>
      </w:pP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measurable outcomes define a successful deployment of AttnRes in a production or research context: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 loss parity at 80% of the compute budget. </w:t>
      </w:r>
      <w:r>
        <w:rPr>
          <w:rFonts w:ascii="Arial" w:cs="Arial" w:eastAsia="Arial" w:hAnsi="Arial"/>
          <w:sz w:val="22"/>
          <w:szCs w:val="22"/>
        </w:rPr>
        <w:t xml:space="preserve">An AttnRes model reaches the same validation loss as a standard-residual baseline while consuming no more than 80 percent of the training GPU-hours.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Downstream task improvement on at least two benchmarks. </w:t>
      </w:r>
      <w:r>
        <w:rPr>
          <w:rFonts w:ascii="Arial" w:cs="Arial" w:eastAsia="Arial" w:hAnsi="Arial"/>
          <w:sz w:val="22"/>
          <w:szCs w:val="22"/>
        </w:rPr>
        <w:t xml:space="preserve">For vision tasks: accuracy on the held-out test set. For language tasks: perplexity and generation quality (measured by human evaluation or automated metrics such as BLEU/ROUGE on appropriate corpora).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Inference latency overhead below 2%. </w:t>
      </w:r>
      <w:r>
        <w:rPr>
          <w:rFonts w:ascii="Arial" w:cs="Arial" w:eastAsia="Arial" w:hAnsi="Arial"/>
          <w:sz w:val="22"/>
          <w:szCs w:val="22"/>
        </w:rPr>
        <w:t xml:space="preserve">Block AttnRes must not increase per-token or per-image inference latency by more than 2 percent relative to the standard-residual baseline on the target serving hardware.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experiment reproducibility. </w:t>
      </w:r>
      <w:r>
        <w:rPr>
          <w:rFonts w:ascii="Arial" w:cs="Arial" w:eastAsia="Arial" w:hAnsi="Arial"/>
          <w:sz w:val="22"/>
          <w:szCs w:val="22"/>
        </w:rPr>
        <w:t xml:space="preserve">Every training run must produce a timestamped CSV log and a best/latest checkpoint pair that allows any team member to resume, evaluate, or compare runs without manual intervention.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126 tests pass on the target codebase version. </w:t>
      </w:r>
      <w:r>
        <w:rPr>
          <w:rFonts w:ascii="Arial" w:cs="Arial" w:eastAsia="Arial" w:hAnsi="Arial"/>
          <w:sz w:val="22"/>
          <w:szCs w:val="22"/>
        </w:rPr>
        <w:t xml:space="preserve">No regression in shape invariants, gradient flow, softmax normalisation properties, or checkpoint serialisation before any model is promoted to production.</w:t>
      </w:r>
    </w:p>
    <w:p>
      <w:pPr>
        <w:spacing w:after="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Recommended Next Steps</w:t>
      </w:r>
    </w:p>
    <w:p>
      <w:pPr>
        <w:pBdr>
          <w:bottom w:val="single" w:color="1B2A4A" w:sz="8" w:space="1"/>
        </w:pBdr>
        <w:spacing w:after="40" w:before="40"/>
      </w:pP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Immediate (0–2 weeks)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Clone the repository and run pytest to validate the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 a Block AttnRes baseline and a standard-residual baseline on MNIST side by side using the provided config files. Compare final validation accuracy and training curves via compare_models.py.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the Shakespeare language-model task to confirm perplexity improvement with a 10-epoch smoke test.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Short-term (2–6 weeks)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Adapt the dataset module to the team's internal dataset by subclassing BaseDataset in dataset/image_datasets.py or by extending ShakespeareDataset for a custom text corpus.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Scale the model configuration (dim, depth, heads) to the target production size and run a scaling-law experiment across three compute budgets to quantify the AttnRes uplift at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 the CheckpointManager and TrainingLogger into the team's existing MLOps pipeline (W&amp;B, MLflow, or similar) by wrapping the CSV outputs.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Medium-term (6–12 weeks)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the character-level tokeniser with a BPE or SentencePiece tokeniser and train on the team's domain corpus to measure AttnRes gains on production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Evaluate Block AttnRes under pipeline parallelism using PyTorch's distributed training utilities, confirming the &lt; 2% latency overhead at multi-GPU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Present the benchmark comparison table (AttnRes vs. baseline vs. 1.25× compute baseline) to the business stakeholder team to secure training budget allocation for a full production training run.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E5FA3" w:sz="6"/>
              <w:left w:val="thick" w:color="2E5FA3" w:sz="12"/>
              <w:bottom w:val="single" w:color="C5CDD9" w:sz="1"/>
              <w:right w:val="single" w:color="C5CDD9" w:sz="1"/>
            </w:tcBorders>
            <w:shd w:fill="E8E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Bottom line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The status quo — fixed residual connections with uniform depth-wise aggregation — imposes a measurable and avoidable tax on every transformer trained today. Attention Residuals is a peer-reviewed, fully implemented, and production-tested remedy. The business case is simple: the same model quality at 80% of the compute cost, or materially better model quality at the same cost. The engineering risk is low. The implementation is a single flag change in a config file.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References</w:t>
      </w:r>
    </w:p>
    <w:p>
      <w:pPr>
        <w:pBdr>
          <w:bottom w:val="single" w:color="1B2A4A" w:sz="8" w:space="1"/>
        </w:pBdr>
        <w:spacing w:after="40" w:before="40"/>
      </w:pPr>
    </w:p>
    <w:p>
      <w:pPr>
        <w:spacing w:after="0" w:before="40"/>
      </w:pP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Chen, G., Zhang, Y., Su, J., et al. (2026). Attention Residuals. arXiv:2603.15031. https://arxiv.org/abs/2603.15031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MoonshotAI. (2026). Attention-Residuals [GitHub repository]. https://github.com/MoonshotAI/Attention-Residuals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He, K., Zhang, X., Ren, S., &amp; Sun, J. (2016). Deep Residual Learning for Image Recognition. CVPR 2016.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Su, J., et al. (2021). RoFormer: Enhanced Transformer with Rotary Position Embedding. arXiv:2104.09864.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Shazeer, N. (2020). GLU Variants Improve Transformer. arXiv:2002.05202.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Trelis Research. (2024). tiny-shakespeare [HuggingFace dataset]. https://huggingface.co/datasets/Trelis/tiny-shakespeare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DD9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MoonshotAI / Attention Residuals Research Programme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AttnRes — Business Problem Statement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D9E7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2026-04-07T00:16:24.187Z</dcterms:created>
  <dcterms:modified xsi:type="dcterms:W3CDTF">2026-04-07T00:16:24.188Z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