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End-to-End Research Plan</w:t>
      </w:r>
    </w:p>
    <w:p>
      <w:pPr>
        <w:spacing w:after="40"/>
        <w:jc w:val="left"/>
      </w:pPr>
      <w:r>
        <w:rPr>
          <w:rFonts w:ascii="Arial" w:hAnsi="Arial"/>
          <w:b/>
          <w:color w:val="1F3A5F"/>
          <w:sz w:val="36"/>
        </w:rPr>
        <w:t>Urban accessibility and Airbnb asking prices</w:t>
      </w:r>
    </w:p>
    <w:p>
      <w:pPr>
        <w:pStyle w:val="Subtitle"/>
        <w:spacing w:after="280"/>
      </w:pPr>
      <w:r>
        <w:t>Complete rerun with within-city prediction and pairwise cross-city transfer</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2016"/>
            <w:shd w:fill="EAF1F8"/>
            <w:tcMar>
              <w:top w:w="90" w:type="dxa"/>
              <w:start w:w="90" w:type="dxa"/>
              <w:bottom w:w="90" w:type="dxa"/>
              <w:end w:w="90" w:type="dxa"/>
            </w:tcMar>
            <w:vAlign w:val="center"/>
          </w:tcPr>
          <w:p>
            <w:pPr>
              <w:spacing w:after="0"/>
            </w:pPr>
            <w:r>
              <w:rPr>
                <w:rFonts w:ascii="Arial" w:hAnsi="Arial"/>
                <w:b/>
                <w:color w:val="1F3A5F"/>
                <w:sz w:val="18"/>
              </w:rPr>
              <w:t>Programme</w:t>
            </w:r>
          </w:p>
        </w:tc>
        <w:tc>
          <w:tcPr>
            <w:tcW w:type="dxa" w:w="8064"/>
            <w:shd w:fill="EAF1F8"/>
            <w:tcMar>
              <w:top w:w="90" w:type="dxa"/>
              <w:start w:w="90" w:type="dxa"/>
              <w:bottom w:w="90" w:type="dxa"/>
              <w:end w:w="90" w:type="dxa"/>
            </w:tcMar>
            <w:vAlign w:val="center"/>
          </w:tcPr>
          <w:p>
            <w:pPr>
              <w:spacing w:after="0"/>
            </w:pPr>
            <w:r>
              <w:rPr>
                <w:rFonts w:ascii="Arial" w:hAnsi="Arial"/>
                <w:b w:val="0"/>
                <w:color w:val="263238"/>
                <w:sz w:val="18"/>
              </w:rPr>
              <w:t>MSc Social Data Science · University of Copenhagen</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sz w:val="18"/>
              </w:rPr>
              <w:t>Date</w:t>
            </w:r>
          </w:p>
        </w:tc>
        <w:tc>
          <w:tcPr>
            <w:tcW w:type="dxa" w:w="8064"/>
            <w:tcMar>
              <w:top w:w="90" w:type="dxa"/>
              <w:start w:w="90" w:type="dxa"/>
              <w:bottom w:w="90" w:type="dxa"/>
              <w:end w:w="90" w:type="dxa"/>
            </w:tcMar>
            <w:vAlign w:val="top"/>
          </w:tcPr>
          <w:p>
            <w:pPr>
              <w:spacing w:after="0" w:line="240" w:lineRule="auto"/>
            </w:pPr>
            <w:r>
              <w:rPr>
                <w:rFonts w:ascii="Arial" w:hAnsi="Arial"/>
                <w:b w:val="0"/>
                <w:sz w:val="18"/>
              </w:rPr>
              <w:t>13 October 2026</w:t>
            </w:r>
          </w:p>
        </w:tc>
      </w:tr>
      <w:tr>
        <w:trPr>
          <w:cantSplit/>
        </w:trPr>
        <w:tc>
          <w:tcPr>
            <w:tcW w:type="dxa" w:w="2016"/>
            <w:shd w:fill="F5F7FA"/>
            <w:tcMar>
              <w:top w:w="90" w:type="dxa"/>
              <w:start w:w="90" w:type="dxa"/>
              <w:bottom w:w="90" w:type="dxa"/>
              <w:end w:w="90" w:type="dxa"/>
            </w:tcMar>
            <w:vAlign w:val="top"/>
          </w:tcPr>
          <w:p>
            <w:pPr>
              <w:spacing w:after="0" w:line="240" w:lineRule="auto"/>
            </w:pPr>
            <w:r>
              <w:rPr>
                <w:rFonts w:ascii="Arial" w:hAnsi="Arial"/>
                <w:b/>
                <w:sz w:val="18"/>
              </w:rPr>
              <w:t>Status</w:t>
            </w:r>
          </w:p>
        </w:tc>
        <w:tc>
          <w:tcPr>
            <w:tcW w:type="dxa" w:w="8064"/>
            <w:shd w:fill="F5F7FA"/>
            <w:tcMar>
              <w:top w:w="90" w:type="dxa"/>
              <w:start w:w="90" w:type="dxa"/>
              <w:bottom w:w="90" w:type="dxa"/>
              <w:end w:w="90" w:type="dxa"/>
            </w:tcMar>
            <w:vAlign w:val="top"/>
          </w:tcPr>
          <w:p>
            <w:pPr>
              <w:spacing w:after="0" w:line="240" w:lineRule="auto"/>
            </w:pPr>
            <w:r>
              <w:rPr>
                <w:rFonts w:ascii="Arial" w:hAnsi="Arial"/>
                <w:b w:val="0"/>
                <w:sz w:val="18"/>
              </w:rPr>
              <w:t>Review draft before implementation</w:t>
            </w:r>
          </w:p>
        </w:tc>
      </w:tr>
    </w:tbl>
    <w:p>
      <w:pPr>
        <w:spacing w:after="0"/>
      </w:pPr>
    </w:p>
    <w:p>
      <w:pPr>
        <w:spacing w:after="0"/>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9994"/>
      </w:tblGrid>
      <w:tr>
        <w:tc>
          <w:tcPr>
            <w:tcW w:type="dxa" w:w="9994"/>
            <w:shd w:fill="EAF1F8"/>
            <w:tcMar>
              <w:top w:w="120" w:type="dxa"/>
              <w:start w:w="140" w:type="dxa"/>
              <w:bottom w:w="120" w:type="dxa"/>
              <w:end w:w="140" w:type="dxa"/>
            </w:tcMar>
          </w:tcPr>
          <w:p>
            <w:pPr>
              <w:spacing w:after="40"/>
            </w:pPr>
            <w:r>
              <w:rPr>
                <w:rFonts w:ascii="Arial" w:hAnsi="Arial"/>
                <w:b/>
                <w:color w:val="1F3A5F"/>
                <w:sz w:val="19"/>
              </w:rPr>
              <w:t xml:space="preserve">Core design.  </w:t>
            </w:r>
            <w:r>
              <w:rPr>
                <w:rFonts w:ascii="Arial" w:hAnsi="Arial"/>
                <w:sz w:val="19"/>
              </w:rPr>
              <w:t>Preserve completed work and Git history, reuse verified raw source bytes and existing code where scientifically valid, but rerun every derived analytical stage for Copenhagen, Oslo and Stockholm under one approved specification.</w:t>
            </w:r>
          </w:p>
        </w:tc>
      </w:tr>
    </w:tbl>
    <w:p>
      <w:pPr>
        <w:spacing w:after="0"/>
      </w:pPr>
    </w:p>
    <w:p>
      <w:pPr>
        <w:pStyle w:val="Heading2"/>
        <w:spacing w:before="140" w:after="80"/>
        <w:keepNext/>
      </w:pPr>
      <w:r>
        <w:t>Research contract</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9994"/>
      </w:tblGrid>
      <w:tr>
        <w:tc>
          <w:tcPr>
            <w:tcW w:type="dxa" w:w="9994"/>
            <w:shd w:fill="EAF1F8"/>
            <w:tcMar>
              <w:top w:w="120" w:type="dxa"/>
              <w:start w:w="140" w:type="dxa"/>
              <w:bottom w:w="120" w:type="dxa"/>
              <w:end w:w="140" w:type="dxa"/>
            </w:tcMar>
          </w:tcPr>
          <w:p>
            <w:pPr>
              <w:spacing w:after="40"/>
            </w:pPr>
            <w:r>
              <w:rPr>
                <w:rFonts w:ascii="Arial" w:hAnsi="Arial"/>
                <w:b/>
                <w:color w:val="1F3A5F"/>
                <w:sz w:val="19"/>
              </w:rPr>
              <w:t xml:space="preserve">Core rule.  </w:t>
            </w:r>
            <w:r>
              <w:rPr>
                <w:rFonts w:ascii="Arial" w:hAnsi="Arial"/>
                <w:sz w:val="19"/>
              </w:rPr>
              <w:t>Preserve all completed work and Git history, reuse verified raw source bytes and existing code where possible, but rerun every derived analytical stage. Previously fitted models, folds, feature tables, transfer predictions and final figures are not reused as final evidence.</w:t>
            </w:r>
          </w:p>
        </w:tc>
      </w:tr>
    </w:tbl>
    <w:p>
      <w:pPr>
        <w:spacing w:after="0"/>
      </w:pPr>
    </w:p>
    <w:p>
      <w:pPr>
        <w:spacing w:before="0" w:after="120" w:line="259" w:lineRule="auto"/>
      </w:pPr>
      <w:r>
        <w:rPr>
          <w:rFonts w:ascii="Arial" w:hAnsi="Arial"/>
          <w:sz w:val="20"/>
        </w:rPr>
        <w:t>Repository implementation remains on Git branch v4. The branch is the only intentional version marker. Active folders, files, run identifiers, outputs and report names use functional or dated names rather than v- or a-prefixed labels. Historical work is preserved through Git history and descriptive archive locations, not through an expanding set of version-labelled active namespaces.</w:t>
      </w:r>
    </w:p>
    <w:p>
      <w:pPr>
        <w:spacing w:before="0" w:after="120" w:line="259" w:lineRule="auto"/>
      </w:pPr>
      <w:r>
        <w:rPr>
          <w:rFonts w:ascii="Arial" w:hAnsi="Arial"/>
          <w:sz w:val="20"/>
        </w:rPr>
        <w:t>Throughout this plan, “Copenhagen” denotes the combined Copenhagen and Frederiksberg study area used in the project.</w:t>
      </w:r>
    </w:p>
    <w:p>
      <w:pPr>
        <w:pStyle w:val="Heading1"/>
        <w:spacing w:before="200" w:after="80"/>
        <w:keepNext/>
      </w:pPr>
      <w:r>
        <w:t>1. Final decisions to approve before implementation</w:t>
      </w:r>
    </w:p>
    <w:p>
      <w:pPr>
        <w:spacing w:before="0" w:after="120" w:line="259" w:lineRule="auto"/>
      </w:pPr>
      <w:r>
        <w:rPr>
          <w:rFonts w:ascii="Arial" w:hAnsi="Arial"/>
          <w:sz w:val="20"/>
        </w:rPr>
        <w:t>Do not begin the empirical rerun until the following decisions are accepted as the active scientific specification. Any later change is recorded prospectively in the decision log and must not rewrite the pre-fit history.</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3096"/>
            <w:shd w:fill="1F3A5F"/>
            <w:tcMar>
              <w:top w:w="90" w:type="dxa"/>
              <w:start w:w="90" w:type="dxa"/>
              <w:bottom w:w="90" w:type="dxa"/>
              <w:end w:w="90" w:type="dxa"/>
            </w:tcMar>
            <w:vAlign w:val="center"/>
          </w:tcPr>
          <w:p>
            <w:pPr>
              <w:spacing w:after="0"/>
              <w:jc w:val="left"/>
            </w:pPr>
            <w:r>
              <w:rPr>
                <w:rFonts w:ascii="Arial" w:hAnsi="Arial"/>
                <w:b/>
                <w:color w:val="FFFFFF"/>
                <w:sz w:val="17"/>
              </w:rPr>
              <w:t>Decision</w:t>
            </w:r>
          </w:p>
        </w:tc>
        <w:tc>
          <w:tcPr>
            <w:tcW w:type="dxa" w:w="6984"/>
            <w:shd w:fill="1F3A5F"/>
            <w:tcMar>
              <w:top w:w="90" w:type="dxa"/>
              <w:start w:w="90" w:type="dxa"/>
              <w:bottom w:w="90" w:type="dxa"/>
              <w:end w:w="90" w:type="dxa"/>
            </w:tcMar>
            <w:vAlign w:val="center"/>
          </w:tcPr>
          <w:p>
            <w:pPr>
              <w:spacing w:after="0"/>
              <w:jc w:val="left"/>
            </w:pPr>
            <w:r>
              <w:rPr>
                <w:rFonts w:ascii="Arial" w:hAnsi="Arial"/>
                <w:b/>
                <w:color w:val="FFFFFF"/>
                <w:sz w:val="17"/>
              </w:rPr>
              <w:t>Approved design</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Cities</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Copenhagen, Oslo and Stockholm.</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Observation period</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Inside Airbnb batch dated 30 June 2026 for all three cities.</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Within-city outcome</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Natural log of positive observed advertised nightly price in the city’s native currency.</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Cross-city outcome</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City-relative log price: log(price) minus a frozen city benchmark mean log price; used only for transfer experiments.</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Primary model ladder</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M0, ME, MW and MEW.</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District income</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Removed from all active models and required robustness runs.</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Residential property price</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Out of scope.</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Population density</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Retained using official population totals harmonized to the operational neighbourhood groups.</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Primary geographic validation</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Inside Airbnb neighbourhood groups: 11 Copenhagen, 17 Oslo, 11 derived Stockholm groups.</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Cross-city transfer</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Six pairwise directional source→target tests; never pool two cities for the primary transfer experiment.</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Accessibility source</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OpenStreetMap for pedestrian network, transport stops, amenities and civic-centre anchors.</w:t>
            </w:r>
          </w:p>
        </w:tc>
      </w:tr>
      <w:tr>
        <w:trPr>
          <w:cantSplit/>
        </w:trPr>
        <w:tc>
          <w:tcPr>
            <w:tcW w:type="dxa" w:w="3096"/>
            <w:shd w:fill="F5F7FA"/>
            <w:tcMar>
              <w:top w:w="90" w:type="dxa"/>
              <w:start w:w="90" w:type="dxa"/>
              <w:bottom w:w="90" w:type="dxa"/>
              <w:end w:w="90" w:type="dxa"/>
            </w:tcMar>
            <w:vAlign w:val="top"/>
          </w:tcPr>
          <w:p>
            <w:pPr>
              <w:spacing w:after="0" w:line="240" w:lineRule="auto"/>
            </w:pPr>
            <w:r>
              <w:rPr>
                <w:rFonts w:ascii="Arial" w:hAnsi="Arial"/>
                <w:b/>
                <w:sz w:val="17"/>
              </w:rPr>
              <w:t>Minimum outer test support</w:t>
            </w:r>
          </w:p>
        </w:tc>
        <w:tc>
          <w:tcPr>
            <w:tcW w:type="dxa" w:w="6984"/>
            <w:shd w:fill="F5F7FA"/>
            <w:tcMar>
              <w:top w:w="90" w:type="dxa"/>
              <w:start w:w="90" w:type="dxa"/>
              <w:bottom w:w="90" w:type="dxa"/>
              <w:end w:w="90" w:type="dxa"/>
            </w:tcMar>
            <w:vAlign w:val="top"/>
          </w:tcPr>
          <w:p>
            <w:pPr>
              <w:spacing w:after="0" w:line="240" w:lineRule="auto"/>
            </w:pPr>
            <w:r>
              <w:rPr>
                <w:rFonts w:ascii="Arial" w:hAnsi="Arial"/>
                <w:b w:val="0"/>
                <w:sz w:val="17"/>
              </w:rPr>
              <w:t>15 final common-sample observations; complementary training set at least 500.</w:t>
            </w:r>
          </w:p>
        </w:tc>
      </w:tr>
      <w:tr>
        <w:trPr>
          <w:cantSplit/>
        </w:trPr>
        <w:tc>
          <w:tcPr>
            <w:tcW w:type="dxa" w:w="3096"/>
            <w:tcMar>
              <w:top w:w="90" w:type="dxa"/>
              <w:start w:w="90" w:type="dxa"/>
              <w:bottom w:w="90" w:type="dxa"/>
              <w:end w:w="90" w:type="dxa"/>
            </w:tcMar>
            <w:vAlign w:val="top"/>
          </w:tcPr>
          <w:p>
            <w:pPr>
              <w:spacing w:after="0" w:line="240" w:lineRule="auto"/>
            </w:pPr>
            <w:r>
              <w:rPr>
                <w:rFonts w:ascii="Arial" w:hAnsi="Arial"/>
                <w:b/>
                <w:sz w:val="17"/>
              </w:rPr>
              <w:t>Rerun policy</w:t>
            </w:r>
          </w:p>
        </w:tc>
        <w:tc>
          <w:tcPr>
            <w:tcW w:type="dxa" w:w="6984"/>
            <w:tcMar>
              <w:top w:w="90" w:type="dxa"/>
              <w:start w:w="90" w:type="dxa"/>
              <w:bottom w:w="90" w:type="dxa"/>
              <w:end w:w="90" w:type="dxa"/>
            </w:tcMar>
            <w:vAlign w:val="top"/>
          </w:tcPr>
          <w:p>
            <w:pPr>
              <w:spacing w:after="0" w:line="240" w:lineRule="auto"/>
            </w:pPr>
            <w:r>
              <w:rPr>
                <w:rFonts w:ascii="Arial" w:hAnsi="Arial"/>
                <w:b w:val="0"/>
                <w:sz w:val="17"/>
              </w:rPr>
              <w:t>Recompute all derived analytical objects for all three cities, including Copenhagen.</w:t>
            </w:r>
          </w:p>
        </w:tc>
      </w:tr>
    </w:tbl>
    <w:p>
      <w:pPr>
        <w:spacing w:after="0"/>
      </w:pPr>
    </w:p>
    <w:p>
      <w:pPr>
        <w:pStyle w:val="Heading1"/>
        <w:spacing w:before="200" w:after="80"/>
        <w:keepNext/>
      </w:pPr>
      <w:r>
        <w:t>2. Preserve the repository, simplify the active namespace</w:t>
      </w:r>
    </w:p>
    <w:p>
      <w:pPr>
        <w:pStyle w:val="Heading2"/>
        <w:spacing w:before="140" w:after="80"/>
        <w:keepNext/>
      </w:pPr>
      <w:r>
        <w:t>2.1 Preservation rules</w:t>
      </w:r>
    </w:p>
    <w:p>
      <w:pPr>
        <w:pStyle w:val="ListBullet"/>
        <w:spacing w:after="60" w:line="252" w:lineRule="auto"/>
      </w:pPr>
      <w:r>
        <w:t>Do not reset the project to main, delete previous commits, force-push, rewrite history or overwrite historical source receipts.</w:t>
      </w:r>
    </w:p>
    <w:p>
      <w:pPr>
        <w:pStyle w:val="ListBullet"/>
        <w:spacing w:after="60" w:line="252" w:lineRule="auto"/>
      </w:pPr>
      <w:r>
        <w:t>Preserve raw Inside Airbnb files, population extracts, previously acquired geographic evidence, source checksums and feasibility reports.</w:t>
      </w:r>
    </w:p>
    <w:p>
      <w:pPr>
        <w:pStyle w:val="ListBullet"/>
        <w:spacing w:after="60" w:line="252" w:lineRule="auto"/>
      </w:pPr>
      <w:r>
        <w:t>Preserve earlier Copenhagen results and housing/income investigations as historical evidence, but remove them from active scientific dependencies.</w:t>
      </w:r>
    </w:p>
    <w:p>
      <w:pPr>
        <w:pStyle w:val="ListBullet"/>
        <w:spacing w:after="60" w:line="252" w:lineRule="auto"/>
      </w:pPr>
      <w:r>
        <w:t>Reuse working code modules, SQL logic, tests, source adapters, destination taxonomy, candidate list and deterministic seeds wherever they remain scientifically valid.</w:t>
      </w:r>
    </w:p>
    <w:p>
      <w:pPr>
        <w:pStyle w:val="ListBullet"/>
        <w:spacing w:after="60" w:line="252" w:lineRule="auto"/>
      </w:pPr>
      <w:r>
        <w:t>Any code correction affecting scientific outputs requires the affected derived stages to be rerun for every relevant city/task, not only the city in which the bug is discovered.</w:t>
      </w:r>
    </w:p>
    <w:p>
      <w:pPr>
        <w:pStyle w:val="Heading2"/>
        <w:spacing w:before="140" w:after="80"/>
        <w:keepNext/>
      </w:pPr>
      <w:r>
        <w:t>2.2 Namespace cleanup</w:t>
      </w:r>
    </w:p>
    <w:p>
      <w:pPr>
        <w:spacing w:before="0" w:after="120" w:line="259" w:lineRule="auto"/>
      </w:pPr>
      <w:r>
        <w:rPr>
          <w:rFonts w:ascii="Arial" w:hAnsi="Arial"/>
          <w:sz w:val="20"/>
        </w:rPr>
        <w:t>After the proposal and this plan are approved, audit the current repository and migrate active paths from version-labelled namespaces to functional names using Git moves wherever possible. Do not rewrite modules from scratch merely to obtain cleaner paths. Resolve collisions deliberately and keep compatibility shims only as long as needed to complete the migration.</w:t>
      </w:r>
    </w:p>
    <w:p>
      <w:pPr>
        <w:spacing w:before="0" w:after="120" w:line="259" w:lineRule="auto"/>
      </w:pPr>
      <w:r>
        <w:rPr>
          <w:rFonts w:ascii="Arial" w:hAnsi="Arial"/>
          <w:sz w:val="20"/>
        </w:rPr>
        <w:t>Do not encode a scientific version in run IDs. Use city, purpose and UTC timestamp, for example oslo_primary_20261013T120000Z or copenhagen_to_oslo_transfer_20261013T150000Z. Persist the Git commit SHA, research-design hash, source hashes and environment hash as provenance instead.</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2952"/>
            <w:shd w:fill="1F3A5F"/>
            <w:tcMar>
              <w:top w:w="90" w:type="dxa"/>
              <w:start w:w="90" w:type="dxa"/>
              <w:bottom w:w="90" w:type="dxa"/>
              <w:end w:w="90" w:type="dxa"/>
            </w:tcMar>
            <w:vAlign w:val="center"/>
          </w:tcPr>
          <w:p>
            <w:pPr>
              <w:spacing w:after="0"/>
              <w:jc w:val="left"/>
            </w:pPr>
            <w:r>
              <w:rPr>
                <w:rFonts w:ascii="Arial" w:hAnsi="Arial"/>
                <w:b/>
                <w:color w:val="FFFFFF"/>
                <w:sz w:val="16"/>
              </w:rPr>
              <w:t>Purpose</w:t>
            </w:r>
          </w:p>
        </w:tc>
        <w:tc>
          <w:tcPr>
            <w:tcW w:type="dxa" w:w="7128"/>
            <w:shd w:fill="1F3A5F"/>
            <w:tcMar>
              <w:top w:w="90" w:type="dxa"/>
              <w:start w:w="90" w:type="dxa"/>
              <w:bottom w:w="90" w:type="dxa"/>
              <w:end w:w="90" w:type="dxa"/>
            </w:tcMar>
            <w:vAlign w:val="center"/>
          </w:tcPr>
          <w:p>
            <w:pPr>
              <w:spacing w:after="0"/>
              <w:jc w:val="left"/>
            </w:pPr>
            <w:r>
              <w:rPr>
                <w:rFonts w:ascii="Arial" w:hAnsi="Arial"/>
                <w:b/>
                <w:color w:val="FFFFFF"/>
                <w:sz w:val="16"/>
              </w:rPr>
              <w:t>Target active pattern (illustrative)</w:t>
            </w:r>
          </w:p>
        </w:tc>
      </w:tr>
      <w:tr>
        <w:trPr>
          <w:cantSplit/>
        </w:trPr>
        <w:tc>
          <w:tcPr>
            <w:tcW w:type="dxa" w:w="2952"/>
            <w:tcMar>
              <w:top w:w="90" w:type="dxa"/>
              <w:start w:w="90" w:type="dxa"/>
              <w:bottom w:w="90" w:type="dxa"/>
              <w:end w:w="90" w:type="dxa"/>
            </w:tcMar>
            <w:vAlign w:val="top"/>
          </w:tcPr>
          <w:p>
            <w:pPr>
              <w:spacing w:after="0" w:line="240" w:lineRule="auto"/>
            </w:pPr>
            <w:r>
              <w:rPr>
                <w:rFonts w:ascii="Arial" w:hAnsi="Arial"/>
                <w:b/>
                <w:sz w:val="16"/>
              </w:rPr>
              <w:t>Scientific configuration</w:t>
            </w:r>
          </w:p>
        </w:tc>
        <w:tc>
          <w:tcPr>
            <w:tcW w:type="dxa" w:w="7128"/>
            <w:tcMar>
              <w:top w:w="90" w:type="dxa"/>
              <w:start w:w="90" w:type="dxa"/>
              <w:bottom w:w="90" w:type="dxa"/>
              <w:end w:w="90" w:type="dxa"/>
            </w:tcMar>
            <w:vAlign w:val="top"/>
          </w:tcPr>
          <w:p>
            <w:pPr>
              <w:spacing w:after="0" w:line="240" w:lineRule="auto"/>
            </w:pPr>
            <w:r>
              <w:rPr>
                <w:rFonts w:ascii="Arial" w:hAnsi="Arial"/>
                <w:b w:val="0"/>
                <w:sz w:val="16"/>
              </w:rPr>
              <w:t>config/research_design.json; config/cities.json; config/xgboost_candidates.json</w:t>
            </w:r>
          </w:p>
        </w:tc>
      </w:tr>
      <w:tr>
        <w:trPr>
          <w:cantSplit/>
        </w:trPr>
        <w:tc>
          <w:tcPr>
            <w:tcW w:type="dxa" w:w="2952"/>
            <w:shd w:fill="F5F7FA"/>
            <w:tcMar>
              <w:top w:w="90" w:type="dxa"/>
              <w:start w:w="90" w:type="dxa"/>
              <w:bottom w:w="90" w:type="dxa"/>
              <w:end w:w="90" w:type="dxa"/>
            </w:tcMar>
            <w:vAlign w:val="top"/>
          </w:tcPr>
          <w:p>
            <w:pPr>
              <w:spacing w:after="0" w:line="240" w:lineRule="auto"/>
            </w:pPr>
            <w:r>
              <w:rPr>
                <w:rFonts w:ascii="Arial" w:hAnsi="Arial"/>
                <w:b/>
                <w:sz w:val="16"/>
              </w:rPr>
              <w:t>Documentation</w:t>
            </w:r>
          </w:p>
        </w:tc>
        <w:tc>
          <w:tcPr>
            <w:tcW w:type="dxa" w:w="7128"/>
            <w:shd w:fill="F5F7FA"/>
            <w:tcMar>
              <w:top w:w="90" w:type="dxa"/>
              <w:start w:w="90" w:type="dxa"/>
              <w:bottom w:w="90" w:type="dxa"/>
              <w:end w:w="90" w:type="dxa"/>
            </w:tcMar>
            <w:vAlign w:val="top"/>
          </w:tcPr>
          <w:p>
            <w:pPr>
              <w:spacing w:after="0" w:line="240" w:lineRule="auto"/>
            </w:pPr>
            <w:r>
              <w:rPr>
                <w:rFonts w:ascii="Arial" w:hAnsi="Arial"/>
                <w:b w:val="0"/>
                <w:sz w:val="16"/>
              </w:rPr>
              <w:t>docs/scientific_proposal.docx; docs/end_to_end_research_plan.docx; docs/preanalysis_specification.md; docs/decision_log.md</w:t>
            </w:r>
          </w:p>
        </w:tc>
      </w:tr>
      <w:tr>
        <w:trPr>
          <w:cantSplit/>
        </w:trPr>
        <w:tc>
          <w:tcPr>
            <w:tcW w:type="dxa" w:w="2952"/>
            <w:tcMar>
              <w:top w:w="90" w:type="dxa"/>
              <w:start w:w="90" w:type="dxa"/>
              <w:bottom w:w="90" w:type="dxa"/>
              <w:end w:w="90" w:type="dxa"/>
            </w:tcMar>
            <w:vAlign w:val="top"/>
          </w:tcPr>
          <w:p>
            <w:pPr>
              <w:spacing w:after="0" w:line="240" w:lineRule="auto"/>
            </w:pPr>
            <w:r>
              <w:rPr>
                <w:rFonts w:ascii="Arial" w:hAnsi="Arial"/>
                <w:b/>
                <w:sz w:val="16"/>
              </w:rPr>
              <w:t>Source code</w:t>
            </w:r>
          </w:p>
        </w:tc>
        <w:tc>
          <w:tcPr>
            <w:tcW w:type="dxa" w:w="7128"/>
            <w:tcMar>
              <w:top w:w="90" w:type="dxa"/>
              <w:start w:w="90" w:type="dxa"/>
              <w:bottom w:w="90" w:type="dxa"/>
              <w:end w:w="90" w:type="dxa"/>
            </w:tcMar>
            <w:vAlign w:val="top"/>
          </w:tcPr>
          <w:p>
            <w:pPr>
              <w:spacing w:after="0" w:line="240" w:lineRule="auto"/>
            </w:pPr>
            <w:r>
              <w:rPr>
                <w:rFonts w:ascii="Arial" w:hAnsi="Arial"/>
                <w:b w:val="0"/>
                <w:sz w:val="16"/>
              </w:rPr>
              <w:t>src/acquisition/, src/geography/, src/context/, src/accessibility/, src/modeling/, src/reporting/</w:t>
            </w:r>
          </w:p>
        </w:tc>
      </w:tr>
      <w:tr>
        <w:trPr>
          <w:cantSplit/>
        </w:trPr>
        <w:tc>
          <w:tcPr>
            <w:tcW w:type="dxa" w:w="2952"/>
            <w:shd w:fill="F5F7FA"/>
            <w:tcMar>
              <w:top w:w="90" w:type="dxa"/>
              <w:start w:w="90" w:type="dxa"/>
              <w:bottom w:w="90" w:type="dxa"/>
              <w:end w:w="90" w:type="dxa"/>
            </w:tcMar>
            <w:vAlign w:val="top"/>
          </w:tcPr>
          <w:p>
            <w:pPr>
              <w:spacing w:after="0" w:line="240" w:lineRule="auto"/>
            </w:pPr>
            <w:r>
              <w:rPr>
                <w:rFonts w:ascii="Arial" w:hAnsi="Arial"/>
                <w:b/>
                <w:sz w:val="16"/>
              </w:rPr>
              <w:t>SQL</w:t>
            </w:r>
          </w:p>
        </w:tc>
        <w:tc>
          <w:tcPr>
            <w:tcW w:type="dxa" w:w="7128"/>
            <w:shd w:fill="F5F7FA"/>
            <w:tcMar>
              <w:top w:w="90" w:type="dxa"/>
              <w:start w:w="90" w:type="dxa"/>
              <w:bottom w:w="90" w:type="dxa"/>
              <w:end w:w="90" w:type="dxa"/>
            </w:tcMar>
            <w:vAlign w:val="top"/>
          </w:tcPr>
          <w:p>
            <w:pPr>
              <w:spacing w:after="0" w:line="240" w:lineRule="auto"/>
            </w:pPr>
            <w:r>
              <w:rPr>
                <w:rFonts w:ascii="Arial" w:hAnsi="Arial"/>
                <w:b w:val="0"/>
                <w:sz w:val="16"/>
              </w:rPr>
              <w:t>sql/migrations/</w:t>
            </w:r>
          </w:p>
        </w:tc>
      </w:tr>
      <w:tr>
        <w:trPr>
          <w:cantSplit/>
        </w:trPr>
        <w:tc>
          <w:tcPr>
            <w:tcW w:type="dxa" w:w="2952"/>
            <w:tcMar>
              <w:top w:w="90" w:type="dxa"/>
              <w:start w:w="90" w:type="dxa"/>
              <w:bottom w:w="90" w:type="dxa"/>
              <w:end w:w="90" w:type="dxa"/>
            </w:tcMar>
            <w:vAlign w:val="top"/>
          </w:tcPr>
          <w:p>
            <w:pPr>
              <w:spacing w:after="0" w:line="240" w:lineRule="auto"/>
            </w:pPr>
            <w:r>
              <w:rPr>
                <w:rFonts w:ascii="Arial" w:hAnsi="Arial"/>
                <w:b/>
                <w:sz w:val="16"/>
              </w:rPr>
              <w:t>Raw data</w:t>
            </w:r>
          </w:p>
        </w:tc>
        <w:tc>
          <w:tcPr>
            <w:tcW w:type="dxa" w:w="7128"/>
            <w:tcMar>
              <w:top w:w="90" w:type="dxa"/>
              <w:start w:w="90" w:type="dxa"/>
              <w:bottom w:w="90" w:type="dxa"/>
              <w:end w:w="90" w:type="dxa"/>
            </w:tcMar>
            <w:vAlign w:val="top"/>
          </w:tcPr>
          <w:p>
            <w:pPr>
              <w:spacing w:after="0" w:line="240" w:lineRule="auto"/>
            </w:pPr>
            <w:r>
              <w:rPr>
                <w:rFonts w:ascii="Arial" w:hAnsi="Arial"/>
                <w:b w:val="0"/>
                <w:sz w:val="16"/>
              </w:rPr>
              <w:t>data/raw/&lt;source&gt;/&lt;city&gt;/&lt;date&gt;/</w:t>
            </w:r>
          </w:p>
        </w:tc>
      </w:tr>
      <w:tr>
        <w:trPr>
          <w:cantSplit/>
        </w:trPr>
        <w:tc>
          <w:tcPr>
            <w:tcW w:type="dxa" w:w="2952"/>
            <w:shd w:fill="F5F7FA"/>
            <w:tcMar>
              <w:top w:w="90" w:type="dxa"/>
              <w:start w:w="90" w:type="dxa"/>
              <w:bottom w:w="90" w:type="dxa"/>
              <w:end w:w="90" w:type="dxa"/>
            </w:tcMar>
            <w:vAlign w:val="top"/>
          </w:tcPr>
          <w:p>
            <w:pPr>
              <w:spacing w:after="0" w:line="240" w:lineRule="auto"/>
            </w:pPr>
            <w:r>
              <w:rPr>
                <w:rFonts w:ascii="Arial" w:hAnsi="Arial"/>
                <w:b/>
                <w:sz w:val="16"/>
              </w:rPr>
              <w:t>Derived data</w:t>
            </w:r>
          </w:p>
        </w:tc>
        <w:tc>
          <w:tcPr>
            <w:tcW w:type="dxa" w:w="7128"/>
            <w:shd w:fill="F5F7FA"/>
            <w:tcMar>
              <w:top w:w="90" w:type="dxa"/>
              <w:start w:w="90" w:type="dxa"/>
              <w:bottom w:w="90" w:type="dxa"/>
              <w:end w:w="90" w:type="dxa"/>
            </w:tcMar>
            <w:vAlign w:val="top"/>
          </w:tcPr>
          <w:p>
            <w:pPr>
              <w:spacing w:after="0" w:line="240" w:lineRule="auto"/>
            </w:pPr>
            <w:r>
              <w:rPr>
                <w:rFonts w:ascii="Arial" w:hAnsi="Arial"/>
                <w:b w:val="0"/>
                <w:sz w:val="16"/>
              </w:rPr>
              <w:t>data/processed/&lt;city&gt;/</w:t>
            </w:r>
          </w:p>
        </w:tc>
      </w:tr>
      <w:tr>
        <w:trPr>
          <w:cantSplit/>
        </w:trPr>
        <w:tc>
          <w:tcPr>
            <w:tcW w:type="dxa" w:w="2952"/>
            <w:tcMar>
              <w:top w:w="90" w:type="dxa"/>
              <w:start w:w="90" w:type="dxa"/>
              <w:bottom w:w="90" w:type="dxa"/>
              <w:end w:w="90" w:type="dxa"/>
            </w:tcMar>
            <w:vAlign w:val="top"/>
          </w:tcPr>
          <w:p>
            <w:pPr>
              <w:spacing w:after="0" w:line="240" w:lineRule="auto"/>
            </w:pPr>
            <w:r>
              <w:rPr>
                <w:rFonts w:ascii="Arial" w:hAnsi="Arial"/>
                <w:b/>
                <w:sz w:val="16"/>
              </w:rPr>
              <w:t>Outputs</w:t>
            </w:r>
          </w:p>
        </w:tc>
        <w:tc>
          <w:tcPr>
            <w:tcW w:type="dxa" w:w="7128"/>
            <w:tcMar>
              <w:top w:w="90" w:type="dxa"/>
              <w:start w:w="90" w:type="dxa"/>
              <w:bottom w:w="90" w:type="dxa"/>
              <w:end w:w="90" w:type="dxa"/>
            </w:tcMar>
            <w:vAlign w:val="top"/>
          </w:tcPr>
          <w:p>
            <w:pPr>
              <w:spacing w:after="0" w:line="240" w:lineRule="auto"/>
            </w:pPr>
            <w:r>
              <w:rPr>
                <w:rFonts w:ascii="Arial" w:hAnsi="Arial"/>
                <w:b w:val="0"/>
                <w:sz w:val="16"/>
              </w:rPr>
              <w:t>outputs/tables/, outputs/figures/, outputs/metrics/, outputs/models/, outputs/private_predictions/</w:t>
            </w:r>
          </w:p>
        </w:tc>
      </w:tr>
      <w:tr>
        <w:trPr>
          <w:cantSplit/>
        </w:trPr>
        <w:tc>
          <w:tcPr>
            <w:tcW w:type="dxa" w:w="2952"/>
            <w:shd w:fill="F5F7FA"/>
            <w:tcMar>
              <w:top w:w="90" w:type="dxa"/>
              <w:start w:w="90" w:type="dxa"/>
              <w:bottom w:w="90" w:type="dxa"/>
              <w:end w:w="90" w:type="dxa"/>
            </w:tcMar>
            <w:vAlign w:val="top"/>
          </w:tcPr>
          <w:p>
            <w:pPr>
              <w:spacing w:after="0" w:line="240" w:lineRule="auto"/>
            </w:pPr>
            <w:r>
              <w:rPr>
                <w:rFonts w:ascii="Arial" w:hAnsi="Arial"/>
                <w:b/>
                <w:sz w:val="16"/>
              </w:rPr>
              <w:t>Reports</w:t>
            </w:r>
          </w:p>
        </w:tc>
        <w:tc>
          <w:tcPr>
            <w:tcW w:type="dxa" w:w="7128"/>
            <w:shd w:fill="F5F7FA"/>
            <w:tcMar>
              <w:top w:w="90" w:type="dxa"/>
              <w:start w:w="90" w:type="dxa"/>
              <w:bottom w:w="90" w:type="dxa"/>
              <w:end w:w="90" w:type="dxa"/>
            </w:tcMar>
            <w:vAlign w:val="top"/>
          </w:tcPr>
          <w:p>
            <w:pPr>
              <w:spacing w:after="0" w:line="240" w:lineRule="auto"/>
            </w:pPr>
            <w:r>
              <w:rPr>
                <w:rFonts w:ascii="Arial" w:hAnsi="Arial"/>
                <w:b w:val="0"/>
                <w:sz w:val="16"/>
              </w:rPr>
              <w:t>reports/research_results.md and rendered derivatives</w:t>
            </w:r>
          </w:p>
        </w:tc>
      </w:tr>
      <w:tr>
        <w:trPr>
          <w:cantSplit/>
        </w:trPr>
        <w:tc>
          <w:tcPr>
            <w:tcW w:type="dxa" w:w="2952"/>
            <w:tcMar>
              <w:top w:w="90" w:type="dxa"/>
              <w:start w:w="90" w:type="dxa"/>
              <w:bottom w:w="90" w:type="dxa"/>
              <w:end w:w="90" w:type="dxa"/>
            </w:tcMar>
            <w:vAlign w:val="top"/>
          </w:tcPr>
          <w:p>
            <w:pPr>
              <w:spacing w:after="0" w:line="240" w:lineRule="auto"/>
            </w:pPr>
            <w:r>
              <w:rPr>
                <w:rFonts w:ascii="Arial" w:hAnsi="Arial"/>
                <w:b/>
                <w:sz w:val="16"/>
              </w:rPr>
              <w:t>Historical material</w:t>
            </w:r>
          </w:p>
        </w:tc>
        <w:tc>
          <w:tcPr>
            <w:tcW w:type="dxa" w:w="7128"/>
            <w:tcMar>
              <w:top w:w="90" w:type="dxa"/>
              <w:start w:w="90" w:type="dxa"/>
              <w:bottom w:w="90" w:type="dxa"/>
              <w:end w:w="90" w:type="dxa"/>
            </w:tcMar>
            <w:vAlign w:val="top"/>
          </w:tcPr>
          <w:p>
            <w:pPr>
              <w:spacing w:after="0" w:line="240" w:lineRule="auto"/>
            </w:pPr>
            <w:r>
              <w:rPr>
                <w:rFonts w:ascii="Arial" w:hAnsi="Arial"/>
                <w:b w:val="0"/>
                <w:sz w:val="16"/>
              </w:rPr>
              <w:t>archive/&lt;descriptive-purpose&gt;/&lt;date&gt;/</w:t>
            </w:r>
          </w:p>
        </w:tc>
      </w:tr>
    </w:tbl>
    <w:p>
      <w:pPr>
        <w:spacing w:after="0"/>
      </w:pPr>
    </w:p>
    <w:p>
      <w:pPr>
        <w:pStyle w:val="Heading1"/>
        <w:spacing w:before="200" w:after="80"/>
        <w:keepNext/>
      </w:pPr>
      <w:r>
        <w:t>3. Clean rerun environment</w:t>
      </w:r>
    </w:p>
    <w:p>
      <w:pPr>
        <w:pStyle w:val="Heading2"/>
        <w:spacing w:before="140" w:after="80"/>
        <w:keepNext/>
      </w:pPr>
      <w:r>
        <w:t>3.1 Fresh analytical state</w:t>
      </w:r>
    </w:p>
    <w:p>
      <w:pPr>
        <w:spacing w:before="0" w:after="120" w:line="259" w:lineRule="auto"/>
      </w:pPr>
      <w:r>
        <w:rPr>
          <w:rFonts w:ascii="Arial" w:hAnsi="Arial"/>
          <w:sz w:val="20"/>
        </w:rPr>
        <w:t>Provision a clean analytical database/schema under a generic name after the namespace refactor. The historical project database remains read-only evidence. Apply the active migrations from zero to the clean analytical state and verify idempotence. This allows the entire active pipeline to execute without carrying forward derived rows or completed-run state from earlier analyses.</w:t>
      </w:r>
    </w:p>
    <w:p>
      <w:pPr>
        <w:pStyle w:val="Heading2"/>
        <w:spacing w:before="140" w:after="80"/>
        <w:keepNext/>
      </w:pPr>
      <w:r>
        <w:t>3.2 Reuse versus regenerate</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31"/>
        <w:gridCol w:w="3331"/>
        <w:gridCol w:w="3331"/>
      </w:tblGrid>
      <w:tr>
        <w:trPr>
          <w:tblHeader w:val="true"/>
          <w:cantSplit/>
        </w:trPr>
        <w:tc>
          <w:tcPr>
            <w:tcW w:type="dxa" w:w="2736"/>
            <w:shd w:fill="1F3A5F"/>
            <w:tcMar>
              <w:top w:w="90" w:type="dxa"/>
              <w:start w:w="90" w:type="dxa"/>
              <w:bottom w:w="90" w:type="dxa"/>
              <w:end w:w="90" w:type="dxa"/>
            </w:tcMar>
            <w:vAlign w:val="center"/>
          </w:tcPr>
          <w:p>
            <w:pPr>
              <w:spacing w:after="0"/>
              <w:jc w:val="left"/>
            </w:pPr>
            <w:r>
              <w:rPr>
                <w:rFonts w:ascii="Arial" w:hAnsi="Arial"/>
                <w:b/>
                <w:color w:val="FFFFFF"/>
                <w:sz w:val="16"/>
              </w:rPr>
              <w:t>Object</w:t>
            </w:r>
          </w:p>
        </w:tc>
        <w:tc>
          <w:tcPr>
            <w:tcW w:type="dxa" w:w="1440"/>
            <w:shd w:fill="1F3A5F"/>
            <w:tcMar>
              <w:top w:w="90" w:type="dxa"/>
              <w:start w:w="90" w:type="dxa"/>
              <w:bottom w:w="90" w:type="dxa"/>
              <w:end w:w="90" w:type="dxa"/>
            </w:tcMar>
            <w:vAlign w:val="center"/>
          </w:tcPr>
          <w:p>
            <w:pPr>
              <w:spacing w:after="0"/>
              <w:jc w:val="left"/>
            </w:pPr>
            <w:r>
              <w:rPr>
                <w:rFonts w:ascii="Arial" w:hAnsi="Arial"/>
                <w:b/>
                <w:color w:val="FFFFFF"/>
                <w:sz w:val="16"/>
              </w:rPr>
              <w:t>Reuse?</w:t>
            </w:r>
          </w:p>
        </w:tc>
        <w:tc>
          <w:tcPr>
            <w:tcW w:type="dxa" w:w="5904"/>
            <w:shd w:fill="1F3A5F"/>
            <w:tcMar>
              <w:top w:w="90" w:type="dxa"/>
              <w:start w:w="90" w:type="dxa"/>
              <w:bottom w:w="90" w:type="dxa"/>
              <w:end w:w="90" w:type="dxa"/>
            </w:tcMar>
            <w:vAlign w:val="center"/>
          </w:tcPr>
          <w:p>
            <w:pPr>
              <w:spacing w:after="0"/>
              <w:jc w:val="left"/>
            </w:pPr>
            <w:r>
              <w:rPr>
                <w:rFonts w:ascii="Arial" w:hAnsi="Arial"/>
                <w:b/>
                <w:color w:val="FFFFFF"/>
                <w:sz w:val="16"/>
              </w:rPr>
              <w:t>Rule</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Raw Inside Airbnb files</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Yes</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Reuse only after SHA-256, schema and snapshot verification; do not redownload identical bytes for appearance’s sake.</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Official population raw files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Yes</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Reuse after source/query/hash verification.</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Source receipts and licences</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Yes</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Preserve and revalidate applicability.</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Source code and tests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Yes</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Refactor and reuse; rewrite only when necessary for the final design.</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OSM extracts</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Reacquire/freeze</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Use one final common snapshot policy; old extracts are reused only with proven identity.</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Geographic assignments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Recompute from the frozen operational neighbourhood mapping.</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Population density / centrality</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Regenerate under the final group and OSM-anchor rules.</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Accessibility features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Regenerate E and W for all three cities.</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City-relative price benchmark</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Recompute and freeze from the verified benchmark population.</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Analytical samples / folds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Freeze afresh after final features.</w:t>
            </w:r>
          </w:p>
        </w:tc>
      </w:tr>
      <w:tr>
        <w:trPr>
          <w:cantSplit/>
        </w:trPr>
        <w:tc>
          <w:tcPr>
            <w:tcW w:type="dxa" w:w="2736"/>
            <w:tcMar>
              <w:top w:w="90" w:type="dxa"/>
              <w:start w:w="90" w:type="dxa"/>
              <w:bottom w:w="90" w:type="dxa"/>
              <w:end w:w="90" w:type="dxa"/>
            </w:tcMar>
            <w:vAlign w:val="top"/>
          </w:tcPr>
          <w:p>
            <w:pPr>
              <w:spacing w:after="0" w:line="240" w:lineRule="auto"/>
            </w:pPr>
            <w:r>
              <w:rPr>
                <w:rFonts w:ascii="Arial" w:hAnsi="Arial"/>
                <w:b w:val="0"/>
                <w:sz w:val="16"/>
              </w:rPr>
              <w:t>Fitted models / predictions / SHAP</w:t>
            </w:r>
          </w:p>
        </w:tc>
        <w:tc>
          <w:tcPr>
            <w:tcW w:type="dxa" w:w="1440"/>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tcMar>
              <w:top w:w="90" w:type="dxa"/>
              <w:start w:w="90" w:type="dxa"/>
              <w:bottom w:w="90" w:type="dxa"/>
              <w:end w:w="90" w:type="dxa"/>
            </w:tcMar>
            <w:vAlign w:val="top"/>
          </w:tcPr>
          <w:p>
            <w:pPr>
              <w:spacing w:after="0" w:line="240" w:lineRule="auto"/>
            </w:pPr>
            <w:r>
              <w:rPr>
                <w:rFonts w:ascii="Arial" w:hAnsi="Arial"/>
                <w:b w:val="0"/>
                <w:sz w:val="16"/>
              </w:rPr>
              <w:t>Refit all four models for within-city tasks and refit source models for transfer tasks.</w:t>
            </w:r>
          </w:p>
        </w:tc>
      </w:tr>
      <w:tr>
        <w:trPr>
          <w:cantSplit/>
        </w:trPr>
        <w:tc>
          <w:tcPr>
            <w:tcW w:type="dxa" w:w="2736"/>
            <w:shd w:fill="F5F7FA"/>
            <w:tcMar>
              <w:top w:w="90" w:type="dxa"/>
              <w:start w:w="90" w:type="dxa"/>
              <w:bottom w:w="90" w:type="dxa"/>
              <w:end w:w="90" w:type="dxa"/>
            </w:tcMar>
            <w:vAlign w:val="top"/>
          </w:tcPr>
          <w:p>
            <w:pPr>
              <w:spacing w:after="0" w:line="240" w:lineRule="auto"/>
            </w:pPr>
            <w:r>
              <w:rPr>
                <w:rFonts w:ascii="Arial" w:hAnsi="Arial"/>
                <w:b w:val="0"/>
                <w:sz w:val="16"/>
              </w:rPr>
              <w:t>Tables / figures / reports</w:t>
            </w:r>
          </w:p>
        </w:tc>
        <w:tc>
          <w:tcPr>
            <w:tcW w:type="dxa" w:w="1440"/>
            <w:shd w:fill="F5F7FA"/>
            <w:tcMar>
              <w:top w:w="90" w:type="dxa"/>
              <w:start w:w="90" w:type="dxa"/>
              <w:bottom w:w="90" w:type="dxa"/>
              <w:end w:w="90" w:type="dxa"/>
            </w:tcMar>
            <w:vAlign w:val="top"/>
          </w:tcPr>
          <w:p>
            <w:pPr>
              <w:spacing w:after="0" w:line="240" w:lineRule="auto"/>
            </w:pPr>
            <w:r>
              <w:rPr>
                <w:rFonts w:ascii="Arial" w:hAnsi="Arial"/>
                <w:b w:val="0"/>
                <w:sz w:val="16"/>
              </w:rPr>
              <w:t>No</w:t>
            </w:r>
          </w:p>
        </w:tc>
        <w:tc>
          <w:tcPr>
            <w:tcW w:type="dxa" w:w="5904"/>
            <w:shd w:fill="F5F7FA"/>
            <w:tcMar>
              <w:top w:w="90" w:type="dxa"/>
              <w:start w:w="90" w:type="dxa"/>
              <w:bottom w:w="90" w:type="dxa"/>
              <w:end w:w="90" w:type="dxa"/>
            </w:tcMar>
            <w:vAlign w:val="top"/>
          </w:tcPr>
          <w:p>
            <w:pPr>
              <w:spacing w:after="0" w:line="240" w:lineRule="auto"/>
            </w:pPr>
            <w:r>
              <w:rPr>
                <w:rFonts w:ascii="Arial" w:hAnsi="Arial"/>
                <w:b w:val="0"/>
                <w:sz w:val="16"/>
              </w:rPr>
              <w:t>Regenerate from the new authoritative outputs.</w:t>
            </w:r>
          </w:p>
        </w:tc>
      </w:tr>
    </w:tbl>
    <w:p>
      <w:pPr>
        <w:spacing w:after="0"/>
      </w:pPr>
    </w:p>
    <w:p>
      <w:pPr>
        <w:pStyle w:val="Heading1"/>
        <w:spacing w:before="200" w:after="80"/>
        <w:keepNext/>
      </w:pPr>
      <w:r>
        <w:t>4. Source verification and listing ingestion</w:t>
      </w:r>
    </w:p>
    <w:p>
      <w:pPr>
        <w:pStyle w:val="ListNumber"/>
        <w:spacing w:after="60" w:line="252" w:lineRule="auto"/>
      </w:pPr>
      <w:r>
        <w:t>Verify the exact preserved 30 June 2026 detailed listing file for each city by source URL, byte hash, 90-column schema, currency, batch date and scrape dates.</w:t>
      </w:r>
    </w:p>
    <w:p>
      <w:pPr>
        <w:pStyle w:val="ListNumber"/>
        <w:spacing w:after="60" w:line="252" w:lineRule="auto"/>
      </w:pPr>
      <w:r>
        <w:t>Ingest all raw rows into the clean analytical store with city and source identities. Never sum historical duplicate ingestion ledgers.</w:t>
      </w:r>
    </w:p>
    <w:p>
      <w:pPr>
        <w:pStyle w:val="ListNumber"/>
        <w:spacing w:after="60" w:line="252" w:lineRule="auto"/>
      </w:pPr>
      <w:r>
        <w:t>Reproduce the dwelling filter: Entire home/apt plus the six conventional entire-dwelling property types.</w:t>
      </w:r>
    </w:p>
    <w:p>
      <w:pPr>
        <w:pStyle w:val="ListNumber"/>
        <w:spacing w:after="60" w:line="252" w:lineRule="auto"/>
      </w:pPr>
      <w:r>
        <w:t>Retain missing-price eligible listings in the audit layer; require positive observed price only for price-model eligibility.</w:t>
      </w:r>
    </w:p>
    <w:p>
      <w:pPr>
        <w:pStyle w:val="ListNumber"/>
        <w:spacing w:after="60" w:line="252" w:lineRule="auto"/>
      </w:pPr>
      <w:r>
        <w:t>Apply the already verified municipal inclusion masks as a study-boundary audit. Municipal boundaries are not model predictors or primary validation groups.</w:t>
      </w:r>
    </w:p>
    <w:p>
      <w:pPr>
        <w:pStyle w:val="ListNumber"/>
        <w:spacing w:after="60" w:line="252" w:lineRule="auto"/>
      </w:pPr>
      <w:r>
        <w:t>Produce a fresh sample-flow table from raw → dwelling → positive price → inside study mask. Expected acquisition-stage positive-price counts are 12,508 Copenhagen, 8,557 Oslo and 2,510 Stockholm; mismatches must be explained rather than forced.</w:t>
      </w:r>
    </w:p>
    <w:p>
      <w:pPr>
        <w:pStyle w:val="Heading1"/>
        <w:spacing w:before="200" w:after="80"/>
        <w:keepNext/>
      </w:pPr>
      <w:r>
        <w:t>5. Operational neighbourhood geography</w:t>
      </w:r>
    </w:p>
    <w:p>
      <w:pPr>
        <w:pStyle w:val="Heading2"/>
        <w:spacing w:before="140" w:after="80"/>
        <w:keepNext/>
      </w:pPr>
      <w:r>
        <w:t>5.1 Copenhagen</w:t>
      </w:r>
    </w:p>
    <w:p>
      <w:pPr>
        <w:spacing w:before="0" w:after="120" w:line="259" w:lineRule="auto"/>
      </w:pPr>
      <w:r>
        <w:rPr>
          <w:rFonts w:ascii="Arial" w:hAnsi="Arial"/>
          <w:sz w:val="20"/>
        </w:rPr>
        <w:t>Use the 11 Inside Airbnb neighbourhood groups. Normalize only the five known spelling/encoding variants for the derived group variable: Amager st → Amager Øst; Brnshj-Husum → Brønshøj-Husum; Nrrebro → Nørrebro; Vanlse → Vanløse; sterbro → Østerbro. Preserve the original provider string in a separate field.</w:t>
      </w:r>
    </w:p>
    <w:p>
      <w:pPr>
        <w:pStyle w:val="Heading2"/>
        <w:spacing w:before="140" w:after="80"/>
        <w:keepNext/>
      </w:pPr>
      <w:r>
        <w:t>5.2 Oslo</w:t>
      </w:r>
    </w:p>
    <w:p>
      <w:pPr>
        <w:spacing w:before="0" w:after="120" w:line="259" w:lineRule="auto"/>
      </w:pPr>
      <w:r>
        <w:rPr>
          <w:rFonts w:ascii="Arial" w:hAnsi="Arial"/>
          <w:sz w:val="20"/>
        </w:rPr>
        <w:t>Use all 17 provider neighbourhood groups: the 15 boroughs plus Sentrum and Marka. The names have been checked against the corresponding official nomenclature. Preserve provider polygons and calculate final support from the final common analytical sample. The approved minimum outer-test requirement is 15 final observations; no further reduction is allowed after final support is observed.</w:t>
      </w:r>
    </w:p>
    <w:p>
      <w:pPr>
        <w:pStyle w:val="Heading2"/>
        <w:spacing w:before="140" w:after="80"/>
        <w:keepNext/>
      </w:pPr>
      <w:r>
        <w:t>5.3 Stockholm</w:t>
      </w:r>
    </w:p>
    <w:p>
      <w:pPr>
        <w:spacing w:before="0" w:after="120" w:line="259" w:lineRule="auto"/>
      </w:pPr>
      <w:r>
        <w:rPr>
          <w:rFonts w:ascii="Arial" w:hAnsi="Arial"/>
          <w:sz w:val="20"/>
        </w:rPr>
        <w:t>Preserve all 14 raw provider labels and derive 11 operational validation groups. The mapping is frozen before feature/model evaluation:</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5040"/>
            <w:shd w:fill="1F3A5F"/>
            <w:tcMar>
              <w:top w:w="90" w:type="dxa"/>
              <w:start w:w="90" w:type="dxa"/>
              <w:bottom w:w="90" w:type="dxa"/>
              <w:end w:w="90" w:type="dxa"/>
            </w:tcMar>
            <w:vAlign w:val="center"/>
          </w:tcPr>
          <w:p>
            <w:pPr>
              <w:spacing w:after="0"/>
              <w:jc w:val="left"/>
            </w:pPr>
            <w:r>
              <w:rPr>
                <w:rFonts w:ascii="Arial" w:hAnsi="Arial"/>
                <w:b/>
                <w:color w:val="FFFFFF"/>
                <w:sz w:val="16"/>
              </w:rPr>
              <w:t>Raw provider label(s)</w:t>
            </w:r>
          </w:p>
        </w:tc>
        <w:tc>
          <w:tcPr>
            <w:tcW w:type="dxa" w:w="5040"/>
            <w:shd w:fill="1F3A5F"/>
            <w:tcMar>
              <w:top w:w="90" w:type="dxa"/>
              <w:start w:w="90" w:type="dxa"/>
              <w:bottom w:w="90" w:type="dxa"/>
              <w:end w:w="90" w:type="dxa"/>
            </w:tcMar>
            <w:vAlign w:val="center"/>
          </w:tcPr>
          <w:p>
            <w:pPr>
              <w:spacing w:after="0"/>
              <w:jc w:val="left"/>
            </w:pPr>
            <w:r>
              <w:rPr>
                <w:rFonts w:ascii="Arial" w:hAnsi="Arial"/>
                <w:b/>
                <w:color w:val="FFFFFF"/>
                <w:sz w:val="16"/>
              </w:rPr>
              <w:t>Operational group</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Bromma</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Bromma</w:t>
            </w:r>
          </w:p>
        </w:tc>
      </w:tr>
      <w:tr>
        <w:trPr>
          <w:cantSplit/>
        </w:trPr>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Enskede-Årsta-Vantörs</w:t>
            </w:r>
          </w:p>
        </w:tc>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Enskede-Årsta-Vantör</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Farsta</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Farsta</w:t>
            </w:r>
          </w:p>
        </w:tc>
      </w:tr>
      <w:tr>
        <w:trPr>
          <w:cantSplit/>
        </w:trPr>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Hägersten-Liljeholmens + Älvsjö</w:t>
            </w:r>
          </w:p>
        </w:tc>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Hägersten-Älvsjö</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Hässelby-Vällingby</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Hässelby-Vällingby</w:t>
            </w:r>
          </w:p>
        </w:tc>
      </w:tr>
      <w:tr>
        <w:trPr>
          <w:cantSplit/>
        </w:trPr>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Kungsholmens</w:t>
            </w:r>
          </w:p>
        </w:tc>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Kungsholmen</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Norrmalms + Östermalms</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Norra innerstaden</w:t>
            </w:r>
          </w:p>
        </w:tc>
      </w:tr>
      <w:tr>
        <w:trPr>
          <w:cantSplit/>
        </w:trPr>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Skarpnäcks</w:t>
            </w:r>
          </w:p>
        </w:tc>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Skarpnäck</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Skärholmens</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Skärholmen</w:t>
            </w:r>
          </w:p>
        </w:tc>
      </w:tr>
      <w:tr>
        <w:trPr>
          <w:cantSplit/>
        </w:trPr>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Södermalms</w:t>
            </w:r>
          </w:p>
        </w:tc>
        <w:tc>
          <w:tcPr>
            <w:tcW w:type="dxa" w:w="5040"/>
            <w:shd w:fill="F5F7FA"/>
            <w:tcMar>
              <w:top w:w="90" w:type="dxa"/>
              <w:start w:w="90" w:type="dxa"/>
              <w:bottom w:w="90" w:type="dxa"/>
              <w:end w:w="90" w:type="dxa"/>
            </w:tcMar>
            <w:vAlign w:val="top"/>
          </w:tcPr>
          <w:p>
            <w:pPr>
              <w:spacing w:after="0" w:line="240" w:lineRule="auto"/>
            </w:pPr>
            <w:r>
              <w:rPr>
                <w:rFonts w:ascii="Arial" w:hAnsi="Arial"/>
                <w:b w:val="0"/>
                <w:sz w:val="16"/>
              </w:rPr>
              <w:t>Södermalm</w:t>
            </w:r>
          </w:p>
        </w:tc>
      </w:tr>
      <w:tr>
        <w:trPr>
          <w:cantSplit/>
        </w:trPr>
        <w:tc>
          <w:tcPr>
            <w:tcW w:type="dxa" w:w="5040"/>
            <w:tcMar>
              <w:top w:w="90" w:type="dxa"/>
              <w:start w:w="90" w:type="dxa"/>
              <w:bottom w:w="90" w:type="dxa"/>
              <w:end w:w="90" w:type="dxa"/>
            </w:tcMar>
            <w:vAlign w:val="top"/>
          </w:tcPr>
          <w:p>
            <w:pPr>
              <w:spacing w:after="0" w:line="240" w:lineRule="auto"/>
            </w:pPr>
            <w:r>
              <w:rPr>
                <w:rFonts w:ascii="Arial" w:hAnsi="Arial"/>
                <w:b w:val="0"/>
                <w:sz w:val="16"/>
              </w:rPr>
              <w:t>Spånga-Tensta + Rinkeby-Tensta</w:t>
            </w:r>
          </w:p>
        </w:tc>
        <w:tc>
          <w:tcPr>
            <w:tcW w:type="dxa" w:w="5040"/>
            <w:tcMar>
              <w:top w:w="90" w:type="dxa"/>
              <w:start w:w="90" w:type="dxa"/>
              <w:bottom w:w="90" w:type="dxa"/>
              <w:end w:w="90" w:type="dxa"/>
            </w:tcMar>
            <w:vAlign w:val="top"/>
          </w:tcPr>
          <w:p>
            <w:pPr>
              <w:spacing w:after="0" w:line="240" w:lineRule="auto"/>
            </w:pPr>
            <w:r>
              <w:rPr>
                <w:rFonts w:ascii="Arial" w:hAnsi="Arial"/>
                <w:b w:val="0"/>
                <w:sz w:val="16"/>
              </w:rPr>
              <w:t>Järva</w:t>
            </w:r>
          </w:p>
        </w:tc>
      </w:tr>
    </w:tbl>
    <w:p>
      <w:pPr>
        <w:spacing w:after="0"/>
      </w:pPr>
    </w:p>
    <w:p>
      <w:pPr>
        <w:spacing w:before="0" w:after="120" w:line="259" w:lineRule="auto"/>
      </w:pPr>
      <w:r>
        <w:rPr>
          <w:rFonts w:ascii="Arial" w:hAnsi="Arial"/>
          <w:sz w:val="20"/>
        </w:rPr>
        <w:t>The Järva grouping uses the documented polygon audit supporting Rinkeby-Tensta as a likely mislabeled historical Rinkeby-Kista polygon. Store the raw polygon, raw label, derived group and mapping rationale. Never rewrite the source label.</w:t>
      </w:r>
    </w:p>
    <w:p>
      <w:pPr>
        <w:pStyle w:val="Heading2"/>
        <w:spacing w:before="140" w:after="80"/>
        <w:keepNext/>
      </w:pPr>
      <w:r>
        <w:t>5.4 Geography QA</w:t>
      </w:r>
    </w:p>
    <w:p>
      <w:pPr>
        <w:pStyle w:val="ListBullet"/>
        <w:spacing w:after="60" w:line="252" w:lineRule="auto"/>
      </w:pPr>
      <w:r>
        <w:t>Each eligible listing must map to exactly one raw provider neighbourhood and one derived operational group.</w:t>
      </w:r>
    </w:p>
    <w:p>
      <w:pPr>
        <w:pStyle w:val="ListBullet"/>
        <w:spacing w:after="60" w:line="252" w:lineRule="auto"/>
      </w:pPr>
      <w:r>
        <w:t>Check polygon validity, overlaps, gaps and city-mask compatibility. Any repair that changes membership requires an explicit audit.</w:t>
      </w:r>
    </w:p>
    <w:p>
      <w:pPr>
        <w:pStyle w:val="ListBullet"/>
        <w:spacing w:after="60" w:line="252" w:lineRule="auto"/>
      </w:pPr>
      <w:r>
        <w:t>Report listing support, polygon area and boundary-near counts for every group before folds are frozen.</w:t>
      </w:r>
    </w:p>
    <w:p>
      <w:pPr>
        <w:pStyle w:val="ListBullet"/>
        <w:spacing w:after="60" w:line="252" w:lineRule="auto"/>
      </w:pPr>
      <w:r>
        <w:t>Operational neighbourhood polygons define validation groups; they are not predictor variables.</w:t>
      </w:r>
    </w:p>
    <w:p>
      <w:pPr>
        <w:pStyle w:val="Heading1"/>
        <w:spacing w:before="200" w:after="80"/>
        <w:keepNext/>
      </w:pPr>
      <w:r>
        <w:t>6. Population density and centrality</w:t>
      </w:r>
    </w:p>
    <w:p>
      <w:pPr>
        <w:pStyle w:val="Heading2"/>
        <w:spacing w:before="140" w:after="80"/>
        <w:keepNext/>
      </w:pPr>
      <w:r>
        <w:t>6.1 Remove income from the active design</w:t>
      </w:r>
    </w:p>
    <w:p>
      <w:pPr>
        <w:spacing w:before="0" w:after="120" w:line="259" w:lineRule="auto"/>
      </w:pPr>
      <w:r>
        <w:rPr>
          <w:rFonts w:ascii="Arial" w:hAnsi="Arial"/>
          <w:sz w:val="20"/>
        </w:rPr>
        <w:t>Do not include district income in M0, ME, MW or MEW and do not require a local-income sensitivity. Keep acquired income datasets only as historical feasibility evidence. This avoids treating materially different equivalence scales, eligibility rules and weighting conventions as one common cross-city construct.</w:t>
      </w:r>
    </w:p>
    <w:p>
      <w:pPr>
        <w:pStyle w:val="Heading2"/>
        <w:spacing w:before="140" w:after="80"/>
        <w:keepNext/>
      </w:pPr>
      <w:r>
        <w:t>6.2 Population density</w:t>
      </w:r>
    </w:p>
    <w:p>
      <w:pPr>
        <w:pStyle w:val="ListNumber"/>
        <w:spacing w:after="60" w:line="252" w:lineRule="auto"/>
      </w:pPr>
      <w:r>
        <w:t>Copenhagen: reuse the verified near-snapshot official population counts for the 11 operational groups.</w:t>
      </w:r>
    </w:p>
    <w:p>
      <w:pPr>
        <w:pStyle w:val="ListNumber"/>
        <w:spacing w:after="60" w:line="252" w:lineRule="auto"/>
      </w:pPr>
      <w:r>
        <w:t>Oslo: use the official 1 January 2026 counts for the 17 named operational groups; municipality-wide and unlocated totals remain audit information and are not distributed to neighbourhoods.</w:t>
      </w:r>
    </w:p>
    <w:p>
      <w:pPr>
        <w:pStyle w:val="ListNumber"/>
        <w:spacing w:after="60" w:line="252" w:lineRule="auto"/>
      </w:pPr>
      <w:r>
        <w:t>Stockholm: use directly published totals for the 11 operational groups where available; otherwise aggregate the already acquired RegSO population counts through an audited pre-fit crosswalk. Ambiguous source areas are not silently allocated.</w:t>
      </w:r>
    </w:p>
    <w:p>
      <w:pPr>
        <w:pStyle w:val="ListNumber"/>
        <w:spacing w:after="60" w:line="252" w:lineRule="auto"/>
      </w:pPr>
      <w:r>
        <w:t>Calculate density consistently as population divided by operational-neighbourhood polygon area in km², then use log density in modelling.</w:t>
      </w:r>
    </w:p>
    <w:p>
      <w:pPr>
        <w:pStyle w:val="ListNumber"/>
        <w:spacing w:after="60" w:line="252" w:lineRule="auto"/>
      </w:pPr>
      <w:r>
        <w:t>Audit gross area, water inclusion and date differences. Do not rescale population to force published city totals.</w:t>
      </w:r>
    </w:p>
    <w:p>
      <w:pPr>
        <w:spacing w:before="0" w:after="120" w:line="259" w:lineRule="auto"/>
      </w:pPr>
      <w:r>
        <w:rPr>
          <w:rFonts w:ascii="Arial" w:hAnsi="Arial"/>
          <w:sz w:val="20"/>
        </w:rPr>
        <w:t>Retain a no-density sensitivity because the physical size and water share of neighbourhood groups differ across cities.</w:t>
      </w:r>
    </w:p>
    <w:p>
      <w:pPr>
        <w:pStyle w:val="Heading2"/>
        <w:spacing w:before="140" w:after="80"/>
        <w:keepNext/>
      </w:pPr>
      <w:r>
        <w:t>6.3 OSM city-centre anchors</w:t>
      </w:r>
    </w:p>
    <w:p>
      <w:pPr>
        <w:spacing w:before="0" w:after="120" w:line="259" w:lineRule="auto"/>
      </w:pPr>
      <w:r>
        <w:rPr>
          <w:rFonts w:ascii="Arial" w:hAnsi="Arial"/>
          <w:sz w:val="20"/>
        </w:rPr>
        <w:t>Acquire one named city hall/town hall object from OSM for each city and freeze its OSM element ID, geometry, snapshot date and QA evidence. Use its representative point as the centrality anchor and compute projected Euclidean kilometres to every listing. Resolve multiple plausible objects by civic function before inspecting price-model results.</w:t>
      </w:r>
    </w:p>
    <w:p>
      <w:pPr>
        <w:pStyle w:val="Heading1"/>
        <w:spacing w:before="200" w:after="80"/>
        <w:keepNext/>
      </w:pPr>
      <w:r>
        <w:t>7. Freeze common OSM source data</w:t>
      </w:r>
    </w:p>
    <w:p>
      <w:pPr>
        <w:pStyle w:val="Heading2"/>
        <w:spacing w:before="140" w:after="80"/>
        <w:keepNext/>
      </w:pPr>
      <w:r>
        <w:t>7.1 Historical snapshot policy</w:t>
      </w:r>
    </w:p>
    <w:p>
      <w:pPr>
        <w:spacing w:before="0" w:after="120" w:line="259" w:lineRule="auto"/>
      </w:pPr>
      <w:r>
        <w:rPr>
          <w:rFonts w:ascii="Arial" w:hAnsi="Arial"/>
          <w:sz w:val="20"/>
        </w:rPr>
        <w:t>Preferred policy: query OSM/Overpass for a historical snapshot at or immediately before 30 June 2026 for all three cities. Use exactly the same snapshot timestamp, tagging taxonomy and extraction logic across cities. If one or more cities cannot be reproducibly acquired at that timestamp, stop and choose one common alternative timestamp before model fitting; do not mix historical and current extracts silently.</w:t>
      </w:r>
    </w:p>
    <w:p>
      <w:pPr>
        <w:pStyle w:val="Heading2"/>
        <w:spacing w:before="140" w:after="80"/>
        <w:keepNext/>
      </w:pPr>
      <w:r>
        <w:t>7.2 Extraction extent and caching</w:t>
      </w:r>
    </w:p>
    <w:p>
      <w:pPr>
        <w:pStyle w:val="ListBullet"/>
        <w:spacing w:after="60" w:line="252" w:lineRule="auto"/>
      </w:pPr>
      <w:r>
        <w:t>Use the study mask plus a sufficient routing/destination buffer. Start from the inherited at-least-2-km rule and expand only when edge/nearest-destination audits require it.</w:t>
      </w:r>
    </w:p>
    <w:p>
      <w:pPr>
        <w:pStyle w:val="ListBullet"/>
        <w:spacing w:after="60" w:line="252" w:lineRule="auto"/>
      </w:pPr>
      <w:r>
        <w:t>Freeze raw OSM response/cache hashes, query strings, OSMnx version, Overpass settings and retrieval timestamps.</w:t>
      </w:r>
    </w:p>
    <w:p>
      <w:pPr>
        <w:pStyle w:val="ListBullet"/>
        <w:spacing w:after="60" w:line="252" w:lineRule="auto"/>
      </w:pPr>
      <w:r>
        <w:t>Never reuse an old route cache unless city, OSM snapshot, network settings, taxonomy, extent, connectors and code hashes match exactly.</w:t>
      </w:r>
    </w:p>
    <w:p>
      <w:pPr>
        <w:pStyle w:val="Heading2"/>
        <w:spacing w:before="140" w:after="80"/>
        <w:keepNext/>
      </w:pPr>
      <w:r>
        <w:t>7.3 Destination taxonomy</w:t>
      </w:r>
    </w:p>
    <w:p>
      <w:pPr>
        <w:spacing w:before="0" w:after="120" w:line="259" w:lineRule="auto"/>
      </w:pPr>
      <w:r>
        <w:rPr>
          <w:rFonts w:ascii="Arial" w:hAnsi="Arial"/>
          <w:sz w:val="20"/>
        </w:rPr>
        <w:t>Reuse the established rail, bus, food/social and culture/tourism taxonomy and deterministic deduplication rules from the prior project. Apply identical tag rules to all three cities. Any city-specific data-quality exception must be documented rather than silently altering the taxonomy.</w:t>
      </w:r>
    </w:p>
    <w:p>
      <w:pPr>
        <w:pStyle w:val="Heading1"/>
        <w:spacing w:before="200" w:after="80"/>
        <w:keepNext/>
      </w:pPr>
      <w:r>
        <w:t>8. Build pedestrian networks and matched accessibility</w:t>
      </w:r>
    </w:p>
    <w:p>
      <w:pPr>
        <w:spacing w:before="0" w:after="120" w:line="259" w:lineRule="auto"/>
      </w:pPr>
      <w:r>
        <w:rPr>
          <w:rFonts w:ascii="Arial" w:hAnsi="Arial"/>
          <w:sz w:val="20"/>
        </w:rPr>
        <w:t>Build a walkable OSM graph for each city with the same pedestrian-access rules, connector method and 5 km/h baseline walking speed. Use metric city-specific CRSs internally. Verify connectivity, component structure, snap distances, bridge/tunnel topology and boundary effects before calculating accessibility.</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31"/>
        <w:gridCol w:w="3331"/>
        <w:gridCol w:w="3331"/>
      </w:tblGrid>
      <w:tr>
        <w:trPr>
          <w:tblHeader w:val="true"/>
          <w:cantSplit/>
        </w:trPr>
        <w:tc>
          <w:tcPr>
            <w:tcW w:type="dxa" w:w="2016"/>
            <w:shd w:fill="1F3A5F"/>
            <w:tcMar>
              <w:top w:w="90" w:type="dxa"/>
              <w:start w:w="90" w:type="dxa"/>
              <w:bottom w:w="90" w:type="dxa"/>
              <w:end w:w="90" w:type="dxa"/>
            </w:tcMar>
            <w:vAlign w:val="center"/>
          </w:tcPr>
          <w:p>
            <w:pPr>
              <w:spacing w:after="0"/>
              <w:jc w:val="left"/>
            </w:pPr>
            <w:r>
              <w:rPr>
                <w:rFonts w:ascii="Arial" w:hAnsi="Arial"/>
                <w:b/>
                <w:color w:val="FFFFFF"/>
                <w:sz w:val="16"/>
              </w:rPr>
              <w:t>Block</w:t>
            </w:r>
          </w:p>
        </w:tc>
        <w:tc>
          <w:tcPr>
            <w:tcW w:type="dxa" w:w="4032"/>
            <w:shd w:fill="1F3A5F"/>
            <w:tcMar>
              <w:top w:w="90" w:type="dxa"/>
              <w:start w:w="90" w:type="dxa"/>
              <w:bottom w:w="90" w:type="dxa"/>
              <w:end w:w="90" w:type="dxa"/>
            </w:tcMar>
            <w:vAlign w:val="center"/>
          </w:tcPr>
          <w:p>
            <w:pPr>
              <w:spacing w:after="0"/>
              <w:jc w:val="left"/>
            </w:pPr>
            <w:r>
              <w:rPr>
                <w:rFonts w:ascii="Arial" w:hAnsi="Arial"/>
                <w:b/>
                <w:color w:val="FFFFFF"/>
                <w:sz w:val="16"/>
              </w:rPr>
              <w:t>Euclidean (E)</w:t>
            </w:r>
          </w:p>
        </w:tc>
        <w:tc>
          <w:tcPr>
            <w:tcW w:type="dxa" w:w="4032"/>
            <w:shd w:fill="1F3A5F"/>
            <w:tcMar>
              <w:top w:w="90" w:type="dxa"/>
              <w:start w:w="90" w:type="dxa"/>
              <w:bottom w:w="90" w:type="dxa"/>
              <w:end w:w="90" w:type="dxa"/>
            </w:tcMar>
            <w:vAlign w:val="center"/>
          </w:tcPr>
          <w:p>
            <w:pPr>
              <w:spacing w:after="0"/>
              <w:jc w:val="left"/>
            </w:pPr>
            <w:r>
              <w:rPr>
                <w:rFonts w:ascii="Arial" w:hAnsi="Arial"/>
                <w:b/>
                <w:color w:val="FFFFFF"/>
                <w:sz w:val="16"/>
              </w:rPr>
              <w:t>Walking-network (W)</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val="0"/>
                <w:sz w:val="16"/>
              </w:rPr>
              <w:t>Rail</w:t>
            </w:r>
          </w:p>
        </w:tc>
        <w:tc>
          <w:tcPr>
            <w:tcW w:type="dxa" w:w="4032"/>
            <w:tcMar>
              <w:top w:w="90" w:type="dxa"/>
              <w:start w:w="90" w:type="dxa"/>
              <w:bottom w:w="90" w:type="dxa"/>
              <w:end w:w="90" w:type="dxa"/>
            </w:tcMar>
            <w:vAlign w:val="top"/>
          </w:tcPr>
          <w:p>
            <w:pPr>
              <w:spacing w:after="0" w:line="240" w:lineRule="auto"/>
            </w:pPr>
            <w:r>
              <w:rPr>
                <w:rFonts w:ascii="Arial" w:hAnsi="Arial"/>
                <w:b w:val="0"/>
                <w:sz w:val="16"/>
              </w:rPr>
              <w:t>Straight-line km to nearest eligible rail destination</w:t>
            </w:r>
          </w:p>
        </w:tc>
        <w:tc>
          <w:tcPr>
            <w:tcW w:type="dxa" w:w="4032"/>
            <w:tcMar>
              <w:top w:w="90" w:type="dxa"/>
              <w:start w:w="90" w:type="dxa"/>
              <w:bottom w:w="90" w:type="dxa"/>
              <w:end w:w="90" w:type="dxa"/>
            </w:tcMar>
            <w:vAlign w:val="top"/>
          </w:tcPr>
          <w:p>
            <w:pPr>
              <w:spacing w:after="0" w:line="240" w:lineRule="auto"/>
            </w:pPr>
            <w:r>
              <w:rPr>
                <w:rFonts w:ascii="Arial" w:hAnsi="Arial"/>
                <w:b w:val="0"/>
                <w:sz w:val="16"/>
              </w:rPr>
              <w:t>Walking minutes to the same eligible rail destination</w:t>
            </w:r>
          </w:p>
        </w:tc>
      </w:tr>
      <w:tr>
        <w:trPr>
          <w:cantSplit/>
        </w:trPr>
        <w:tc>
          <w:tcPr>
            <w:tcW w:type="dxa" w:w="2016"/>
            <w:shd w:fill="F5F7FA"/>
            <w:tcMar>
              <w:top w:w="90" w:type="dxa"/>
              <w:start w:w="90" w:type="dxa"/>
              <w:bottom w:w="90" w:type="dxa"/>
              <w:end w:w="90" w:type="dxa"/>
            </w:tcMar>
            <w:vAlign w:val="top"/>
          </w:tcPr>
          <w:p>
            <w:pPr>
              <w:spacing w:after="0" w:line="240" w:lineRule="auto"/>
            </w:pPr>
            <w:r>
              <w:rPr>
                <w:rFonts w:ascii="Arial" w:hAnsi="Arial"/>
                <w:b w:val="0"/>
                <w:sz w:val="16"/>
              </w:rPr>
              <w:t>Bus</w:t>
            </w:r>
          </w:p>
        </w:tc>
        <w:tc>
          <w:tcPr>
            <w:tcW w:type="dxa" w:w="4032"/>
            <w:shd w:fill="F5F7FA"/>
            <w:tcMar>
              <w:top w:w="90" w:type="dxa"/>
              <w:start w:w="90" w:type="dxa"/>
              <w:bottom w:w="90" w:type="dxa"/>
              <w:end w:w="90" w:type="dxa"/>
            </w:tcMar>
            <w:vAlign w:val="top"/>
          </w:tcPr>
          <w:p>
            <w:pPr>
              <w:spacing w:after="0" w:line="240" w:lineRule="auto"/>
            </w:pPr>
            <w:r>
              <w:rPr>
                <w:rFonts w:ascii="Arial" w:hAnsi="Arial"/>
                <w:b w:val="0"/>
                <w:sz w:val="16"/>
              </w:rPr>
              <w:t>Straight-line km to nearest deduplicated bus stop</w:t>
            </w:r>
          </w:p>
        </w:tc>
        <w:tc>
          <w:tcPr>
            <w:tcW w:type="dxa" w:w="4032"/>
            <w:shd w:fill="F5F7FA"/>
            <w:tcMar>
              <w:top w:w="90" w:type="dxa"/>
              <w:start w:w="90" w:type="dxa"/>
              <w:bottom w:w="90" w:type="dxa"/>
              <w:end w:w="90" w:type="dxa"/>
            </w:tcMar>
            <w:vAlign w:val="top"/>
          </w:tcPr>
          <w:p>
            <w:pPr>
              <w:spacing w:after="0" w:line="240" w:lineRule="auto"/>
            </w:pPr>
            <w:r>
              <w:rPr>
                <w:rFonts w:ascii="Arial" w:hAnsi="Arial"/>
                <w:b w:val="0"/>
                <w:sz w:val="16"/>
              </w:rPr>
              <w:t>Walking minutes to the same deduplicated bus-stop universe</w:t>
            </w:r>
          </w:p>
        </w:tc>
      </w:tr>
      <w:tr>
        <w:trPr>
          <w:cantSplit/>
        </w:trPr>
        <w:tc>
          <w:tcPr>
            <w:tcW w:type="dxa" w:w="2016"/>
            <w:tcMar>
              <w:top w:w="90" w:type="dxa"/>
              <w:start w:w="90" w:type="dxa"/>
              <w:bottom w:w="90" w:type="dxa"/>
              <w:end w:w="90" w:type="dxa"/>
            </w:tcMar>
            <w:vAlign w:val="top"/>
          </w:tcPr>
          <w:p>
            <w:pPr>
              <w:spacing w:after="0" w:line="240" w:lineRule="auto"/>
            </w:pPr>
            <w:r>
              <w:rPr>
                <w:rFonts w:ascii="Arial" w:hAnsi="Arial"/>
                <w:b w:val="0"/>
                <w:sz w:val="16"/>
              </w:rPr>
              <w:t>Food/social</w:t>
            </w:r>
          </w:p>
        </w:tc>
        <w:tc>
          <w:tcPr>
            <w:tcW w:type="dxa" w:w="4032"/>
            <w:tcMar>
              <w:top w:w="90" w:type="dxa"/>
              <w:start w:w="90" w:type="dxa"/>
              <w:bottom w:w="90" w:type="dxa"/>
              <w:end w:w="90" w:type="dxa"/>
            </w:tcMar>
            <w:vAlign w:val="top"/>
          </w:tcPr>
          <w:p>
            <w:pPr>
              <w:spacing w:after="0" w:line="240" w:lineRule="auto"/>
            </w:pPr>
            <w:r>
              <w:rPr>
                <w:rFonts w:ascii="Arial" w:hAnsi="Arial"/>
                <w:b w:val="0"/>
                <w:sz w:val="16"/>
              </w:rPr>
              <w:t>Count within 833 m; log1p</w:t>
            </w:r>
          </w:p>
        </w:tc>
        <w:tc>
          <w:tcPr>
            <w:tcW w:type="dxa" w:w="4032"/>
            <w:tcMar>
              <w:top w:w="90" w:type="dxa"/>
              <w:start w:w="90" w:type="dxa"/>
              <w:bottom w:w="90" w:type="dxa"/>
              <w:end w:w="90" w:type="dxa"/>
            </w:tcMar>
            <w:vAlign w:val="top"/>
          </w:tcPr>
          <w:p>
            <w:pPr>
              <w:spacing w:after="0" w:line="240" w:lineRule="auto"/>
            </w:pPr>
            <w:r>
              <w:rPr>
                <w:rFonts w:ascii="Arial" w:hAnsi="Arial"/>
                <w:b w:val="0"/>
                <w:sz w:val="16"/>
              </w:rPr>
              <w:t>Count reachable within 10 min; log1p</w:t>
            </w:r>
          </w:p>
        </w:tc>
      </w:tr>
      <w:tr>
        <w:trPr>
          <w:cantSplit/>
        </w:trPr>
        <w:tc>
          <w:tcPr>
            <w:tcW w:type="dxa" w:w="2016"/>
            <w:shd w:fill="F5F7FA"/>
            <w:tcMar>
              <w:top w:w="90" w:type="dxa"/>
              <w:start w:w="90" w:type="dxa"/>
              <w:bottom w:w="90" w:type="dxa"/>
              <w:end w:w="90" w:type="dxa"/>
            </w:tcMar>
            <w:vAlign w:val="top"/>
          </w:tcPr>
          <w:p>
            <w:pPr>
              <w:spacing w:after="0" w:line="240" w:lineRule="auto"/>
            </w:pPr>
            <w:r>
              <w:rPr>
                <w:rFonts w:ascii="Arial" w:hAnsi="Arial"/>
                <w:b w:val="0"/>
                <w:sz w:val="16"/>
              </w:rPr>
              <w:t>Culture/tourism</w:t>
            </w:r>
          </w:p>
        </w:tc>
        <w:tc>
          <w:tcPr>
            <w:tcW w:type="dxa" w:w="4032"/>
            <w:shd w:fill="F5F7FA"/>
            <w:tcMar>
              <w:top w:w="90" w:type="dxa"/>
              <w:start w:w="90" w:type="dxa"/>
              <w:bottom w:w="90" w:type="dxa"/>
              <w:end w:w="90" w:type="dxa"/>
            </w:tcMar>
            <w:vAlign w:val="top"/>
          </w:tcPr>
          <w:p>
            <w:pPr>
              <w:spacing w:after="0" w:line="240" w:lineRule="auto"/>
            </w:pPr>
            <w:r>
              <w:rPr>
                <w:rFonts w:ascii="Arial" w:hAnsi="Arial"/>
                <w:b w:val="0"/>
                <w:sz w:val="16"/>
              </w:rPr>
              <w:t>Count within 833 m; log1p</w:t>
            </w:r>
          </w:p>
        </w:tc>
        <w:tc>
          <w:tcPr>
            <w:tcW w:type="dxa" w:w="4032"/>
            <w:shd w:fill="F5F7FA"/>
            <w:tcMar>
              <w:top w:w="90" w:type="dxa"/>
              <w:start w:w="90" w:type="dxa"/>
              <w:bottom w:w="90" w:type="dxa"/>
              <w:end w:w="90" w:type="dxa"/>
            </w:tcMar>
            <w:vAlign w:val="top"/>
          </w:tcPr>
          <w:p>
            <w:pPr>
              <w:spacing w:after="0" w:line="240" w:lineRule="auto"/>
            </w:pPr>
            <w:r>
              <w:rPr>
                <w:rFonts w:ascii="Arial" w:hAnsi="Arial"/>
                <w:b w:val="0"/>
                <w:sz w:val="16"/>
              </w:rPr>
              <w:t>Count reachable within 10 min; log1p</w:t>
            </w:r>
          </w:p>
        </w:tc>
      </w:tr>
    </w:tbl>
    <w:p>
      <w:pPr>
        <w:spacing w:after="0"/>
      </w:pPr>
    </w:p>
    <w:p>
      <w:pPr>
        <w:spacing w:before="0" w:after="120" w:line="259" w:lineRule="auto"/>
      </w:pPr>
      <w:r>
        <w:rPr>
          <w:rFonts w:ascii="Arial" w:hAnsi="Arial"/>
          <w:sz w:val="20"/>
        </w:rPr>
        <w:t>The E and W measures must use identical destination universes within a city. Quantify route circuity, reachability, zero-opportunity frequency, disagreement between E and W and network-coverage exclusions before modelling.</w:t>
      </w:r>
    </w:p>
    <w:p>
      <w:pPr>
        <w:pStyle w:val="Heading1"/>
        <w:spacing w:before="200" w:after="80"/>
        <w:keepNext/>
      </w:pPr>
      <w:r>
        <w:t>9. Freeze analytical samples and city-relative benchmarks</w:t>
      </w:r>
    </w:p>
    <w:p>
      <w:pPr>
        <w:pStyle w:val="Heading2"/>
        <w:spacing w:before="140" w:after="80"/>
        <w:keepNext/>
      </w:pPr>
      <w:r>
        <w:t>9.1 Common within-city prediction sample</w:t>
      </w:r>
    </w:p>
    <w:p>
      <w:pPr>
        <w:spacing w:before="0" w:after="120" w:line="259" w:lineRule="auto"/>
      </w:pPr>
      <w:r>
        <w:rPr>
          <w:rFonts w:ascii="Arial" w:hAnsi="Arial"/>
          <w:sz w:val="20"/>
        </w:rPr>
        <w:t>For each city, freeze one prediction sample containing positive observed log price, all common baseline controls and complete comparable accessibility support required for all four models. M0, ME, MW and MEW must use the same observation keys and outcomes within that city. Model-specific exclusion is not allowed.</w:t>
      </w:r>
    </w:p>
    <w:p>
      <w:pPr>
        <w:pStyle w:val="Heading2"/>
        <w:spacing w:before="140" w:after="80"/>
        <w:keepNext/>
      </w:pPr>
      <w:r>
        <w:t>9.2 Association sample</w:t>
      </w:r>
    </w:p>
    <w:p>
      <w:pPr>
        <w:spacing w:before="0" w:after="120" w:line="259" w:lineRule="auto"/>
      </w:pPr>
      <w:r>
        <w:rPr>
          <w:rFonts w:ascii="Arial" w:hAnsi="Arial"/>
          <w:sz w:val="20"/>
        </w:rPr>
        <w:t>Freeze one common complete-case association sample for OLS using the union of all M0/ME/MW/MEW predictors. Report its attrition separately from the prediction sample. Do not use predictive imputation to create inferential OLS observations.</w:t>
      </w:r>
    </w:p>
    <w:p>
      <w:pPr>
        <w:pStyle w:val="Heading2"/>
        <w:spacing w:before="140" w:after="80"/>
        <w:keepNext/>
      </w:pPr>
      <w:r>
        <w:t>9.3 Frozen city benchmark for transfer</w:t>
      </w:r>
    </w:p>
    <w:p>
      <w:pPr>
        <w:spacing w:before="0" w:after="120" w:line="259" w:lineRule="auto"/>
      </w:pPr>
      <w:r>
        <w:rPr>
          <w:rFonts w:ascii="Arial" w:hAnsi="Arial"/>
          <w:sz w:val="20"/>
        </w:rPr>
        <w:t>Before accessibility- or model-specific exclusions, define a benchmark population Bc for each city: eligible conventional entire dwellings, inside the accepted study boundary, with positive observed nightly price. Freeze μc = mean log price over Bc. The benchmark is identical for all four transfer models and does not change with the final feature sample.</w:t>
      </w:r>
    </w:p>
    <w:tbl>
      <w:tblPr>
        <w:tblW w:type="auto" w:w="0"/>
        <w:jc w:val="center"/>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9994"/>
      </w:tblGrid>
      <w:tr>
        <w:tc>
          <w:tcPr>
            <w:tcW w:type="dxa" w:w="9994"/>
            <w:shd w:fill="F7F9FB"/>
            <w:tcMar>
              <w:top w:w="130" w:type="dxa"/>
              <w:start w:w="160" w:type="dxa"/>
              <w:bottom w:w="130" w:type="dxa"/>
              <w:end w:w="160" w:type="dxa"/>
            </w:tcMar>
          </w:tcPr>
          <w:p>
            <w:pPr>
              <w:spacing w:after="0"/>
              <w:jc w:val="center"/>
            </w:pPr>
            <w:r>
              <w:rPr>
                <w:rFonts w:ascii="Cambria Math" w:hAnsi="Cambria Math"/>
                <w:i/>
                <w:sz w:val="21"/>
              </w:rPr>
              <w:t>y_rel,ic = log(P_ic) − μ_c</w:t>
            </w:r>
            <w:r>
              <w:br/>
            </w:r>
            <w:r>
              <w:rPr>
                <w:rFonts w:ascii="Cambria Math" w:hAnsi="Cambria Math"/>
                <w:i w:val="0"/>
                <w:sz w:val="21"/>
              </w:rPr>
              <w:t>μ_c = mean[log(P_j)] for j ∈ B_c</w:t>
            </w:r>
          </w:p>
        </w:tc>
      </w:tr>
    </w:tbl>
    <w:p>
      <w:pPr>
        <w:spacing w:after="0"/>
      </w:pPr>
    </w:p>
    <w:p>
      <w:pPr>
        <w:spacing w:before="0" w:after="120" w:line="259" w:lineRule="auto"/>
      </w:pPr>
      <w:r>
        <w:rPr>
          <w:rFonts w:ascii="Arial" w:hAnsi="Arial"/>
          <w:sz w:val="20"/>
        </w:rPr>
        <w:t>Store price, log price and relative log price as separate variables. Relative price is only an outcome for cross-city transfer; it never replaces the actual log-price outcome in the within-city analysis.</w:t>
      </w:r>
    </w:p>
    <w:p>
      <w:pPr>
        <w:pStyle w:val="Heading1"/>
        <w:spacing w:before="200" w:after="80"/>
        <w:keepNext/>
      </w:pPr>
      <w:r>
        <w:t>10. Freeze models and preprocessing</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1440"/>
            <w:shd w:fill="1F3A5F"/>
            <w:tcMar>
              <w:top w:w="90" w:type="dxa"/>
              <w:start w:w="90" w:type="dxa"/>
              <w:bottom w:w="90" w:type="dxa"/>
              <w:end w:w="90" w:type="dxa"/>
            </w:tcMar>
            <w:vAlign w:val="center"/>
          </w:tcPr>
          <w:p>
            <w:pPr>
              <w:spacing w:after="0"/>
              <w:jc w:val="left"/>
            </w:pPr>
            <w:r>
              <w:rPr>
                <w:rFonts w:ascii="Arial" w:hAnsi="Arial"/>
                <w:b/>
                <w:color w:val="FFFFFF"/>
                <w:sz w:val="17"/>
              </w:rPr>
              <w:t>Model</w:t>
            </w:r>
          </w:p>
        </w:tc>
        <w:tc>
          <w:tcPr>
            <w:tcW w:type="dxa" w:w="8640"/>
            <w:shd w:fill="1F3A5F"/>
            <w:tcMar>
              <w:top w:w="90" w:type="dxa"/>
              <w:start w:w="90" w:type="dxa"/>
              <w:bottom w:w="90" w:type="dxa"/>
              <w:end w:w="90" w:type="dxa"/>
            </w:tcMar>
            <w:vAlign w:val="center"/>
          </w:tcPr>
          <w:p>
            <w:pPr>
              <w:spacing w:after="0"/>
              <w:jc w:val="left"/>
            </w:pPr>
            <w:r>
              <w:rPr>
                <w:rFonts w:ascii="Arial" w:hAnsi="Arial"/>
                <w:b/>
                <w:color w:val="FFFFFF"/>
                <w:sz w:val="17"/>
              </w:rPr>
              <w:t>Features</w:t>
            </w:r>
          </w:p>
        </w:tc>
      </w:tr>
      <w:tr>
        <w:trPr>
          <w:cantSplit/>
        </w:trPr>
        <w:tc>
          <w:tcPr>
            <w:tcW w:type="dxa" w:w="1440"/>
            <w:tcMar>
              <w:top w:w="90" w:type="dxa"/>
              <w:start w:w="90" w:type="dxa"/>
              <w:bottom w:w="90" w:type="dxa"/>
              <w:end w:w="90" w:type="dxa"/>
            </w:tcMar>
            <w:vAlign w:val="top"/>
          </w:tcPr>
          <w:p>
            <w:pPr>
              <w:spacing w:after="0" w:line="240" w:lineRule="auto"/>
            </w:pPr>
            <w:r>
              <w:rPr>
                <w:rFonts w:ascii="Arial" w:hAnsi="Arial"/>
                <w:b w:val="0"/>
                <w:sz w:val="17"/>
              </w:rPr>
              <w:t>M0</w:t>
            </w:r>
          </w:p>
        </w:tc>
        <w:tc>
          <w:tcPr>
            <w:tcW w:type="dxa" w:w="8640"/>
            <w:tcMar>
              <w:top w:w="90" w:type="dxa"/>
              <w:start w:w="90" w:type="dxa"/>
              <w:bottom w:w="90" w:type="dxa"/>
              <w:end w:w="90" w:type="dxa"/>
            </w:tcMar>
            <w:vAlign w:val="top"/>
          </w:tcPr>
          <w:p>
            <w:pPr>
              <w:spacing w:after="0" w:line="240" w:lineRule="auto"/>
            </w:pPr>
            <w:r>
              <w:rPr>
                <w:rFonts w:ascii="Arial" w:hAnsi="Arial"/>
                <w:b w:val="0"/>
                <w:sz w:val="17"/>
              </w:rPr>
              <w:t>Property type; common listing/host controls; fixed amenities; log population density; OSM city-centre distance</w:t>
            </w:r>
          </w:p>
        </w:tc>
      </w:tr>
      <w:tr>
        <w:trPr>
          <w:cantSplit/>
        </w:trPr>
        <w:tc>
          <w:tcPr>
            <w:tcW w:type="dxa" w:w="1440"/>
            <w:shd w:fill="F5F7FA"/>
            <w:tcMar>
              <w:top w:w="90" w:type="dxa"/>
              <w:start w:w="90" w:type="dxa"/>
              <w:bottom w:w="90" w:type="dxa"/>
              <w:end w:w="90" w:type="dxa"/>
            </w:tcMar>
            <w:vAlign w:val="top"/>
          </w:tcPr>
          <w:p>
            <w:pPr>
              <w:spacing w:after="0" w:line="240" w:lineRule="auto"/>
            </w:pPr>
            <w:r>
              <w:rPr>
                <w:rFonts w:ascii="Arial" w:hAnsi="Arial"/>
                <w:b w:val="0"/>
                <w:sz w:val="17"/>
              </w:rPr>
              <w:t>ME</w:t>
            </w:r>
          </w:p>
        </w:tc>
        <w:tc>
          <w:tcPr>
            <w:tcW w:type="dxa" w:w="8640"/>
            <w:shd w:fill="F5F7FA"/>
            <w:tcMar>
              <w:top w:w="90" w:type="dxa"/>
              <w:start w:w="90" w:type="dxa"/>
              <w:bottom w:w="90" w:type="dxa"/>
              <w:end w:w="90" w:type="dxa"/>
            </w:tcMar>
            <w:vAlign w:val="top"/>
          </w:tcPr>
          <w:p>
            <w:pPr>
              <w:spacing w:after="0" w:line="240" w:lineRule="auto"/>
            </w:pPr>
            <w:r>
              <w:rPr>
                <w:rFonts w:ascii="Arial" w:hAnsi="Arial"/>
                <w:b w:val="0"/>
                <w:sz w:val="17"/>
              </w:rPr>
              <w:t>M0 + Euclidean rail, bus, food/social and culture/tourism accessibility</w:t>
            </w:r>
          </w:p>
        </w:tc>
      </w:tr>
      <w:tr>
        <w:trPr>
          <w:cantSplit/>
        </w:trPr>
        <w:tc>
          <w:tcPr>
            <w:tcW w:type="dxa" w:w="1440"/>
            <w:tcMar>
              <w:top w:w="90" w:type="dxa"/>
              <w:start w:w="90" w:type="dxa"/>
              <w:bottom w:w="90" w:type="dxa"/>
              <w:end w:w="90" w:type="dxa"/>
            </w:tcMar>
            <w:vAlign w:val="top"/>
          </w:tcPr>
          <w:p>
            <w:pPr>
              <w:spacing w:after="0" w:line="240" w:lineRule="auto"/>
            </w:pPr>
            <w:r>
              <w:rPr>
                <w:rFonts w:ascii="Arial" w:hAnsi="Arial"/>
                <w:b w:val="0"/>
                <w:sz w:val="17"/>
              </w:rPr>
              <w:t>MW</w:t>
            </w:r>
          </w:p>
        </w:tc>
        <w:tc>
          <w:tcPr>
            <w:tcW w:type="dxa" w:w="8640"/>
            <w:tcMar>
              <w:top w:w="90" w:type="dxa"/>
              <w:start w:w="90" w:type="dxa"/>
              <w:bottom w:w="90" w:type="dxa"/>
              <w:end w:w="90" w:type="dxa"/>
            </w:tcMar>
            <w:vAlign w:val="top"/>
          </w:tcPr>
          <w:p>
            <w:pPr>
              <w:spacing w:after="0" w:line="240" w:lineRule="auto"/>
            </w:pPr>
            <w:r>
              <w:rPr>
                <w:rFonts w:ascii="Arial" w:hAnsi="Arial"/>
                <w:b w:val="0"/>
                <w:sz w:val="17"/>
              </w:rPr>
              <w:t>M0 + walking-network rail, bus, food/social and culture/tourism accessibility</w:t>
            </w:r>
          </w:p>
        </w:tc>
      </w:tr>
      <w:tr>
        <w:trPr>
          <w:cantSplit/>
        </w:trPr>
        <w:tc>
          <w:tcPr>
            <w:tcW w:type="dxa" w:w="1440"/>
            <w:shd w:fill="F5F7FA"/>
            <w:tcMar>
              <w:top w:w="90" w:type="dxa"/>
              <w:start w:w="90" w:type="dxa"/>
              <w:bottom w:w="90" w:type="dxa"/>
              <w:end w:w="90" w:type="dxa"/>
            </w:tcMar>
            <w:vAlign w:val="top"/>
          </w:tcPr>
          <w:p>
            <w:pPr>
              <w:spacing w:after="0" w:line="240" w:lineRule="auto"/>
            </w:pPr>
            <w:r>
              <w:rPr>
                <w:rFonts w:ascii="Arial" w:hAnsi="Arial"/>
                <w:b w:val="0"/>
                <w:sz w:val="17"/>
              </w:rPr>
              <w:t>MEW</w:t>
            </w:r>
          </w:p>
        </w:tc>
        <w:tc>
          <w:tcPr>
            <w:tcW w:type="dxa" w:w="8640"/>
            <w:shd w:fill="F5F7FA"/>
            <w:tcMar>
              <w:top w:w="90" w:type="dxa"/>
              <w:start w:w="90" w:type="dxa"/>
              <w:bottom w:w="90" w:type="dxa"/>
              <w:end w:w="90" w:type="dxa"/>
            </w:tcMar>
            <w:vAlign w:val="top"/>
          </w:tcPr>
          <w:p>
            <w:pPr>
              <w:spacing w:after="0" w:line="240" w:lineRule="auto"/>
            </w:pPr>
            <w:r>
              <w:rPr>
                <w:rFonts w:ascii="Arial" w:hAnsi="Arial"/>
                <w:b w:val="0"/>
                <w:sz w:val="17"/>
              </w:rPr>
              <w:t>M0 + E + W</w:t>
            </w:r>
          </w:p>
        </w:tc>
      </w:tr>
    </w:tbl>
    <w:p>
      <w:pPr>
        <w:spacing w:after="0"/>
      </w:pPr>
    </w:p>
    <w:p>
      <w:pPr>
        <w:spacing w:before="0" w:after="120" w:line="259" w:lineRule="auto"/>
      </w:pPr>
      <w:r>
        <w:rPr>
          <w:rFonts w:ascii="Arial" w:hAnsi="Arial"/>
          <w:sz w:val="20"/>
        </w:rPr>
        <w:t>Use the same feature definitions in both tasks. Freeze a common category registry and fixed transformations. Any learned imputation, encoding or scaling is fitted on the relevant training data only. For cross-city transfer, the source-city preprocessing object is applied unchanged to the target city; target-city distributional statistics must not be used to rescale or impute predictors.</w:t>
      </w:r>
    </w:p>
    <w:p>
      <w:pPr>
        <w:pStyle w:val="Heading1"/>
        <w:spacing w:before="200" w:after="80"/>
        <w:keepNext/>
      </w:pPr>
      <w:r>
        <w:t>11. Within-city validation and model fitting</w:t>
      </w:r>
    </w:p>
    <w:p>
      <w:pPr>
        <w:pStyle w:val="Heading2"/>
        <w:spacing w:before="140" w:after="80"/>
        <w:keepNext/>
      </w:pPr>
      <w:r>
        <w:t>11.1 Outer validation</w:t>
      </w:r>
    </w:p>
    <w:p>
      <w:pPr>
        <w:spacing w:before="0" w:after="120" w:line="259" w:lineRule="auto"/>
      </w:pPr>
      <w:r>
        <w:rPr>
          <w:rFonts w:ascii="Arial" w:hAnsi="Arial"/>
          <w:sz w:val="20"/>
        </w:rPr>
        <w:t>Primary evaluation is leave-one-operational-neighbourhood-out. Each required outer fold must contain at least 15 final test observations and at least 500 complementary training observations. If a group fails after final feature construction, stop and document the scientific decision; do not lower the threshold again because of observed support.</w:t>
      </w:r>
    </w:p>
    <w:p>
      <w:pPr>
        <w:pStyle w:val="Heading2"/>
        <w:spacing w:before="140" w:after="80"/>
        <w:keepNext/>
      </w:pPr>
      <w:r>
        <w:t>11.2 Inner tuning</w:t>
      </w:r>
    </w:p>
    <w:p>
      <w:pPr>
        <w:spacing w:before="0" w:after="120" w:line="259" w:lineRule="auto"/>
      </w:pPr>
      <w:r>
        <w:rPr>
          <w:rFonts w:ascii="Arial" w:hAnsi="Arial"/>
          <w:sz w:val="20"/>
        </w:rPr>
        <w:t>Tune XGBoost only within each outer training partition using the frozen candidate list and geography-aware inner folds. Never use outer-test outcomes for candidate selection or preprocessing. Refit the selected candidate on the full outer training data before generating the held-out prediction.</w:t>
      </w:r>
    </w:p>
    <w:p>
      <w:pPr>
        <w:pStyle w:val="Heading2"/>
        <w:spacing w:before="140" w:after="80"/>
        <w:keepNext/>
      </w:pPr>
      <w:r>
        <w:t>11.3 Estimators and metrics</w:t>
      </w:r>
    </w:p>
    <w:p>
      <w:pPr>
        <w:spacing w:before="0" w:after="120" w:line="259" w:lineRule="auto"/>
      </w:pPr>
      <w:r>
        <w:rPr>
          <w:rFonts w:ascii="Arial" w:hAnsi="Arial"/>
          <w:sz w:val="20"/>
        </w:rPr>
        <w:t>Fit predictive OLS and XGBoost for M0, ME, MW and MEW. Save one outer prediction per observation/model/estimator. Compute RMSE, MAE and R² from saved held-out predictions. Preserve fold-level losses and paired observation-level losses so contrasts can be recomputed independently.</w:t>
      </w:r>
    </w:p>
    <w:p>
      <w:pPr>
        <w:pStyle w:val="Heading2"/>
        <w:spacing w:before="140" w:after="80"/>
        <w:keepNext/>
      </w:pPr>
      <w:r>
        <w:t>11.4 Within-city contrasts</w:t>
      </w:r>
    </w:p>
    <w:p>
      <w:pPr>
        <w:pStyle w:val="ListBullet"/>
        <w:spacing w:after="60" w:line="252" w:lineRule="auto"/>
      </w:pPr>
      <w:r>
        <w:t>ME − M0: Euclidean accessibility beyond baseline.</w:t>
      </w:r>
    </w:p>
    <w:p>
      <w:pPr>
        <w:pStyle w:val="ListBullet"/>
        <w:spacing w:after="60" w:line="252" w:lineRule="auto"/>
      </w:pPr>
      <w:r>
        <w:t>MW − M0: network accessibility beyond baseline.</w:t>
      </w:r>
    </w:p>
    <w:p>
      <w:pPr>
        <w:pStyle w:val="ListBullet"/>
        <w:spacing w:after="60" w:line="252" w:lineRule="auto"/>
      </w:pPr>
      <w:r>
        <w:t>MW − ME: network as a replacement for Euclidean accessibility.</w:t>
      </w:r>
    </w:p>
    <w:p>
      <w:pPr>
        <w:pStyle w:val="ListBullet"/>
        <w:spacing w:after="60" w:line="252" w:lineRule="auto"/>
      </w:pPr>
      <w:r>
        <w:t>MEW − ME: network information added beyond Euclidean accessibility (primary incremental contrast).</w:t>
      </w:r>
    </w:p>
    <w:p>
      <w:pPr>
        <w:pStyle w:val="ListBullet"/>
        <w:spacing w:after="60" w:line="252" w:lineRule="auto"/>
      </w:pPr>
      <w:r>
        <w:t>MEW − M0: total accessibility information beyond baseline.</w:t>
      </w:r>
    </w:p>
    <w:p>
      <w:pPr>
        <w:spacing w:before="0" w:after="120" w:line="259" w:lineRule="auto"/>
      </w:pPr>
      <w:r>
        <w:rPr>
          <w:rFonts w:ascii="Arial" w:hAnsi="Arial"/>
          <w:sz w:val="20"/>
        </w:rPr>
        <w:t>Define ΔRMSE = added-model RMSE − reference-model RMSE, so negative values indicate improvement. Keep model comparisons paired on identical observations and folds.</w:t>
      </w:r>
    </w:p>
    <w:p>
      <w:pPr>
        <w:pStyle w:val="Heading1"/>
        <w:spacing w:before="200" w:after="80"/>
        <w:keepNext/>
      </w:pPr>
      <w:r>
        <w:t>12. Pairwise cross-city transfer</w:t>
      </w:r>
    </w:p>
    <w:p>
      <w:pPr>
        <w:pStyle w:val="Heading2"/>
        <w:spacing w:before="140" w:after="80"/>
        <w:keepNext/>
      </w:pPr>
      <w:r>
        <w:t>12.1 Transfer directions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3168"/>
            <w:shd w:fill="1F3A5F"/>
            <w:tcMar>
              <w:top w:w="90" w:type="dxa"/>
              <w:start w:w="90" w:type="dxa"/>
              <w:bottom w:w="90" w:type="dxa"/>
              <w:end w:w="90" w:type="dxa"/>
            </w:tcMar>
            <w:vAlign w:val="center"/>
          </w:tcPr>
          <w:p>
            <w:pPr>
              <w:spacing w:after="0"/>
              <w:jc w:val="left"/>
            </w:pPr>
            <w:r>
              <w:rPr>
                <w:rFonts w:ascii="Arial" w:hAnsi="Arial"/>
                <w:b/>
                <w:color w:val="FFFFFF"/>
                <w:sz w:val="17"/>
              </w:rPr>
              <w:t>Source city</w:t>
            </w:r>
          </w:p>
        </w:tc>
        <w:tc>
          <w:tcPr>
            <w:tcW w:type="dxa" w:w="6912"/>
            <w:shd w:fill="1F3A5F"/>
            <w:tcMar>
              <w:top w:w="90" w:type="dxa"/>
              <w:start w:w="90" w:type="dxa"/>
              <w:bottom w:w="90" w:type="dxa"/>
              <w:end w:w="90" w:type="dxa"/>
            </w:tcMar>
            <w:vAlign w:val="center"/>
          </w:tcPr>
          <w:p>
            <w:pPr>
              <w:spacing w:after="0"/>
              <w:jc w:val="left"/>
            </w:pPr>
            <w:r>
              <w:rPr>
                <w:rFonts w:ascii="Arial" w:hAnsi="Arial"/>
                <w:b/>
                <w:color w:val="FFFFFF"/>
                <w:sz w:val="17"/>
              </w:rPr>
              <w:t>Target cities</w:t>
            </w:r>
          </w:p>
        </w:tc>
      </w:tr>
      <w:tr>
        <w:trPr>
          <w:cantSplit/>
        </w:trPr>
        <w:tc>
          <w:tcPr>
            <w:tcW w:type="dxa" w:w="3168"/>
            <w:tcMar>
              <w:top w:w="90" w:type="dxa"/>
              <w:start w:w="90" w:type="dxa"/>
              <w:bottom w:w="90" w:type="dxa"/>
              <w:end w:w="90" w:type="dxa"/>
            </w:tcMar>
            <w:vAlign w:val="top"/>
          </w:tcPr>
          <w:p>
            <w:pPr>
              <w:spacing w:after="0" w:line="240" w:lineRule="auto"/>
            </w:pPr>
            <w:r>
              <w:rPr>
                <w:rFonts w:ascii="Arial" w:hAnsi="Arial"/>
                <w:b w:val="0"/>
                <w:sz w:val="17"/>
              </w:rPr>
              <w:t>Copenhagen</w:t>
            </w:r>
          </w:p>
        </w:tc>
        <w:tc>
          <w:tcPr>
            <w:tcW w:type="dxa" w:w="6912"/>
            <w:tcMar>
              <w:top w:w="90" w:type="dxa"/>
              <w:start w:w="90" w:type="dxa"/>
              <w:bottom w:w="90" w:type="dxa"/>
              <w:end w:w="90" w:type="dxa"/>
            </w:tcMar>
            <w:vAlign w:val="top"/>
          </w:tcPr>
          <w:p>
            <w:pPr>
              <w:spacing w:after="0" w:line="240" w:lineRule="auto"/>
            </w:pPr>
            <w:r>
              <w:rPr>
                <w:rFonts w:ascii="Arial" w:hAnsi="Arial"/>
                <w:b w:val="0"/>
                <w:sz w:val="17"/>
              </w:rPr>
              <w:t>Oslo; Stockholm</w:t>
            </w:r>
          </w:p>
        </w:tc>
      </w:tr>
      <w:tr>
        <w:trPr>
          <w:cantSplit/>
        </w:trPr>
        <w:tc>
          <w:tcPr>
            <w:tcW w:type="dxa" w:w="3168"/>
            <w:shd w:fill="F5F7FA"/>
            <w:tcMar>
              <w:top w:w="90" w:type="dxa"/>
              <w:start w:w="90" w:type="dxa"/>
              <w:bottom w:w="90" w:type="dxa"/>
              <w:end w:w="90" w:type="dxa"/>
            </w:tcMar>
            <w:vAlign w:val="top"/>
          </w:tcPr>
          <w:p>
            <w:pPr>
              <w:spacing w:after="0" w:line="240" w:lineRule="auto"/>
            </w:pPr>
            <w:r>
              <w:rPr>
                <w:rFonts w:ascii="Arial" w:hAnsi="Arial"/>
                <w:b w:val="0"/>
                <w:sz w:val="17"/>
              </w:rPr>
              <w:t>Oslo</w:t>
            </w:r>
          </w:p>
        </w:tc>
        <w:tc>
          <w:tcPr>
            <w:tcW w:type="dxa" w:w="6912"/>
            <w:shd w:fill="F5F7FA"/>
            <w:tcMar>
              <w:top w:w="90" w:type="dxa"/>
              <w:start w:w="90" w:type="dxa"/>
              <w:bottom w:w="90" w:type="dxa"/>
              <w:end w:w="90" w:type="dxa"/>
            </w:tcMar>
            <w:vAlign w:val="top"/>
          </w:tcPr>
          <w:p>
            <w:pPr>
              <w:spacing w:after="0" w:line="240" w:lineRule="auto"/>
            </w:pPr>
            <w:r>
              <w:rPr>
                <w:rFonts w:ascii="Arial" w:hAnsi="Arial"/>
                <w:b w:val="0"/>
                <w:sz w:val="17"/>
              </w:rPr>
              <w:t>Copenhagen; Stockholm</w:t>
            </w:r>
          </w:p>
        </w:tc>
      </w:tr>
      <w:tr>
        <w:trPr>
          <w:cantSplit/>
        </w:trPr>
        <w:tc>
          <w:tcPr>
            <w:tcW w:type="dxa" w:w="3168"/>
            <w:tcMar>
              <w:top w:w="90" w:type="dxa"/>
              <w:start w:w="90" w:type="dxa"/>
              <w:bottom w:w="90" w:type="dxa"/>
              <w:end w:w="90" w:type="dxa"/>
            </w:tcMar>
            <w:vAlign w:val="top"/>
          </w:tcPr>
          <w:p>
            <w:pPr>
              <w:spacing w:after="0" w:line="240" w:lineRule="auto"/>
            </w:pPr>
            <w:r>
              <w:rPr>
                <w:rFonts w:ascii="Arial" w:hAnsi="Arial"/>
                <w:b w:val="0"/>
                <w:sz w:val="17"/>
              </w:rPr>
              <w:t>Stockholm</w:t>
            </w:r>
          </w:p>
        </w:tc>
        <w:tc>
          <w:tcPr>
            <w:tcW w:type="dxa" w:w="6912"/>
            <w:tcMar>
              <w:top w:w="90" w:type="dxa"/>
              <w:start w:w="90" w:type="dxa"/>
              <w:bottom w:w="90" w:type="dxa"/>
              <w:end w:w="90" w:type="dxa"/>
            </w:tcMar>
            <w:vAlign w:val="top"/>
          </w:tcPr>
          <w:p>
            <w:pPr>
              <w:spacing w:after="0" w:line="240" w:lineRule="auto"/>
            </w:pPr>
            <w:r>
              <w:rPr>
                <w:rFonts w:ascii="Arial" w:hAnsi="Arial"/>
                <w:b w:val="0"/>
                <w:sz w:val="17"/>
              </w:rPr>
              <w:t>Copenhagen; Oslo</w:t>
            </w:r>
          </w:p>
        </w:tc>
      </w:tr>
    </w:tbl>
    <w:p>
      <w:pPr>
        <w:spacing w:after="0"/>
      </w:pPr>
    </w:p>
    <w:p>
      <w:pPr>
        <w:spacing w:before="0" w:after="120" w:line="259" w:lineRule="auto"/>
      </w:pPr>
      <w:r>
        <w:rPr>
          <w:rFonts w:ascii="Arial" w:hAnsi="Arial"/>
          <w:sz w:val="20"/>
        </w:rPr>
        <w:t>There is no primary pooled two-city training. This avoids introducing city-weighting choices and keeps the transfer question directional and interpretable.</w:t>
      </w:r>
    </w:p>
    <w:p>
      <w:pPr>
        <w:pStyle w:val="Heading2"/>
        <w:spacing w:before="140" w:after="80"/>
        <w:keepNext/>
      </w:pPr>
      <w:r>
        <w:t>12.2 Source training protocol</w:t>
      </w:r>
    </w:p>
    <w:p>
      <w:pPr>
        <w:spacing w:before="0" w:after="120" w:line="259" w:lineRule="auto"/>
      </w:pPr>
      <w:r>
        <w:rPr>
          <w:rFonts w:ascii="Arial" w:hAnsi="Arial"/>
          <w:sz w:val="20"/>
        </w:rPr>
        <w:t>For each source city and each model, fit the relative-price model using only source-city observations. Hyperparameter selection and any learned preprocessing use source data only. The final source model may use the complete source analytical sample after its tuning procedure is frozen.</w:t>
      </w:r>
    </w:p>
    <w:p>
      <w:pPr>
        <w:pStyle w:val="Heading2"/>
        <w:spacing w:before="140" w:after="80"/>
        <w:keepNext/>
      </w:pPr>
      <w:r>
        <w:t>12.3 Target application</w:t>
      </w:r>
    </w:p>
    <w:p>
      <w:pPr>
        <w:spacing w:before="0" w:after="120" w:line="259" w:lineRule="auto"/>
      </w:pPr>
      <w:r>
        <w:rPr>
          <w:rFonts w:ascii="Arial" w:hAnsi="Arial"/>
          <w:sz w:val="20"/>
        </w:rPr>
        <w:t>Apply the fitted source pipeline unchanged to the target city’s feature matrix. Do not refit coefficients, trees, encoders, imputation values, scalers or hyperparameters on the target. Do not add a target-city intercept or other calibration parameter. Target outcomes are used only for the pre-frozen μc benchmark and for scoring predictions.</w:t>
      </w:r>
    </w:p>
    <w:p>
      <w:pPr>
        <w:pStyle w:val="Heading2"/>
        <w:spacing w:before="140" w:after="80"/>
        <w:keepNext/>
      </w:pPr>
      <w:r>
        <w:t>12.4 Transfer metrics and contrasts</w:t>
      </w:r>
    </w:p>
    <w:p>
      <w:pPr>
        <w:spacing w:before="0" w:after="120" w:line="259" w:lineRule="auto"/>
      </w:pPr>
      <w:r>
        <w:rPr>
          <w:rFonts w:ascii="Arial" w:hAnsi="Arial"/>
          <w:sz w:val="20"/>
        </w:rPr>
        <w:t>Evaluate RMSE, MAE and R² in relative-log-price units and report rank correlation as a complementary measure of expensive/cheap ordering. Compare M0, ME, MW and MEW using paired target errors, with particular emphasis on MW versus ME and MEW versus ME. Report all six directions separately. A simple equal-direction summary may be included for synthesis, but it is descriptive and does not replace the direction-specific results.</w:t>
      </w:r>
    </w:p>
    <w:p>
      <w:pPr>
        <w:pStyle w:val="Heading2"/>
        <w:spacing w:before="140" w:after="80"/>
        <w:keepNext/>
      </w:pPr>
      <w:r>
        <w:t>12.5 Interpretation boundary</w:t>
      </w:r>
    </w:p>
    <w:p>
      <w:pPr>
        <w:spacing w:before="0" w:after="120" w:line="259" w:lineRule="auto"/>
      </w:pPr>
      <w:r>
        <w:rPr>
          <w:rFonts w:ascii="Arial" w:hAnsi="Arial"/>
          <w:sz w:val="20"/>
        </w:rPr>
        <w:t>This experiment tests structural transferability of relative pricing relationships. It does not test zero-shot prediction of a target city’s absolute nightly price because the target city’s observed price distribution is used to define its benchmark. Do not convert the relative predictions back to an “absolute predicted target price” and present that as a deployment result.</w:t>
      </w:r>
    </w:p>
    <w:p>
      <w:pPr>
        <w:pStyle w:val="Heading1"/>
        <w:spacing w:before="200" w:after="80"/>
        <w:keepNext/>
      </w:pPr>
      <w:r>
        <w:t>13. Diagnostics and robustness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2232"/>
            <w:shd w:fill="1F3A5F"/>
            <w:tcMar>
              <w:top w:w="90" w:type="dxa"/>
              <w:start w:w="90" w:type="dxa"/>
              <w:bottom w:w="90" w:type="dxa"/>
              <w:end w:w="90" w:type="dxa"/>
            </w:tcMar>
            <w:vAlign w:val="center"/>
          </w:tcPr>
          <w:p>
            <w:pPr>
              <w:spacing w:after="0"/>
              <w:jc w:val="left"/>
            </w:pPr>
            <w:r>
              <w:rPr>
                <w:rFonts w:ascii="Arial" w:hAnsi="Arial"/>
                <w:b/>
                <w:color w:val="FFFFFF"/>
                <w:sz w:val="16"/>
              </w:rPr>
              <w:t>Domain</w:t>
            </w:r>
          </w:p>
        </w:tc>
        <w:tc>
          <w:tcPr>
            <w:tcW w:type="dxa" w:w="7848"/>
            <w:shd w:fill="1F3A5F"/>
            <w:tcMar>
              <w:top w:w="90" w:type="dxa"/>
              <w:start w:w="90" w:type="dxa"/>
              <w:bottom w:w="90" w:type="dxa"/>
              <w:end w:w="90" w:type="dxa"/>
            </w:tcMar>
            <w:vAlign w:val="center"/>
          </w:tcPr>
          <w:p>
            <w:pPr>
              <w:spacing w:after="0"/>
              <w:jc w:val="left"/>
            </w:pPr>
            <w:r>
              <w:rPr>
                <w:rFonts w:ascii="Arial" w:hAnsi="Arial"/>
                <w:b/>
                <w:color w:val="FFFFFF"/>
                <w:sz w:val="16"/>
              </w:rPr>
              <w:t>Required checks</w:t>
            </w:r>
          </w:p>
        </w:tc>
      </w:tr>
      <w:tr>
        <w:trPr>
          <w:cantSplit/>
        </w:trPr>
        <w:tc>
          <w:tcPr>
            <w:tcW w:type="dxa" w:w="2232"/>
            <w:tcMar>
              <w:top w:w="90" w:type="dxa"/>
              <w:start w:w="90" w:type="dxa"/>
              <w:bottom w:w="90" w:type="dxa"/>
              <w:end w:w="90" w:type="dxa"/>
            </w:tcMar>
            <w:vAlign w:val="top"/>
          </w:tcPr>
          <w:p>
            <w:pPr>
              <w:spacing w:after="0" w:line="240" w:lineRule="auto"/>
            </w:pPr>
            <w:r>
              <w:rPr>
                <w:rFonts w:ascii="Arial" w:hAnsi="Arial"/>
                <w:b w:val="0"/>
                <w:sz w:val="16"/>
              </w:rPr>
              <w:t>Spatial dependence</w:t>
            </w:r>
          </w:p>
        </w:tc>
        <w:tc>
          <w:tcPr>
            <w:tcW w:type="dxa" w:w="7848"/>
            <w:tcMar>
              <w:top w:w="90" w:type="dxa"/>
              <w:start w:w="90" w:type="dxa"/>
              <w:bottom w:w="90" w:type="dxa"/>
              <w:end w:w="90" w:type="dxa"/>
            </w:tcMar>
            <w:vAlign w:val="top"/>
          </w:tcPr>
          <w:p>
            <w:pPr>
              <w:spacing w:after="0" w:line="240" w:lineRule="auto"/>
            </w:pPr>
            <w:r>
              <w:rPr>
                <w:rFonts w:ascii="Arial" w:hAnsi="Arial"/>
                <w:b w:val="0"/>
                <w:sz w:val="16"/>
              </w:rPr>
              <w:t>Eight-nearest-neighbour Moran’s I for actual log price and selected within-city OOF residuals; seeded permutations.</w:t>
            </w:r>
          </w:p>
        </w:tc>
      </w:tr>
      <w:tr>
        <w:trPr>
          <w:cantSplit/>
        </w:trPr>
        <w:tc>
          <w:tcPr>
            <w:tcW w:type="dxa" w:w="2232"/>
            <w:shd w:fill="F5F7FA"/>
            <w:tcMar>
              <w:top w:w="90" w:type="dxa"/>
              <w:start w:w="90" w:type="dxa"/>
              <w:bottom w:w="90" w:type="dxa"/>
              <w:end w:w="90" w:type="dxa"/>
            </w:tcMar>
            <w:vAlign w:val="top"/>
          </w:tcPr>
          <w:p>
            <w:pPr>
              <w:spacing w:after="0" w:line="240" w:lineRule="auto"/>
            </w:pPr>
            <w:r>
              <w:rPr>
                <w:rFonts w:ascii="Arial" w:hAnsi="Arial"/>
                <w:b w:val="0"/>
                <w:sz w:val="16"/>
              </w:rPr>
              <w:t>Association inference</w:t>
            </w:r>
          </w:p>
        </w:tc>
        <w:tc>
          <w:tcPr>
            <w:tcW w:type="dxa" w:w="7848"/>
            <w:shd w:fill="F5F7FA"/>
            <w:tcMar>
              <w:top w:w="90" w:type="dxa"/>
              <w:start w:w="90" w:type="dxa"/>
              <w:bottom w:w="90" w:type="dxa"/>
              <w:end w:w="90" w:type="dxa"/>
            </w:tcMar>
            <w:vAlign w:val="top"/>
          </w:tcPr>
          <w:p>
            <w:pPr>
              <w:spacing w:after="0" w:line="240" w:lineRule="auto"/>
            </w:pPr>
            <w:r>
              <w:rPr>
                <w:rFonts w:ascii="Arial" w:hAnsi="Arial"/>
                <w:b w:val="0"/>
                <w:sz w:val="16"/>
              </w:rPr>
              <w:t>HC3 intervals; restricted wild-cluster bootstrap-t by operational neighbourhood groups; rank/VIF/condition diagnostics.</w:t>
            </w:r>
          </w:p>
        </w:tc>
      </w:tr>
      <w:tr>
        <w:trPr>
          <w:cantSplit/>
        </w:trPr>
        <w:tc>
          <w:tcPr>
            <w:tcW w:type="dxa" w:w="2232"/>
            <w:tcMar>
              <w:top w:w="90" w:type="dxa"/>
              <w:start w:w="90" w:type="dxa"/>
              <w:bottom w:w="90" w:type="dxa"/>
              <w:end w:w="90" w:type="dxa"/>
            </w:tcMar>
            <w:vAlign w:val="top"/>
          </w:tcPr>
          <w:p>
            <w:pPr>
              <w:spacing w:after="0" w:line="240" w:lineRule="auto"/>
            </w:pPr>
            <w:r>
              <w:rPr>
                <w:rFonts w:ascii="Arial" w:hAnsi="Arial"/>
                <w:b w:val="0"/>
                <w:sz w:val="16"/>
              </w:rPr>
              <w:t>Sample</w:t>
            </w:r>
          </w:p>
        </w:tc>
        <w:tc>
          <w:tcPr>
            <w:tcW w:type="dxa" w:w="7848"/>
            <w:tcMar>
              <w:top w:w="90" w:type="dxa"/>
              <w:start w:w="90" w:type="dxa"/>
              <w:bottom w:w="90" w:type="dxa"/>
              <w:end w:w="90" w:type="dxa"/>
            </w:tcMar>
            <w:vAlign w:val="top"/>
          </w:tcPr>
          <w:p>
            <w:pPr>
              <w:spacing w:after="0" w:line="240" w:lineRule="auto"/>
            </w:pPr>
            <w:r>
              <w:rPr>
                <w:rFonts w:ascii="Arial" w:hAnsi="Arial"/>
                <w:b w:val="0"/>
                <w:sz w:val="16"/>
              </w:rPr>
              <w:t>Apartment/condo-only; reviewed listings; training-only 1st/99th price trimming.</w:t>
            </w:r>
          </w:p>
        </w:tc>
      </w:tr>
      <w:tr>
        <w:trPr>
          <w:cantSplit/>
        </w:trPr>
        <w:tc>
          <w:tcPr>
            <w:tcW w:type="dxa" w:w="2232"/>
            <w:shd w:fill="F5F7FA"/>
            <w:tcMar>
              <w:top w:w="90" w:type="dxa"/>
              <w:start w:w="90" w:type="dxa"/>
              <w:bottom w:w="90" w:type="dxa"/>
              <w:end w:w="90" w:type="dxa"/>
            </w:tcMar>
            <w:vAlign w:val="top"/>
          </w:tcPr>
          <w:p>
            <w:pPr>
              <w:spacing w:after="0" w:line="240" w:lineRule="auto"/>
            </w:pPr>
            <w:r>
              <w:rPr>
                <w:rFonts w:ascii="Arial" w:hAnsi="Arial"/>
                <w:b w:val="0"/>
                <w:sz w:val="16"/>
              </w:rPr>
              <w:t>Context</w:t>
            </w:r>
          </w:p>
        </w:tc>
        <w:tc>
          <w:tcPr>
            <w:tcW w:type="dxa" w:w="7848"/>
            <w:shd w:fill="F5F7FA"/>
            <w:tcMar>
              <w:top w:w="90" w:type="dxa"/>
              <w:start w:w="90" w:type="dxa"/>
              <w:bottom w:w="90" w:type="dxa"/>
              <w:end w:w="90" w:type="dxa"/>
            </w:tcMar>
            <w:vAlign w:val="top"/>
          </w:tcPr>
          <w:p>
            <w:pPr>
              <w:spacing w:after="0" w:line="240" w:lineRule="auto"/>
            </w:pPr>
            <w:r>
              <w:rPr>
                <w:rFonts w:ascii="Arial" w:hAnsi="Arial"/>
                <w:b w:val="0"/>
                <w:sz w:val="16"/>
              </w:rPr>
              <w:t>No-density sensitivity.</w:t>
            </w:r>
          </w:p>
        </w:tc>
      </w:tr>
      <w:tr>
        <w:trPr>
          <w:cantSplit/>
        </w:trPr>
        <w:tc>
          <w:tcPr>
            <w:tcW w:type="dxa" w:w="2232"/>
            <w:tcMar>
              <w:top w:w="90" w:type="dxa"/>
              <w:start w:w="90" w:type="dxa"/>
              <w:bottom w:w="90" w:type="dxa"/>
              <w:end w:w="90" w:type="dxa"/>
            </w:tcMar>
            <w:vAlign w:val="top"/>
          </w:tcPr>
          <w:p>
            <w:pPr>
              <w:spacing w:after="0" w:line="240" w:lineRule="auto"/>
            </w:pPr>
            <w:r>
              <w:rPr>
                <w:rFonts w:ascii="Arial" w:hAnsi="Arial"/>
                <w:b w:val="0"/>
                <w:sz w:val="16"/>
              </w:rPr>
              <w:t>Accessibility</w:t>
            </w:r>
          </w:p>
        </w:tc>
        <w:tc>
          <w:tcPr>
            <w:tcW w:type="dxa" w:w="7848"/>
            <w:tcMar>
              <w:top w:w="90" w:type="dxa"/>
              <w:start w:w="90" w:type="dxa"/>
              <w:bottom w:w="90" w:type="dxa"/>
              <w:end w:w="90" w:type="dxa"/>
            </w:tcMar>
            <w:vAlign w:val="top"/>
          </w:tcPr>
          <w:p>
            <w:pPr>
              <w:spacing w:after="0" w:line="240" w:lineRule="auto"/>
            </w:pPr>
            <w:r>
              <w:rPr>
                <w:rFonts w:ascii="Arial" w:hAnsi="Arial"/>
                <w:b w:val="0"/>
                <w:sz w:val="16"/>
              </w:rPr>
              <w:t>15/20 min, alternative walking speeds, continuous decay.</w:t>
            </w:r>
          </w:p>
        </w:tc>
      </w:tr>
      <w:tr>
        <w:trPr>
          <w:cantSplit/>
        </w:trPr>
        <w:tc>
          <w:tcPr>
            <w:tcW w:type="dxa" w:w="2232"/>
            <w:shd w:fill="F5F7FA"/>
            <w:tcMar>
              <w:top w:w="90" w:type="dxa"/>
              <w:start w:w="90" w:type="dxa"/>
              <w:bottom w:w="90" w:type="dxa"/>
              <w:end w:w="90" w:type="dxa"/>
            </w:tcMar>
            <w:vAlign w:val="top"/>
          </w:tcPr>
          <w:p>
            <w:pPr>
              <w:spacing w:after="0" w:line="240" w:lineRule="auto"/>
            </w:pPr>
            <w:r>
              <w:rPr>
                <w:rFonts w:ascii="Arial" w:hAnsi="Arial"/>
                <w:b w:val="0"/>
                <w:sz w:val="16"/>
              </w:rPr>
              <w:t>Validation</w:t>
            </w:r>
          </w:p>
        </w:tc>
        <w:tc>
          <w:tcPr>
            <w:tcW w:type="dxa" w:w="7848"/>
            <w:shd w:fill="F5F7FA"/>
            <w:tcMar>
              <w:top w:w="90" w:type="dxa"/>
              <w:start w:w="90" w:type="dxa"/>
              <w:bottom w:w="90" w:type="dxa"/>
              <w:end w:w="90" w:type="dxa"/>
            </w:tcMar>
            <w:vAlign w:val="top"/>
          </w:tcPr>
          <w:p>
            <w:pPr>
              <w:spacing w:after="0" w:line="240" w:lineRule="auto"/>
            </w:pPr>
            <w:r>
              <w:rPr>
                <w:rFonts w:ascii="Arial" w:hAnsi="Arial"/>
                <w:b w:val="0"/>
                <w:sz w:val="16"/>
              </w:rPr>
              <w:t>Random five-fold and common geometric-block within-city benchmarks; exclusion buffers where registered.</w:t>
            </w:r>
          </w:p>
        </w:tc>
      </w:tr>
      <w:tr>
        <w:trPr>
          <w:cantSplit/>
        </w:trPr>
        <w:tc>
          <w:tcPr>
            <w:tcW w:type="dxa" w:w="2232"/>
            <w:tcMar>
              <w:top w:w="90" w:type="dxa"/>
              <w:start w:w="90" w:type="dxa"/>
              <w:bottom w:w="90" w:type="dxa"/>
              <w:end w:w="90" w:type="dxa"/>
            </w:tcMar>
            <w:vAlign w:val="top"/>
          </w:tcPr>
          <w:p>
            <w:pPr>
              <w:spacing w:after="0" w:line="240" w:lineRule="auto"/>
            </w:pPr>
            <w:r>
              <w:rPr>
                <w:rFonts w:ascii="Arial" w:hAnsi="Arial"/>
                <w:b w:val="0"/>
                <w:sz w:val="16"/>
              </w:rPr>
              <w:t>Transfer</w:t>
            </w:r>
          </w:p>
        </w:tc>
        <w:tc>
          <w:tcPr>
            <w:tcW w:type="dxa" w:w="7848"/>
            <w:tcMar>
              <w:top w:w="90" w:type="dxa"/>
              <w:start w:w="90" w:type="dxa"/>
              <w:bottom w:w="90" w:type="dxa"/>
              <w:end w:w="90" w:type="dxa"/>
            </w:tcMar>
            <w:vAlign w:val="top"/>
          </w:tcPr>
          <w:p>
            <w:pPr>
              <w:spacing w:after="0" w:line="240" w:lineRule="auto"/>
            </w:pPr>
            <w:r>
              <w:rPr>
                <w:rFonts w:ascii="Arial" w:hAnsi="Arial"/>
                <w:b w:val="0"/>
                <w:sz w:val="16"/>
              </w:rPr>
              <w:t>Direction-specific diagnostics; target neighbourhood error summaries; optional median-centred relative-price sensitivity.</w:t>
            </w:r>
          </w:p>
        </w:tc>
      </w:tr>
      <w:tr>
        <w:trPr>
          <w:cantSplit/>
        </w:trPr>
        <w:tc>
          <w:tcPr>
            <w:tcW w:type="dxa" w:w="2232"/>
            <w:shd w:fill="F5F7FA"/>
            <w:tcMar>
              <w:top w:w="90" w:type="dxa"/>
              <w:start w:w="90" w:type="dxa"/>
              <w:bottom w:w="90" w:type="dxa"/>
              <w:end w:w="90" w:type="dxa"/>
            </w:tcMar>
            <w:vAlign w:val="top"/>
          </w:tcPr>
          <w:p>
            <w:pPr>
              <w:spacing w:after="0" w:line="240" w:lineRule="auto"/>
            </w:pPr>
            <w:r>
              <w:rPr>
                <w:rFonts w:ascii="Arial" w:hAnsi="Arial"/>
                <w:b w:val="0"/>
                <w:sz w:val="16"/>
              </w:rPr>
              <w:t>Location uncertainty</w:t>
            </w:r>
          </w:p>
        </w:tc>
        <w:tc>
          <w:tcPr>
            <w:tcW w:type="dxa" w:w="7848"/>
            <w:shd w:fill="F5F7FA"/>
            <w:tcMar>
              <w:top w:w="90" w:type="dxa"/>
              <w:start w:w="90" w:type="dxa"/>
              <w:bottom w:w="90" w:type="dxa"/>
              <w:end w:w="90" w:type="dxa"/>
            </w:tcMar>
            <w:vAlign w:val="top"/>
          </w:tcPr>
          <w:p>
            <w:pPr>
              <w:spacing w:after="0" w:line="240" w:lineRule="auto"/>
            </w:pPr>
            <w:r>
              <w:rPr>
                <w:rFonts w:ascii="Arial" w:hAnsi="Arial"/>
                <w:b w:val="0"/>
                <w:sz w:val="16"/>
              </w:rPr>
              <w:t>Boundary-near and network-snap diagnostics; do not infer true addresses.</w:t>
            </w:r>
          </w:p>
        </w:tc>
      </w:tr>
      <w:tr>
        <w:trPr>
          <w:cantSplit/>
        </w:trPr>
        <w:tc>
          <w:tcPr>
            <w:tcW w:type="dxa" w:w="2232"/>
            <w:tcMar>
              <w:top w:w="90" w:type="dxa"/>
              <w:start w:w="90" w:type="dxa"/>
              <w:bottom w:w="90" w:type="dxa"/>
              <w:end w:w="90" w:type="dxa"/>
            </w:tcMar>
            <w:vAlign w:val="top"/>
          </w:tcPr>
          <w:p>
            <w:pPr>
              <w:spacing w:after="0" w:line="240" w:lineRule="auto"/>
            </w:pPr>
            <w:r>
              <w:rPr>
                <w:rFonts w:ascii="Arial" w:hAnsi="Arial"/>
                <w:b w:val="0"/>
                <w:sz w:val="16"/>
              </w:rPr>
              <w:t>Missing-price selection</w:t>
            </w:r>
          </w:p>
        </w:tc>
        <w:tc>
          <w:tcPr>
            <w:tcW w:type="dxa" w:w="7848"/>
            <w:tcMar>
              <w:top w:w="90" w:type="dxa"/>
              <w:start w:w="90" w:type="dxa"/>
              <w:bottom w:w="90" w:type="dxa"/>
              <w:end w:w="90" w:type="dxa"/>
            </w:tcMar>
            <w:vAlign w:val="top"/>
          </w:tcPr>
          <w:p>
            <w:pPr>
              <w:spacing w:after="0" w:line="240" w:lineRule="auto"/>
            </w:pPr>
            <w:r>
              <w:rPr>
                <w:rFonts w:ascii="Arial" w:hAnsi="Arial"/>
                <w:b w:val="0"/>
                <w:sz w:val="16"/>
              </w:rPr>
              <w:t>Compare characteristics of eligible listings with and without observed price where possible.</w:t>
            </w:r>
          </w:p>
        </w:tc>
      </w:tr>
    </w:tbl>
    <w:p>
      <w:pPr>
        <w:spacing w:after="0"/>
      </w:pPr>
    </w:p>
    <w:p>
      <w:pPr>
        <w:spacing w:before="0" w:after="120" w:line="259" w:lineRule="auto"/>
      </w:pPr>
      <w:r>
        <w:rPr>
          <w:rFonts w:ascii="Arial" w:hAnsi="Arial"/>
          <w:sz w:val="20"/>
        </w:rPr>
        <w:t>Cross-city transfer robustness must never use target outcomes to tune the source model. Any alternative relative-price centring rule is frozen before transfer results are inspected and applied consistently to all six directions.</w:t>
      </w:r>
    </w:p>
    <w:p>
      <w:pPr>
        <w:pStyle w:val="Heading1"/>
        <w:spacing w:before="200" w:after="80"/>
        <w:keepNext/>
      </w:pPr>
      <w:r>
        <w:t>14. Cross-city synthesis</w:t>
      </w:r>
    </w:p>
    <w:p>
      <w:pPr>
        <w:spacing w:before="0" w:after="120" w:line="259" w:lineRule="auto"/>
      </w:pPr>
      <w:r>
        <w:rPr>
          <w:rFonts w:ascii="Arial" w:hAnsi="Arial"/>
          <w:sz w:val="20"/>
        </w:rPr>
        <w:t>Synthesize the results without pretending the three cities are exchangeable replicates. For within-city analyses, compare the direction and magnitude of M0→ME, M0→MW, MW↔ME and ME→MEW changes, together with measured E/W disagreement and network diagnostics. For transfer, report each directional source→target result and ask whether accessibility blocks improve relative-price prediction consistently, asymmetrically or not at all.</w:t>
      </w:r>
    </w:p>
    <w:p>
      <w:pPr>
        <w:spacing w:before="0" w:after="120" w:line="259" w:lineRule="auto"/>
      </w:pPr>
      <w:r>
        <w:rPr>
          <w:rFonts w:ascii="Arial" w:hAnsi="Arial"/>
          <w:sz w:val="20"/>
        </w:rPr>
        <w:t>Explain city differences only using measured diagnostics such as route circuity, destination disagreement, feature-support shift, network connectivity, target error patterns and sample composition. Do not attribute differences to “urban form” or national institutions simply because cities differ.</w:t>
      </w:r>
    </w:p>
    <w:p>
      <w:pPr>
        <w:pStyle w:val="Heading1"/>
        <w:spacing w:before="200" w:after="80"/>
        <w:keepNext/>
      </w:pPr>
      <w:r>
        <w:t>15. Reporting and output generation</w:t>
      </w:r>
    </w:p>
    <w:p>
      <w:pPr>
        <w:pStyle w:val="Heading2"/>
        <w:spacing w:before="140" w:after="80"/>
        <w:keepNext/>
      </w:pPr>
      <w:r>
        <w:t>15.1 Required tables</w:t>
      </w:r>
    </w:p>
    <w:p>
      <w:pPr>
        <w:pStyle w:val="ListBullet"/>
        <w:spacing w:after="60" w:line="252" w:lineRule="auto"/>
      </w:pPr>
      <w:r>
        <w:t>Source and sample-flow table for each city.</w:t>
      </w:r>
    </w:p>
    <w:p>
      <w:pPr>
        <w:pStyle w:val="ListBullet"/>
        <w:spacing w:after="60" w:line="252" w:lineRule="auto"/>
      </w:pPr>
      <w:r>
        <w:t>Operational neighbourhood mapping and final fold-support table.</w:t>
      </w:r>
    </w:p>
    <w:p>
      <w:pPr>
        <w:pStyle w:val="ListBullet"/>
        <w:spacing w:after="60" w:line="252" w:lineRule="auto"/>
      </w:pPr>
      <w:r>
        <w:t>Population density and city-centre context table.</w:t>
      </w:r>
    </w:p>
    <w:p>
      <w:pPr>
        <w:pStyle w:val="ListBullet"/>
        <w:spacing w:after="60" w:line="252" w:lineRule="auto"/>
      </w:pPr>
      <w:r>
        <w:t>Accessibility definition and E/W disagreement table.</w:t>
      </w:r>
    </w:p>
    <w:p>
      <w:pPr>
        <w:pStyle w:val="ListBullet"/>
        <w:spacing w:after="60" w:line="252" w:lineRule="auto"/>
      </w:pPr>
      <w:r>
        <w:t>Within-city model performance by city, estimator and validation setting.</w:t>
      </w:r>
    </w:p>
    <w:p>
      <w:pPr>
        <w:pStyle w:val="ListBullet"/>
        <w:spacing w:after="60" w:line="252" w:lineRule="auto"/>
      </w:pPr>
      <w:r>
        <w:t>Paired within-city incremental-performance table and fold-level distributions.</w:t>
      </w:r>
    </w:p>
    <w:p>
      <w:pPr>
        <w:pStyle w:val="ListBullet"/>
        <w:spacing w:after="60" w:line="252" w:lineRule="auto"/>
      </w:pPr>
      <w:r>
        <w:t>City-relative benchmark table and six-direction transfer-performance table.</w:t>
      </w:r>
    </w:p>
    <w:p>
      <w:pPr>
        <w:pStyle w:val="ListBullet"/>
        <w:spacing w:after="60" w:line="252" w:lineRule="auto"/>
      </w:pPr>
      <w:r>
        <w:t>Paired transfer contrasts for M0, ME, MW and MEW.</w:t>
      </w:r>
    </w:p>
    <w:p>
      <w:pPr>
        <w:pStyle w:val="ListBullet"/>
        <w:spacing w:after="60" w:line="252" w:lineRule="auto"/>
      </w:pPr>
      <w:r>
        <w:t>OLS coefficient table with inference diagnostics.</w:t>
      </w:r>
    </w:p>
    <w:p>
      <w:pPr>
        <w:pStyle w:val="ListBullet"/>
        <w:spacing w:after="60" w:line="252" w:lineRule="auto"/>
      </w:pPr>
      <w:r>
        <w:t>SHAP block summaries for within-city predictive models; transfer interpretation uses source-model SHAP only if methodologically supported.</w:t>
      </w:r>
    </w:p>
    <w:p>
      <w:pPr>
        <w:pStyle w:val="ListBullet"/>
        <w:spacing w:after="60" w:line="252" w:lineRule="auto"/>
      </w:pPr>
      <w:r>
        <w:t>Robustness registry with completion status.</w:t>
      </w:r>
    </w:p>
    <w:p>
      <w:pPr>
        <w:pStyle w:val="Heading2"/>
        <w:spacing w:before="140" w:after="80"/>
        <w:keepNext/>
      </w:pPr>
      <w:r>
        <w:t>15.2 Required figures</w:t>
      </w:r>
    </w:p>
    <w:p>
      <w:pPr>
        <w:pStyle w:val="ListBullet"/>
        <w:spacing w:after="60" w:line="252" w:lineRule="auto"/>
      </w:pPr>
      <w:r>
        <w:t>Three-city study-area and operational-neighbourhood maps.</w:t>
      </w:r>
    </w:p>
    <w:p>
      <w:pPr>
        <w:pStyle w:val="ListBullet"/>
        <w:spacing w:after="60" w:line="252" w:lineRule="auto"/>
      </w:pPr>
      <w:r>
        <w:t>E/W accessibility comparison and route-circuity plots.</w:t>
      </w:r>
    </w:p>
    <w:p>
      <w:pPr>
        <w:pStyle w:val="ListBullet"/>
        <w:spacing w:after="60" w:line="252" w:lineRule="auto"/>
      </w:pPr>
      <w:r>
        <w:t>Within-city RMSE/ΔRMSE comparisons by city.</w:t>
      </w:r>
    </w:p>
    <w:p>
      <w:pPr>
        <w:pStyle w:val="ListBullet"/>
        <w:spacing w:after="60" w:line="252" w:lineRule="auto"/>
      </w:pPr>
      <w:r>
        <w:t>Fold-level performance distributions.</w:t>
      </w:r>
    </w:p>
    <w:p>
      <w:pPr>
        <w:pStyle w:val="ListBullet"/>
        <w:spacing w:after="60" w:line="252" w:lineRule="auto"/>
      </w:pPr>
      <w:r>
        <w:t>Six-direction cross-city transfer matrix/heatmap for each model family or selected contrasts.</w:t>
      </w:r>
    </w:p>
    <w:p>
      <w:pPr>
        <w:pStyle w:val="ListBullet"/>
        <w:spacing w:after="60" w:line="252" w:lineRule="auto"/>
      </w:pPr>
      <w:r>
        <w:t>Observed versus predicted relative-price diagnostics for selected transfer directions.</w:t>
      </w:r>
    </w:p>
    <w:p>
      <w:pPr>
        <w:pStyle w:val="ListBullet"/>
        <w:spacing w:after="60" w:line="252" w:lineRule="auto"/>
      </w:pPr>
      <w:r>
        <w:t>Selected OOF residual maps with privacy-preserving aggregation.</w:t>
      </w:r>
    </w:p>
    <w:p>
      <w:pPr>
        <w:pStyle w:val="ListBullet"/>
        <w:spacing w:after="60" w:line="252" w:lineRule="auto"/>
      </w:pPr>
      <w:r>
        <w:t>Robustness comparison plots.</w:t>
      </w:r>
    </w:p>
    <w:p>
      <w:pPr>
        <w:pStyle w:val="Heading2"/>
        <w:spacing w:before="140" w:after="80"/>
        <w:keepNext/>
      </w:pPr>
      <w:r>
        <w:t>15.3 Output rules</w:t>
      </w:r>
    </w:p>
    <w:p>
      <w:pPr>
        <w:spacing w:before="0" w:after="120" w:line="259" w:lineRule="auto"/>
      </w:pPr>
      <w:r>
        <w:rPr>
          <w:rFonts w:ascii="Arial" w:hAnsi="Arial"/>
          <w:sz w:val="20"/>
        </w:rPr>
        <w:t>Generate all tables and figures directly from authoritative stored results. Do not hand-enter values into final thesis artifacts. Active output filenames are purpose-based and contain no scientific version label. If multiple runs exist, the run manifest and Git commit identify the authoritative run; old runs are retained but clearly superseded.</w:t>
      </w:r>
    </w:p>
    <w:p>
      <w:pPr>
        <w:pStyle w:val="Heading1"/>
        <w:spacing w:before="200" w:after="80"/>
        <w:keepNext/>
      </w:pPr>
      <w:r>
        <w:t>16. Scientific freeze and release criteria</w:t>
      </w:r>
    </w:p>
    <w:p>
      <w:pPr>
        <w:spacing w:before="0" w:after="120" w:line="259" w:lineRule="auto"/>
      </w:pPr>
      <w:r>
        <w:rPr>
          <w:rFonts w:ascii="Arial" w:hAnsi="Arial"/>
          <w:sz w:val="20"/>
        </w:rPr>
        <w:t>After the final rerun passes all mandatory gates, freeze the scientific objects: source hashes, neighbourhood mappings, population/context data, OSM snapshot, destination universe, accessibility features, city-relative benchmarks, analytical samples, within-city folds, candidate list, fitted within-city models, fitted source transfer models, predictions, metrics and required robustness results. Presentation-only changes may still be made from those frozen numerical results.</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997"/>
        <w:gridCol w:w="4997"/>
      </w:tblGrid>
      <w:tr>
        <w:trPr>
          <w:tblHeader w:val="true"/>
          <w:cantSplit/>
        </w:trPr>
        <w:tc>
          <w:tcPr>
            <w:tcW w:type="dxa" w:w="2304"/>
            <w:shd w:fill="1F3A5F"/>
            <w:tcMar>
              <w:top w:w="90" w:type="dxa"/>
              <w:start w:w="90" w:type="dxa"/>
              <w:bottom w:w="90" w:type="dxa"/>
              <w:end w:w="90" w:type="dxa"/>
            </w:tcMar>
            <w:vAlign w:val="center"/>
          </w:tcPr>
          <w:p>
            <w:pPr>
              <w:spacing w:after="0"/>
              <w:jc w:val="left"/>
            </w:pPr>
            <w:r>
              <w:rPr>
                <w:rFonts w:ascii="Arial" w:hAnsi="Arial"/>
                <w:b/>
                <w:color w:val="FFFFFF"/>
                <w:sz w:val="16"/>
              </w:rPr>
              <w:t>Gate</w:t>
            </w:r>
          </w:p>
        </w:tc>
        <w:tc>
          <w:tcPr>
            <w:tcW w:type="dxa" w:w="7776"/>
            <w:shd w:fill="1F3A5F"/>
            <w:tcMar>
              <w:top w:w="90" w:type="dxa"/>
              <w:start w:w="90" w:type="dxa"/>
              <w:bottom w:w="90" w:type="dxa"/>
              <w:end w:w="90" w:type="dxa"/>
            </w:tcMar>
            <w:vAlign w:val="center"/>
          </w:tcPr>
          <w:p>
            <w:pPr>
              <w:spacing w:after="0"/>
              <w:jc w:val="left"/>
            </w:pPr>
            <w:r>
              <w:rPr>
                <w:rFonts w:ascii="Arial" w:hAnsi="Arial"/>
                <w:b/>
                <w:color w:val="FFFFFF"/>
                <w:sz w:val="16"/>
              </w:rPr>
              <w:t>Release condition</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Sources</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All required raw/source hashes and licences verified; no silent source substitution.</w:t>
            </w:r>
          </w:p>
        </w:tc>
      </w:tr>
      <w:tr>
        <w:trPr>
          <w:cantSplit/>
        </w:trPr>
        <w:tc>
          <w:tcPr>
            <w:tcW w:type="dxa" w:w="2304"/>
            <w:shd w:fill="F5F7FA"/>
            <w:tcMar>
              <w:top w:w="90" w:type="dxa"/>
              <w:start w:w="90" w:type="dxa"/>
              <w:bottom w:w="90" w:type="dxa"/>
              <w:end w:w="90" w:type="dxa"/>
            </w:tcMar>
            <w:vAlign w:val="top"/>
          </w:tcPr>
          <w:p>
            <w:pPr>
              <w:spacing w:after="0" w:line="240" w:lineRule="auto"/>
            </w:pPr>
            <w:r>
              <w:rPr>
                <w:rFonts w:ascii="Arial" w:hAnsi="Arial"/>
                <w:b w:val="0"/>
                <w:sz w:val="16"/>
              </w:rPr>
              <w:t>Geography</w:t>
            </w:r>
          </w:p>
        </w:tc>
        <w:tc>
          <w:tcPr>
            <w:tcW w:type="dxa" w:w="7776"/>
            <w:shd w:fill="F5F7FA"/>
            <w:tcMar>
              <w:top w:w="90" w:type="dxa"/>
              <w:start w:w="90" w:type="dxa"/>
              <w:bottom w:w="90" w:type="dxa"/>
              <w:end w:w="90" w:type="dxa"/>
            </w:tcMar>
            <w:vAlign w:val="top"/>
          </w:tcPr>
          <w:p>
            <w:pPr>
              <w:spacing w:after="0" w:line="240" w:lineRule="auto"/>
            </w:pPr>
            <w:r>
              <w:rPr>
                <w:rFonts w:ascii="Arial" w:hAnsi="Arial"/>
                <w:b w:val="0"/>
                <w:sz w:val="16"/>
              </w:rPr>
              <w:t>Every primary observation maps uniquely to one operational neighbourhood; mapping tables frozen.</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Population/context</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Density and OSM anchor variables reproducible for every final observation or exclusions documented.</w:t>
            </w:r>
          </w:p>
        </w:tc>
      </w:tr>
      <w:tr>
        <w:trPr>
          <w:cantSplit/>
        </w:trPr>
        <w:tc>
          <w:tcPr>
            <w:tcW w:type="dxa" w:w="2304"/>
            <w:shd w:fill="F5F7FA"/>
            <w:tcMar>
              <w:top w:w="90" w:type="dxa"/>
              <w:start w:w="90" w:type="dxa"/>
              <w:bottom w:w="90" w:type="dxa"/>
              <w:end w:w="90" w:type="dxa"/>
            </w:tcMar>
            <w:vAlign w:val="top"/>
          </w:tcPr>
          <w:p>
            <w:pPr>
              <w:spacing w:after="0" w:line="240" w:lineRule="auto"/>
            </w:pPr>
            <w:r>
              <w:rPr>
                <w:rFonts w:ascii="Arial" w:hAnsi="Arial"/>
                <w:b w:val="0"/>
                <w:sz w:val="16"/>
              </w:rPr>
              <w:t>Accessibility</w:t>
            </w:r>
          </w:p>
        </w:tc>
        <w:tc>
          <w:tcPr>
            <w:tcW w:type="dxa" w:w="7776"/>
            <w:shd w:fill="F5F7FA"/>
            <w:tcMar>
              <w:top w:w="90" w:type="dxa"/>
              <w:start w:w="90" w:type="dxa"/>
              <w:bottom w:w="90" w:type="dxa"/>
              <w:end w:w="90" w:type="dxa"/>
            </w:tcMar>
            <w:vAlign w:val="top"/>
          </w:tcPr>
          <w:p>
            <w:pPr>
              <w:spacing w:after="0" w:line="240" w:lineRule="auto"/>
            </w:pPr>
            <w:r>
              <w:rPr>
                <w:rFonts w:ascii="Arial" w:hAnsi="Arial"/>
                <w:b w:val="0"/>
                <w:sz w:val="16"/>
              </w:rPr>
              <w:t>E/W destination universes matched; network QA and reachability checks pass.</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Samples/folds</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Common observations across models; required outer folds meet at least 15 test / 500 train or an explicit decision documents infeasibility.</w:t>
            </w:r>
          </w:p>
        </w:tc>
      </w:tr>
      <w:tr>
        <w:trPr>
          <w:cantSplit/>
        </w:trPr>
        <w:tc>
          <w:tcPr>
            <w:tcW w:type="dxa" w:w="2304"/>
            <w:shd w:fill="F5F7FA"/>
            <w:tcMar>
              <w:top w:w="90" w:type="dxa"/>
              <w:start w:w="90" w:type="dxa"/>
              <w:bottom w:w="90" w:type="dxa"/>
              <w:end w:w="90" w:type="dxa"/>
            </w:tcMar>
            <w:vAlign w:val="top"/>
          </w:tcPr>
          <w:p>
            <w:pPr>
              <w:spacing w:after="0" w:line="240" w:lineRule="auto"/>
            </w:pPr>
            <w:r>
              <w:rPr>
                <w:rFonts w:ascii="Arial" w:hAnsi="Arial"/>
                <w:b w:val="0"/>
                <w:sz w:val="16"/>
              </w:rPr>
              <w:t>Relative-price benchmark</w:t>
            </w:r>
          </w:p>
        </w:tc>
        <w:tc>
          <w:tcPr>
            <w:tcW w:type="dxa" w:w="7776"/>
            <w:shd w:fill="F5F7FA"/>
            <w:tcMar>
              <w:top w:w="90" w:type="dxa"/>
              <w:start w:w="90" w:type="dxa"/>
              <w:bottom w:w="90" w:type="dxa"/>
              <w:end w:w="90" w:type="dxa"/>
            </w:tcMar>
            <w:vAlign w:val="top"/>
          </w:tcPr>
          <w:p>
            <w:pPr>
              <w:spacing w:after="0" w:line="240" w:lineRule="auto"/>
            </w:pPr>
            <w:r>
              <w:rPr>
                <w:rFonts w:ascii="Arial" w:hAnsi="Arial"/>
                <w:b w:val="0"/>
                <w:sz w:val="16"/>
              </w:rPr>
              <w:t>Benchmark population and μc frozen independently of model-specific feature availability.</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Within-city models</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Expected OOF predictions complete; metrics independently reproduce from stored losses.</w:t>
            </w:r>
          </w:p>
        </w:tc>
      </w:tr>
      <w:tr>
        <w:trPr>
          <w:cantSplit/>
        </w:trPr>
        <w:tc>
          <w:tcPr>
            <w:tcW w:type="dxa" w:w="2304"/>
            <w:shd w:fill="F5F7FA"/>
            <w:tcMar>
              <w:top w:w="90" w:type="dxa"/>
              <w:start w:w="90" w:type="dxa"/>
              <w:bottom w:w="90" w:type="dxa"/>
              <w:end w:w="90" w:type="dxa"/>
            </w:tcMar>
            <w:vAlign w:val="top"/>
          </w:tcPr>
          <w:p>
            <w:pPr>
              <w:spacing w:after="0" w:line="240" w:lineRule="auto"/>
            </w:pPr>
            <w:r>
              <w:rPr>
                <w:rFonts w:ascii="Arial" w:hAnsi="Arial"/>
                <w:b w:val="0"/>
                <w:sz w:val="16"/>
              </w:rPr>
              <w:t>Transfer models</w:t>
            </w:r>
          </w:p>
        </w:tc>
        <w:tc>
          <w:tcPr>
            <w:tcW w:type="dxa" w:w="7776"/>
            <w:shd w:fill="F5F7FA"/>
            <w:tcMar>
              <w:top w:w="90" w:type="dxa"/>
              <w:start w:w="90" w:type="dxa"/>
              <w:bottom w:w="90" w:type="dxa"/>
              <w:end w:w="90" w:type="dxa"/>
            </w:tcMar>
            <w:vAlign w:val="top"/>
          </w:tcPr>
          <w:p>
            <w:pPr>
              <w:spacing w:after="0" w:line="240" w:lineRule="auto"/>
            </w:pPr>
            <w:r>
              <w:rPr>
                <w:rFonts w:ascii="Arial" w:hAnsi="Arial"/>
                <w:b w:val="0"/>
                <w:sz w:val="16"/>
              </w:rPr>
              <w:t>All six directions have source-only fit/tuning provenance and unchanged target application; no target calibration.</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Robustness</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Mandatory checks have explicit statuses; no silent deferral.</w:t>
            </w:r>
          </w:p>
        </w:tc>
      </w:tr>
      <w:tr>
        <w:trPr>
          <w:cantSplit/>
        </w:trPr>
        <w:tc>
          <w:tcPr>
            <w:tcW w:type="dxa" w:w="2304"/>
            <w:shd w:fill="F5F7FA"/>
            <w:tcMar>
              <w:top w:w="90" w:type="dxa"/>
              <w:start w:w="90" w:type="dxa"/>
              <w:bottom w:w="90" w:type="dxa"/>
              <w:end w:w="90" w:type="dxa"/>
            </w:tcMar>
            <w:vAlign w:val="top"/>
          </w:tcPr>
          <w:p>
            <w:pPr>
              <w:spacing w:after="0" w:line="240" w:lineRule="auto"/>
            </w:pPr>
            <w:r>
              <w:rPr>
                <w:rFonts w:ascii="Arial" w:hAnsi="Arial"/>
                <w:b w:val="0"/>
                <w:sz w:val="16"/>
              </w:rPr>
              <w:t>Preservation</w:t>
            </w:r>
          </w:p>
        </w:tc>
        <w:tc>
          <w:tcPr>
            <w:tcW w:type="dxa" w:w="7776"/>
            <w:shd w:fill="F5F7FA"/>
            <w:tcMar>
              <w:top w:w="90" w:type="dxa"/>
              <w:start w:w="90" w:type="dxa"/>
              <w:bottom w:w="90" w:type="dxa"/>
              <w:end w:w="90" w:type="dxa"/>
            </w:tcMar>
            <w:vAlign w:val="top"/>
          </w:tcPr>
          <w:p>
            <w:pPr>
              <w:spacing w:after="0" w:line="240" w:lineRule="auto"/>
            </w:pPr>
            <w:r>
              <w:rPr>
                <w:rFonts w:ascii="Arial" w:hAnsi="Arial"/>
                <w:b w:val="0"/>
                <w:sz w:val="16"/>
              </w:rPr>
              <w:t>Historical work and raw sources unchanged; final active run uses generic paths.</w:t>
            </w:r>
          </w:p>
        </w:tc>
      </w:tr>
      <w:tr>
        <w:trPr>
          <w:cantSplit/>
        </w:trPr>
        <w:tc>
          <w:tcPr>
            <w:tcW w:type="dxa" w:w="2304"/>
            <w:tcMar>
              <w:top w:w="90" w:type="dxa"/>
              <w:start w:w="90" w:type="dxa"/>
              <w:bottom w:w="90" w:type="dxa"/>
              <w:end w:w="90" w:type="dxa"/>
            </w:tcMar>
            <w:vAlign w:val="top"/>
          </w:tcPr>
          <w:p>
            <w:pPr>
              <w:spacing w:after="0" w:line="240" w:lineRule="auto"/>
            </w:pPr>
            <w:r>
              <w:rPr>
                <w:rFonts w:ascii="Arial" w:hAnsi="Arial"/>
                <w:b w:val="0"/>
                <w:sz w:val="16"/>
              </w:rPr>
              <w:t>Git</w:t>
            </w:r>
          </w:p>
        </w:tc>
        <w:tc>
          <w:tcPr>
            <w:tcW w:type="dxa" w:w="7776"/>
            <w:tcMar>
              <w:top w:w="90" w:type="dxa"/>
              <w:start w:w="90" w:type="dxa"/>
              <w:bottom w:w="90" w:type="dxa"/>
              <w:end w:w="90" w:type="dxa"/>
            </w:tcMar>
            <w:vAlign w:val="top"/>
          </w:tcPr>
          <w:p>
            <w:pPr>
              <w:spacing w:after="0" w:line="240" w:lineRule="auto"/>
            </w:pPr>
            <w:r>
              <w:rPr>
                <w:rFonts w:ascii="Arial" w:hAnsi="Arial"/>
                <w:b w:val="0"/>
                <w:sz w:val="16"/>
              </w:rPr>
              <w:t>Implementation remains on branch v4; remote/local commit identity verified after final release commit.</w:t>
            </w:r>
          </w:p>
        </w:tc>
      </w:tr>
    </w:tbl>
    <w:p>
      <w:pPr>
        <w:spacing w:after="0"/>
      </w:pPr>
    </w:p>
    <w:p>
      <w:pPr>
        <w:pStyle w:val="Heading1"/>
        <w:spacing w:before="200" w:after="80"/>
        <w:keepNext/>
      </w:pPr>
      <w:r>
        <w:t>17. Stop rules</w:t>
      </w:r>
    </w:p>
    <w:p>
      <w:pPr>
        <w:pStyle w:val="ListBullet"/>
        <w:spacing w:after="60" w:line="252" w:lineRule="auto"/>
      </w:pPr>
      <w:r>
        <w:t>Do not continue from a source or schema mismatch by guessing a substitute.</w:t>
      </w:r>
    </w:p>
    <w:p>
      <w:pPr>
        <w:pStyle w:val="ListBullet"/>
        <w:spacing w:after="60" w:line="252" w:lineRule="auto"/>
      </w:pPr>
      <w:r>
        <w:t>Do not lower the 15-observation outer-test threshold again after seeing final group support.</w:t>
      </w:r>
    </w:p>
    <w:p>
      <w:pPr>
        <w:pStyle w:val="ListBullet"/>
        <w:spacing w:after="60" w:line="252" w:lineRule="auto"/>
      </w:pPr>
      <w:r>
        <w:t>Do not change the Stockholm 14-to-11 mapping after inspecting model scores.</w:t>
      </w:r>
    </w:p>
    <w:p>
      <w:pPr>
        <w:pStyle w:val="ListBullet"/>
        <w:spacing w:after="60" w:line="252" w:lineRule="auto"/>
      </w:pPr>
      <w:r>
        <w:t>Do not change OSM tags, route speed, accessibility radius or candidate budget based on model performance.</w:t>
      </w:r>
    </w:p>
    <w:p>
      <w:pPr>
        <w:pStyle w:val="ListBullet"/>
        <w:spacing w:after="60" w:line="252" w:lineRule="auto"/>
      </w:pPr>
      <w:r>
        <w:t>Do not treat random and geographic validation as interchangeable.</w:t>
      </w:r>
    </w:p>
    <w:p>
      <w:pPr>
        <w:pStyle w:val="ListBullet"/>
        <w:spacing w:after="60" w:line="252" w:lineRule="auto"/>
      </w:pPr>
      <w:r>
        <w:t>Do not recompute a city benchmark differently for different models or transfer directions.</w:t>
      </w:r>
    </w:p>
    <w:p>
      <w:pPr>
        <w:pStyle w:val="ListBullet"/>
        <w:spacing w:after="60" w:line="252" w:lineRule="auto"/>
      </w:pPr>
      <w:r>
        <w:t>Do not use target-city observations to tune, recalibrate or preprocess a transferred model beyond applying the already frozen target relative-price benchmark for evaluation.</w:t>
      </w:r>
    </w:p>
    <w:p>
      <w:pPr>
        <w:pStyle w:val="ListBullet"/>
        <w:spacing w:after="60" w:line="252" w:lineRule="auto"/>
      </w:pPr>
      <w:r>
        <w:t>Do not pool cities for the primary transfer experiment or introduce city weights without a separately approved amendment.</w:t>
      </w:r>
    </w:p>
    <w:p>
      <w:pPr>
        <w:pStyle w:val="ListBullet"/>
        <w:spacing w:after="60" w:line="252" w:lineRule="auto"/>
      </w:pPr>
      <w:r>
        <w:t>Do not claim all-city completion when one city, transfer direction, fold or mandatory robustness component remains blocked.</w:t>
      </w:r>
    </w:p>
    <w:p>
      <w:pPr>
        <w:pStyle w:val="ListBullet"/>
        <w:spacing w:after="60" w:line="252" w:lineRule="auto"/>
      </w:pPr>
      <w:r>
        <w:t>Do not reuse previous fitted results simply because the same model label exists; final estimates must come from the harmonized rerun.</w:t>
      </w:r>
    </w:p>
    <w:p>
      <w:pPr>
        <w:pStyle w:val="Heading1"/>
        <w:spacing w:before="200" w:after="80"/>
        <w:keepNext/>
      </w:pPr>
      <w:r>
        <w:t>18. Recommended execution order</w:t>
      </w:r>
    </w:p>
    <w:tbl>
      <w:tblPr>
        <w:tblStyle w:val="TableGrid"/>
        <w:tblW w:type="auto" w:w="0"/>
        <w:jc w:val="center"/>
        <w:tblLayout w:type="autofit"/>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331"/>
        <w:gridCol w:w="3331"/>
        <w:gridCol w:w="3331"/>
      </w:tblGrid>
      <w:tr>
        <w:trPr>
          <w:tblHeader w:val="true"/>
          <w:cantSplit/>
        </w:trPr>
        <w:tc>
          <w:tcPr>
            <w:tcW w:type="dxa" w:w="792"/>
            <w:shd w:fill="1F3A5F"/>
            <w:tcMar>
              <w:top w:w="90" w:type="dxa"/>
              <w:start w:w="90" w:type="dxa"/>
              <w:bottom w:w="90" w:type="dxa"/>
              <w:end w:w="90" w:type="dxa"/>
            </w:tcMar>
            <w:vAlign w:val="center"/>
          </w:tcPr>
          <w:p>
            <w:pPr>
              <w:spacing w:after="0"/>
              <w:jc w:val="left"/>
            </w:pPr>
            <w:r>
              <w:rPr>
                <w:rFonts w:ascii="Arial" w:hAnsi="Arial"/>
                <w:b/>
                <w:color w:val="FFFFFF"/>
                <w:sz w:val="16"/>
              </w:rPr>
              <w:t>Phase</w:t>
            </w:r>
          </w:p>
        </w:tc>
        <w:tc>
          <w:tcPr>
            <w:tcW w:type="dxa" w:w="4752"/>
            <w:shd w:fill="1F3A5F"/>
            <w:tcMar>
              <w:top w:w="90" w:type="dxa"/>
              <w:start w:w="90" w:type="dxa"/>
              <w:bottom w:w="90" w:type="dxa"/>
              <w:end w:w="90" w:type="dxa"/>
            </w:tcMar>
            <w:vAlign w:val="center"/>
          </w:tcPr>
          <w:p>
            <w:pPr>
              <w:spacing w:after="0"/>
              <w:jc w:val="left"/>
            </w:pPr>
            <w:r>
              <w:rPr>
                <w:rFonts w:ascii="Arial" w:hAnsi="Arial"/>
                <w:b/>
                <w:color w:val="FFFFFF"/>
                <w:sz w:val="16"/>
              </w:rPr>
              <w:t>Work product</w:t>
            </w:r>
          </w:p>
        </w:tc>
        <w:tc>
          <w:tcPr>
            <w:tcW w:type="dxa" w:w="4536"/>
            <w:shd w:fill="1F3A5F"/>
            <w:tcMar>
              <w:top w:w="90" w:type="dxa"/>
              <w:start w:w="90" w:type="dxa"/>
              <w:bottom w:w="90" w:type="dxa"/>
              <w:end w:w="90" w:type="dxa"/>
            </w:tcMar>
            <w:vAlign w:val="center"/>
          </w:tcPr>
          <w:p>
            <w:pPr>
              <w:spacing w:after="0"/>
              <w:jc w:val="left"/>
            </w:pPr>
            <w:r>
              <w:rPr>
                <w:rFonts w:ascii="Arial" w:hAnsi="Arial"/>
                <w:b/>
                <w:color w:val="FFFFFF"/>
                <w:sz w:val="16"/>
              </w:rPr>
              <w:t>Proceed when</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1</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Approve proposal, plan and pre-fit decisions</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All decisions in Section 1 accepted.</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2</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Namespace cleanup + clean analytical environment</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Historical evidence preserved and tests pass after moves.</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3</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Raw source verification + fresh ingestion</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Hashes/schema/source dates reproduce.</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4</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Operational neighbourhood mapping</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All group assignments and support QA frozen.</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5</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Population density + OSM civic anchors</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Context complete in all cities.</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6</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Common OSM acquisition</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One snapshot/taxonomy policy succeeds for all cities.</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7</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Matched E/W accessibility</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Network and destination QA pass.</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8</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Common analytical samples + city benchmarks</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Sample flow, benchmark and missingness gates pass.</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9</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Within-city outer/inner folds + candidate freeze</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Fold support and leakage checks pass.</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10</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Within-city OLS + XGBoost rerun</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No scientific dependency changes mid-run.</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11</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Source-city relative-price fits + six transfer tests</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Within-city data/features frozen; source-only transfer protocol verified.</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12</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Diagnostics + robustness</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Primary within-city and transfer predictions complete.</w:t>
            </w:r>
          </w:p>
        </w:tc>
      </w:tr>
      <w:tr>
        <w:trPr>
          <w:cantSplit/>
        </w:trPr>
        <w:tc>
          <w:tcPr>
            <w:tcW w:type="dxa" w:w="792"/>
            <w:tcMar>
              <w:top w:w="90" w:type="dxa"/>
              <w:start w:w="90" w:type="dxa"/>
              <w:bottom w:w="90" w:type="dxa"/>
              <w:end w:w="90" w:type="dxa"/>
            </w:tcMar>
            <w:vAlign w:val="top"/>
          </w:tcPr>
          <w:p>
            <w:pPr>
              <w:spacing w:after="0" w:line="240" w:lineRule="auto"/>
            </w:pPr>
            <w:r>
              <w:rPr>
                <w:rFonts w:ascii="Arial" w:hAnsi="Arial"/>
                <w:b w:val="0"/>
                <w:sz w:val="16"/>
              </w:rPr>
              <w:t>13</w:t>
            </w:r>
          </w:p>
        </w:tc>
        <w:tc>
          <w:tcPr>
            <w:tcW w:type="dxa" w:w="4752"/>
            <w:tcMar>
              <w:top w:w="90" w:type="dxa"/>
              <w:start w:w="90" w:type="dxa"/>
              <w:bottom w:w="90" w:type="dxa"/>
              <w:end w:w="90" w:type="dxa"/>
            </w:tcMar>
            <w:vAlign w:val="top"/>
          </w:tcPr>
          <w:p>
            <w:pPr>
              <w:spacing w:after="0" w:line="240" w:lineRule="auto"/>
            </w:pPr>
            <w:r>
              <w:rPr>
                <w:rFonts w:ascii="Arial" w:hAnsi="Arial"/>
                <w:b w:val="0"/>
                <w:sz w:val="16"/>
              </w:rPr>
              <w:t>Cross-city synthesis + reports</w:t>
            </w:r>
          </w:p>
        </w:tc>
        <w:tc>
          <w:tcPr>
            <w:tcW w:type="dxa" w:w="4536"/>
            <w:tcMar>
              <w:top w:w="90" w:type="dxa"/>
              <w:start w:w="90" w:type="dxa"/>
              <w:bottom w:w="90" w:type="dxa"/>
              <w:end w:w="90" w:type="dxa"/>
            </w:tcMar>
            <w:vAlign w:val="top"/>
          </w:tcPr>
          <w:p>
            <w:pPr>
              <w:spacing w:after="0" w:line="240" w:lineRule="auto"/>
            </w:pPr>
            <w:r>
              <w:rPr>
                <w:rFonts w:ascii="Arial" w:hAnsi="Arial"/>
                <w:b w:val="0"/>
                <w:sz w:val="16"/>
              </w:rPr>
              <w:t>All required components have explicit status.</w:t>
            </w:r>
          </w:p>
        </w:tc>
      </w:tr>
      <w:tr>
        <w:trPr>
          <w:cantSplit/>
        </w:trPr>
        <w:tc>
          <w:tcPr>
            <w:tcW w:type="dxa" w:w="792"/>
            <w:shd w:fill="F5F7FA"/>
            <w:tcMar>
              <w:top w:w="90" w:type="dxa"/>
              <w:start w:w="90" w:type="dxa"/>
              <w:bottom w:w="90" w:type="dxa"/>
              <w:end w:w="90" w:type="dxa"/>
            </w:tcMar>
            <w:vAlign w:val="top"/>
          </w:tcPr>
          <w:p>
            <w:pPr>
              <w:spacing w:after="0" w:line="240" w:lineRule="auto"/>
            </w:pPr>
            <w:r>
              <w:rPr>
                <w:rFonts w:ascii="Arial" w:hAnsi="Arial"/>
                <w:b w:val="0"/>
                <w:sz w:val="16"/>
              </w:rPr>
              <w:t>14</w:t>
            </w:r>
          </w:p>
        </w:tc>
        <w:tc>
          <w:tcPr>
            <w:tcW w:type="dxa" w:w="4752"/>
            <w:shd w:fill="F5F7FA"/>
            <w:tcMar>
              <w:top w:w="90" w:type="dxa"/>
              <w:start w:w="90" w:type="dxa"/>
              <w:bottom w:w="90" w:type="dxa"/>
              <w:end w:w="90" w:type="dxa"/>
            </w:tcMar>
            <w:vAlign w:val="top"/>
          </w:tcPr>
          <w:p>
            <w:pPr>
              <w:spacing w:after="0" w:line="240" w:lineRule="auto"/>
            </w:pPr>
            <w:r>
              <w:rPr>
                <w:rFonts w:ascii="Arial" w:hAnsi="Arial"/>
                <w:b w:val="0"/>
                <w:sz w:val="16"/>
              </w:rPr>
              <w:t>Scientific freeze + thesis handover</w:t>
            </w:r>
          </w:p>
        </w:tc>
        <w:tc>
          <w:tcPr>
            <w:tcW w:type="dxa" w:w="4536"/>
            <w:shd w:fill="F5F7FA"/>
            <w:tcMar>
              <w:top w:w="90" w:type="dxa"/>
              <w:start w:w="90" w:type="dxa"/>
              <w:bottom w:w="90" w:type="dxa"/>
              <w:end w:w="90" w:type="dxa"/>
            </w:tcMar>
            <w:vAlign w:val="top"/>
          </w:tcPr>
          <w:p>
            <w:pPr>
              <w:spacing w:after="0" w:line="240" w:lineRule="auto"/>
            </w:pPr>
            <w:r>
              <w:rPr>
                <w:rFonts w:ascii="Arial" w:hAnsi="Arial"/>
                <w:b w:val="0"/>
                <w:sz w:val="16"/>
              </w:rPr>
              <w:t>Release criteria in Section 16 pass.</w:t>
            </w:r>
          </w:p>
        </w:tc>
      </w:tr>
    </w:tbl>
    <w:p>
      <w:pPr>
        <w:spacing w:after="0"/>
      </w:pPr>
    </w:p>
    <w:p>
      <w:pPr>
        <w:pStyle w:val="Heading1"/>
        <w:spacing w:before="200" w:after="80"/>
        <w:keepNext/>
      </w:pPr>
      <w:r>
        <w:t>19. What “complete rerun” means</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9994"/>
      </w:tblGrid>
      <w:tr>
        <w:tc>
          <w:tcPr>
            <w:tcW w:type="dxa" w:w="9994"/>
            <w:shd w:fill="EAF1F8"/>
            <w:tcMar>
              <w:top w:w="120" w:type="dxa"/>
              <w:start w:w="140" w:type="dxa"/>
              <w:bottom w:w="120" w:type="dxa"/>
              <w:end w:w="140" w:type="dxa"/>
            </w:tcMar>
          </w:tcPr>
          <w:p>
            <w:pPr>
              <w:spacing w:after="40"/>
            </w:pPr>
            <w:r>
              <w:rPr>
                <w:rFonts w:ascii="Arial" w:hAnsi="Arial"/>
                <w:b/>
                <w:color w:val="1F3A5F"/>
                <w:sz w:val="19"/>
              </w:rPr>
              <w:t xml:space="preserve">No skipped analytical stage.  </w:t>
            </w:r>
            <w:r>
              <w:rPr>
                <w:rFonts w:ascii="Arial" w:hAnsi="Arial"/>
                <w:sz w:val="19"/>
              </w:rPr>
              <w:t>The objective is not to pretend the project started from an empty folder. Source bytes and tested code are legitimate reusable inputs. The complete rerun requirement is satisfied when every scientific transformation and model-dependent output is executed again from the verified source layer under the approved design, with fresh provenance, derived data, city benchmarks, folds, fitted within-city models, fitted transfer models, predictions, diagnostics, tables and figures.</w:t>
            </w:r>
          </w:p>
        </w:tc>
      </w:tr>
    </w:tbl>
    <w:p>
      <w:pPr>
        <w:spacing w:after="0"/>
      </w:pP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End-to-end research plan · Three-city accessibility rerun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