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Scientific Thesis Proposal</w:t>
      </w:r>
    </w:p>
    <w:p>
      <w:pPr>
        <w:spacing w:after="40"/>
        <w:jc w:val="left"/>
      </w:pPr>
      <w:r>
        <w:rPr>
          <w:rFonts w:ascii="Arial" w:hAnsi="Arial"/>
          <w:b/>
          <w:color w:val="1F3A5F"/>
          <w:sz w:val="36"/>
        </w:rPr>
        <w:t>Urban accessibility and Airbnb asking prices</w:t>
      </w:r>
    </w:p>
    <w:p>
      <w:pPr>
        <w:pStyle w:val="Subtitle"/>
        <w:spacing w:after="280"/>
      </w:pPr>
      <w:r>
        <w:t>Within-city prediction and cross-city transfer across Copenhagen, Oslo and Stockholm</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97"/>
        <w:gridCol w:w="4997"/>
      </w:tblGrid>
      <w:tr>
        <w:trPr>
          <w:tblHeader w:val="true"/>
          <w:cantSplit/>
        </w:trPr>
        <w:tc>
          <w:tcPr>
            <w:tcW w:type="dxa" w:w="2016"/>
            <w:shd w:fill="EAF1F8"/>
            <w:tcMar>
              <w:top w:w="90" w:type="dxa"/>
              <w:start w:w="90" w:type="dxa"/>
              <w:bottom w:w="90" w:type="dxa"/>
              <w:end w:w="90" w:type="dxa"/>
            </w:tcMar>
            <w:vAlign w:val="center"/>
          </w:tcPr>
          <w:p>
            <w:pPr>
              <w:spacing w:after="0"/>
            </w:pPr>
            <w:r>
              <w:rPr>
                <w:rFonts w:ascii="Arial" w:hAnsi="Arial"/>
                <w:b/>
                <w:color w:val="1F3A5F"/>
                <w:sz w:val="18"/>
              </w:rPr>
              <w:t>Programme</w:t>
            </w:r>
          </w:p>
        </w:tc>
        <w:tc>
          <w:tcPr>
            <w:tcW w:type="dxa" w:w="8064"/>
            <w:shd w:fill="EAF1F8"/>
            <w:tcMar>
              <w:top w:w="90" w:type="dxa"/>
              <w:start w:w="90" w:type="dxa"/>
              <w:bottom w:w="90" w:type="dxa"/>
              <w:end w:w="90" w:type="dxa"/>
            </w:tcMar>
            <w:vAlign w:val="center"/>
          </w:tcPr>
          <w:p>
            <w:pPr>
              <w:spacing w:after="0"/>
            </w:pPr>
            <w:r>
              <w:rPr>
                <w:rFonts w:ascii="Arial" w:hAnsi="Arial"/>
                <w:b w:val="0"/>
                <w:color w:val="263238"/>
                <w:sz w:val="18"/>
              </w:rPr>
              <w:t>MSc Social Data Science · University of Copenhagen</w:t>
            </w:r>
          </w:p>
        </w:tc>
      </w:tr>
      <w:tr>
        <w:trPr>
          <w:cantSplit/>
        </w:trPr>
        <w:tc>
          <w:tcPr>
            <w:tcW w:type="dxa" w:w="2016"/>
            <w:tcMar>
              <w:top w:w="90" w:type="dxa"/>
              <w:start w:w="90" w:type="dxa"/>
              <w:bottom w:w="90" w:type="dxa"/>
              <w:end w:w="90" w:type="dxa"/>
            </w:tcMar>
            <w:vAlign w:val="top"/>
          </w:tcPr>
          <w:p>
            <w:pPr>
              <w:spacing w:after="0" w:line="240" w:lineRule="auto"/>
            </w:pPr>
            <w:r>
              <w:rPr>
                <w:rFonts w:ascii="Arial" w:hAnsi="Arial"/>
                <w:b/>
                <w:sz w:val="18"/>
              </w:rPr>
              <w:t>Date</w:t>
            </w:r>
          </w:p>
        </w:tc>
        <w:tc>
          <w:tcPr>
            <w:tcW w:type="dxa" w:w="8064"/>
            <w:tcMar>
              <w:top w:w="90" w:type="dxa"/>
              <w:start w:w="90" w:type="dxa"/>
              <w:bottom w:w="90" w:type="dxa"/>
              <w:end w:w="90" w:type="dxa"/>
            </w:tcMar>
            <w:vAlign w:val="top"/>
          </w:tcPr>
          <w:p>
            <w:pPr>
              <w:spacing w:after="0" w:line="240" w:lineRule="auto"/>
            </w:pPr>
            <w:r>
              <w:rPr>
                <w:rFonts w:ascii="Arial" w:hAnsi="Arial"/>
                <w:b w:val="0"/>
                <w:sz w:val="18"/>
              </w:rPr>
              <w:t>13 October 2026</w:t>
            </w:r>
          </w:p>
        </w:tc>
      </w:tr>
      <w:tr>
        <w:trPr>
          <w:cantSplit/>
        </w:trPr>
        <w:tc>
          <w:tcPr>
            <w:tcW w:type="dxa" w:w="2016"/>
            <w:shd w:fill="F5F7FA"/>
            <w:tcMar>
              <w:top w:w="90" w:type="dxa"/>
              <w:start w:w="90" w:type="dxa"/>
              <w:bottom w:w="90" w:type="dxa"/>
              <w:end w:w="90" w:type="dxa"/>
            </w:tcMar>
            <w:vAlign w:val="top"/>
          </w:tcPr>
          <w:p>
            <w:pPr>
              <w:spacing w:after="0" w:line="240" w:lineRule="auto"/>
            </w:pPr>
            <w:r>
              <w:rPr>
                <w:rFonts w:ascii="Arial" w:hAnsi="Arial"/>
                <w:b/>
                <w:sz w:val="18"/>
              </w:rPr>
              <w:t>Status</w:t>
            </w:r>
          </w:p>
        </w:tc>
        <w:tc>
          <w:tcPr>
            <w:tcW w:type="dxa" w:w="8064"/>
            <w:shd w:fill="F5F7FA"/>
            <w:tcMar>
              <w:top w:w="90" w:type="dxa"/>
              <w:start w:w="90" w:type="dxa"/>
              <w:bottom w:w="90" w:type="dxa"/>
              <w:end w:w="90" w:type="dxa"/>
            </w:tcMar>
            <w:vAlign w:val="top"/>
          </w:tcPr>
          <w:p>
            <w:pPr>
              <w:spacing w:after="0" w:line="240" w:lineRule="auto"/>
            </w:pPr>
            <w:r>
              <w:rPr>
                <w:rFonts w:ascii="Arial" w:hAnsi="Arial"/>
                <w:b w:val="0"/>
                <w:sz w:val="18"/>
              </w:rPr>
              <w:t>Review draft before full rerun</w:t>
            </w:r>
          </w:p>
        </w:tc>
      </w:tr>
    </w:tbl>
    <w:p>
      <w:pPr>
        <w:spacing w:after="0"/>
      </w:pPr>
    </w:p>
    <w:p>
      <w:pPr>
        <w:spacing w:after="0"/>
      </w:pP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9994"/>
      </w:tblGrid>
      <w:tr>
        <w:tc>
          <w:tcPr>
            <w:tcW w:type="dxa" w:w="9994"/>
            <w:shd w:fill="EAF1F8"/>
            <w:tcMar>
              <w:top w:w="120" w:type="dxa"/>
              <w:start w:w="140" w:type="dxa"/>
              <w:bottom w:w="120" w:type="dxa"/>
              <w:end w:w="140" w:type="dxa"/>
            </w:tcMar>
          </w:tcPr>
          <w:p>
            <w:pPr>
              <w:spacing w:after="40"/>
            </w:pPr>
            <w:r>
              <w:rPr>
                <w:rFonts w:ascii="Arial" w:hAnsi="Arial"/>
                <w:b/>
                <w:color w:val="1F3A5F"/>
                <w:sz w:val="19"/>
              </w:rPr>
              <w:t xml:space="preserve">Core design.  </w:t>
            </w:r>
            <w:r>
              <w:rPr>
                <w:rFonts w:ascii="Arial" w:hAnsi="Arial"/>
                <w:sz w:val="19"/>
              </w:rPr>
              <w:t>Three-city, cross-sectional comparison of Euclidean and walking-network accessibility. Actual log asking prices are used for within-city modelling; city-relative log prices are used only for pairwise cross-city transfer. Every derived analytical stage is rerun under one harmonized specification.</w:t>
            </w:r>
          </w:p>
        </w:tc>
      </w:tr>
    </w:tbl>
    <w:p>
      <w:pPr>
        <w:spacing w:after="0"/>
      </w:pPr>
    </w:p>
    <w:p>
      <w:pPr>
        <w:pStyle w:val="Heading2"/>
        <w:spacing w:before="140" w:after="80"/>
        <w:keepNext/>
      </w:pPr>
      <w:r>
        <w:t>Abstract</w:t>
      </w:r>
    </w:p>
    <w:p>
      <w:pPr>
        <w:spacing w:before="0" w:after="120" w:line="259" w:lineRule="auto"/>
      </w:pPr>
      <w:r>
        <w:rPr>
          <w:rFonts w:ascii="Arial" w:hAnsi="Arial"/>
          <w:sz w:val="20"/>
        </w:rPr>
        <w:t>This thesis examines whether walking-network accessibility provides useful information beyond straight-line accessibility when modelling Airbnb advertised nightly prices, and whether those pricing relationships transfer between cities. Copenhagen, Oslo and Stockholm are analysed from the matched Inside Airbnb batch dated 30 June 2026 using a common OpenStreetMap-based accessibility pipeline. Euclidean and walking-network measures are constructed from identical destination universes and evaluated through the same four-model ladder (M0, ME, MW and MEW). Within each city, the outcome remains the natural logarithm of the observed nightly asking price and primary evaluation holds out operational neighbourhood groups derived from Inside Airbnb. A separate cross-city experiment centres log price around each city's frozen market benchmark and transfers models pairwise between cities without target-city refitting. This relative-price design removes currency and overall city price-level differences while testing whether relationships learned in one city identify relatively expensive and relatively cheap listings in another. District income and residential property prices are excluded; official population density and city-centre distance remain common controls. Ordinary least squares supports conditional-association interpretation and XGBoost evaluates nonlinear predictive information. All derived analytical stages, including Copenhagen, are rerun; previous outputs are retained only as historical evidence.</w:t>
      </w:r>
    </w:p>
    <w:p>
      <w:pPr>
        <w:spacing w:before="0" w:after="160" w:line="259" w:lineRule="auto"/>
      </w:pPr>
      <w:r>
        <w:rPr>
          <w:rFonts w:ascii="Arial" w:hAnsi="Arial"/>
          <w:sz w:val="20"/>
        </w:rPr>
        <w:t>Keywords: Airbnb; accessibility; walking networks; OpenStreetMap; spatial cross-validation; transferability; hedonic modelling; Scandinavian capitals.</w:t>
      </w:r>
    </w:p>
    <w:p>
      <w:pPr>
        <w:pStyle w:val="Heading1"/>
        <w:spacing w:before="200" w:after="80"/>
        <w:keepNext/>
      </w:pPr>
      <w:r>
        <w:t>1. Research problem and motivation</w:t>
      </w:r>
    </w:p>
    <w:p>
      <w:pPr>
        <w:pStyle w:val="Heading2"/>
        <w:spacing w:before="140" w:after="80"/>
        <w:keepNext/>
      </w:pPr>
      <w:r>
        <w:t>1.1 Accessibility measurement</w:t>
      </w:r>
    </w:p>
    <w:p>
      <w:pPr>
        <w:spacing w:before="0" w:after="120" w:line="259" w:lineRule="auto"/>
      </w:pPr>
      <w:r>
        <w:rPr>
          <w:rFonts w:ascii="Arial" w:hAnsi="Arial"/>
          <w:sz w:val="20"/>
        </w:rPr>
        <w:t>Accessibility is not only a matter of straight-line proximity. Two locations that are close in Euclidean space may be separated by waterways, rail infrastructure, disconnected streets, restricted crossings or other network constraints. Accessibility research therefore emphasizes that the appropriate measure depends on the analytical purpose, and that richer measures bring both conceptual benefits and additional data and computational costs (Geurs &amp; van Wee, 2004).</w:t>
      </w:r>
    </w:p>
    <w:p>
      <w:pPr>
        <w:spacing w:before="0" w:after="120" w:line="259" w:lineRule="auto"/>
      </w:pPr>
      <w:r>
        <w:rPr>
          <w:rFonts w:ascii="Arial" w:hAnsi="Arial"/>
          <w:sz w:val="20"/>
        </w:rPr>
        <w:t>Airbnb pricing research repeatedly shows that location matters, but existing studies commonly use centre distance, nearest transport distance or straight-line opportunity measures rather than directly comparing matched Euclidean and pedestrian-network representations under the same out-of-sample design (Wang &amp; Nicolau, 2017; Gibbs et al., 2018; Gyódi &amp; Nawaro, 2021; Türk et al., 2021). The empirical question is therefore not whether networks are theoretically more realistic, but whether their added detail materially changes what can be learned or predicted about asking prices.</w:t>
      </w:r>
    </w:p>
    <w:p>
      <w:pPr>
        <w:pStyle w:val="Heading2"/>
        <w:spacing w:before="140" w:after="80"/>
        <w:keepNext/>
      </w:pPr>
      <w:r>
        <w:t>1.2 Geographic generalization and transferability</w:t>
      </w:r>
    </w:p>
    <w:p>
      <w:pPr>
        <w:spacing w:before="0" w:after="120" w:line="259" w:lineRule="auto"/>
      </w:pPr>
      <w:r>
        <w:rPr>
          <w:rFonts w:ascii="Arial" w:hAnsi="Arial"/>
          <w:sz w:val="20"/>
        </w:rPr>
        <w:t>Randomly interspersed train/test splits and geographically separated holdouts answer different prediction questions. Random validation asks how well a model predicts another listing drawn from a spatially mixed sample. Geographic validation asks how well it predicts listings in a neighbourhood that was absent from training. Spatial blocking can reduce optimistic error estimates under spatial dependence, but it also creates a harder extrapolation problem, so the fold design must match the prediction task (Roberts et al., 2017; Valavi et al., 2019).</w:t>
      </w:r>
    </w:p>
    <w:p>
      <w:pPr>
        <w:spacing w:before="0" w:after="120" w:line="259" w:lineRule="auto"/>
      </w:pPr>
      <w:r>
        <w:rPr>
          <w:rFonts w:ascii="Arial" w:hAnsi="Arial"/>
          <w:sz w:val="20"/>
        </w:rPr>
        <w:t>Adding multiple cities creates a second level of generalization. Spatial-transferability research asks whether relationships estimated in one region can make useful predictions in another (McArthur, Osland, &amp; Thorsen, 2012). This thesis adapts that logic to Airbnb pricing: after estimating a model in one city, can the same fitted relationships distinguish relatively expensive from relatively cheap listings in another city, and does accessibility improve that transfer?</w:t>
      </w:r>
    </w:p>
    <w:p>
      <w:pPr>
        <w:pStyle w:val="Heading1"/>
        <w:spacing w:before="200" w:after="80"/>
        <w:keepNext/>
      </w:pPr>
      <w:r>
        <w:t>2. Research gap and contribution</w:t>
      </w:r>
    </w:p>
    <w:p>
      <w:pPr>
        <w:spacing w:before="0" w:after="120" w:line="259" w:lineRule="auto"/>
      </w:pPr>
      <w:r>
        <w:rPr>
          <w:rFonts w:ascii="Arial" w:hAnsi="Arial"/>
          <w:sz w:val="20"/>
        </w:rPr>
        <w:t>The literature contains sophisticated Airbnb price models, spatial econometric models and richer accessibility measures, but the supplied literature audit does not establish a prior study that performs the same matched comparison of Euclidean and walking-network accessibility using identical destination universes, equal model budgets, unseen-neighbourhood validation and pairwise cross-city transfer across Copenhagen, Oslo and Stockholm. Geography alone is not treated as the novelty. The contribution is the controlled accessibility comparison and the evaluation of how its predictive value changes as the prediction task becomes geographically harder.</w:t>
      </w:r>
    </w:p>
    <w:p>
      <w:pPr>
        <w:spacing w:before="0" w:after="120" w:line="259" w:lineRule="auto"/>
      </w:pPr>
      <w:r>
        <w:rPr>
          <w:rFonts w:ascii="Arial" w:hAnsi="Arial"/>
          <w:sz w:val="20"/>
        </w:rPr>
        <w:t>The study makes five contributions. First, it constructs paired Euclidean and network measures from the same transport and amenity destinations. Second, it distinguishes replacement value (network instead of Euclidean) from incremental value (network added to Euclidean). Third, it evaluates actual-price prediction in unseen neighbourhoods within each city. Fourth, it introduces six directional cross-city transfer tests using a city-relative log-price outcome, avoiding pooled-city training and unequal-city weighting choices. Fifth, it reruns Copenhagen together with Oslo and Stockholm so the final comparison is produced by one common analytical pipeline rather than a mixture of legacy and new estimates.</w:t>
      </w:r>
    </w:p>
    <w:p>
      <w:pPr>
        <w:pStyle w:val="Heading1"/>
        <w:spacing w:before="200" w:after="80"/>
        <w:keepNext/>
      </w:pPr>
      <w:r>
        <w:t>3. Comparative case design</w:t>
      </w:r>
    </w:p>
    <w:p>
      <w:pPr>
        <w:pStyle w:val="Heading2"/>
        <w:spacing w:before="140" w:after="80"/>
        <w:keepNext/>
      </w:pPr>
      <w:r>
        <w:t>3.1 Why these three cities?</w:t>
      </w:r>
    </w:p>
    <w:p>
      <w:pPr>
        <w:spacing w:before="0" w:after="120" w:line="259" w:lineRule="auto"/>
      </w:pPr>
      <w:r>
        <w:rPr>
          <w:rFonts w:ascii="Arial" w:hAnsi="Arial"/>
          <w:sz w:val="20"/>
        </w:rPr>
        <w:t>Copenhagen, Oslo and Stockholm form a coherent set of selected Scandinavian capitals with a common regional setting but meaningful differences in urban structure, transport networks and neighbourhood form. Comparative urban research has previously analysed these capitals within common frameworks while emphasizing that their housing and spatial systems are not identical (Andersen et al., 2016; Haandrikman et al., 2023). The study uses that comparative logic without claiming that three capitals represent the Nordic region as a whole.</w:t>
      </w:r>
    </w:p>
    <w:p>
      <w:pPr>
        <w:spacing w:before="0" w:after="120" w:line="259" w:lineRule="auto"/>
      </w:pPr>
      <w:r>
        <w:rPr>
          <w:rFonts w:ascii="Arial" w:hAnsi="Arial"/>
          <w:sz w:val="20"/>
        </w:rPr>
        <w:t>All three cities are available from the same Inside Airbnb provider in the same 30 June 2026 batch and share the same detailed listing schema. City selection is therefore independent of model performance. Throughout this proposal, “Copenhagen” denotes the combined Copenhagen and Frederiksberg study area used in the project.</w:t>
      </w:r>
    </w:p>
    <w:p>
      <w:pPr>
        <w:pStyle w:val="Heading2"/>
        <w:spacing w:before="140" w:after="80"/>
        <w:keepNext/>
      </w:pPr>
      <w:r>
        <w:t>3.2 Prior evidence already observed</w:t>
      </w:r>
    </w:p>
    <w:p>
      <w:pPr>
        <w:spacing w:before="0" w:after="120" w:line="259" w:lineRule="auto"/>
      </w:pPr>
      <w:r>
        <w:rPr>
          <w:rFonts w:ascii="Arial" w:hAnsi="Arial"/>
          <w:sz w:val="20"/>
        </w:rPr>
        <w:t>An earlier Copenhagen analysis has already been completed. Its geographic XGBoost results reported log-price RMSE of 0.332357 for M0, 0.324049 for ME, 0.324482 for MW and 0.322703 for MEW, with MW minus ME approximately +0.000433 and an area-resampling interval spanning zero. These results motivate the cross-city extension. They are not treated as preregistered evidence and will not be copied into the final comparative analysis: Copenhagen will be rerun from source data under the same harmonized design as Oslo and Stockholm.</w:t>
      </w:r>
    </w:p>
    <w:p>
      <w:pPr>
        <w:pStyle w:val="Heading1"/>
        <w:spacing w:before="200" w:after="80"/>
        <w:keepNext/>
      </w:pPr>
      <w:r>
        <w:t>4. Research questions</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97"/>
        <w:gridCol w:w="4997"/>
      </w:tblGrid>
      <w:tr>
        <w:trPr>
          <w:tblHeader w:val="true"/>
          <w:cantSplit/>
        </w:trPr>
        <w:tc>
          <w:tcPr>
            <w:tcW w:type="dxa" w:w="4464"/>
            <w:shd w:fill="1F3A5F"/>
            <w:tcMar>
              <w:top w:w="90" w:type="dxa"/>
              <w:start w:w="90" w:type="dxa"/>
              <w:bottom w:w="90" w:type="dxa"/>
              <w:end w:w="90" w:type="dxa"/>
            </w:tcMar>
            <w:vAlign w:val="center"/>
          </w:tcPr>
          <w:p>
            <w:pPr>
              <w:spacing w:after="0"/>
              <w:jc w:val="left"/>
            </w:pPr>
            <w:r>
              <w:rPr>
                <w:rFonts w:ascii="Arial" w:hAnsi="Arial"/>
                <w:b/>
                <w:color w:val="FFFFFF"/>
                <w:sz w:val="16"/>
              </w:rPr>
              <w:t>Research question</w:t>
            </w:r>
          </w:p>
        </w:tc>
        <w:tc>
          <w:tcPr>
            <w:tcW w:type="dxa" w:w="5472"/>
            <w:shd w:fill="1F3A5F"/>
            <w:tcMar>
              <w:top w:w="90" w:type="dxa"/>
              <w:start w:w="90" w:type="dxa"/>
              <w:bottom w:w="90" w:type="dxa"/>
              <w:end w:w="90" w:type="dxa"/>
            </w:tcMar>
            <w:vAlign w:val="center"/>
          </w:tcPr>
          <w:p>
            <w:pPr>
              <w:spacing w:after="0"/>
              <w:jc w:val="left"/>
            </w:pPr>
            <w:r>
              <w:rPr>
                <w:rFonts w:ascii="Arial" w:hAnsi="Arial"/>
                <w:b/>
                <w:color w:val="FFFFFF"/>
                <w:sz w:val="16"/>
              </w:rPr>
              <w:t>Required evidence</w:t>
            </w:r>
          </w:p>
        </w:tc>
      </w:tr>
      <w:tr>
        <w:trPr>
          <w:cantSplit/>
        </w:trPr>
        <w:tc>
          <w:tcPr>
            <w:tcW w:type="dxa" w:w="4464"/>
            <w:tcMar>
              <w:top w:w="90" w:type="dxa"/>
              <w:start w:w="90" w:type="dxa"/>
              <w:bottom w:w="90" w:type="dxa"/>
              <w:end w:w="90" w:type="dxa"/>
            </w:tcMar>
            <w:vAlign w:val="top"/>
          </w:tcPr>
          <w:p>
            <w:pPr>
              <w:spacing w:after="0" w:line="240" w:lineRule="auto"/>
            </w:pPr>
            <w:r>
              <w:rPr>
                <w:rFonts w:ascii="Arial" w:hAnsi="Arial"/>
                <w:b w:val="0"/>
                <w:sz w:val="16"/>
              </w:rPr>
              <w:t>RQ1. How do matched Euclidean and walking-network accessibility representations differ within and across Copenhagen, Oslo and Stockholm?</w:t>
            </w:r>
          </w:p>
        </w:tc>
        <w:tc>
          <w:tcPr>
            <w:tcW w:type="dxa" w:w="5472"/>
            <w:tcMar>
              <w:top w:w="90" w:type="dxa"/>
              <w:start w:w="90" w:type="dxa"/>
              <w:bottom w:w="90" w:type="dxa"/>
              <w:end w:w="90" w:type="dxa"/>
            </w:tcMar>
            <w:vAlign w:val="top"/>
          </w:tcPr>
          <w:p>
            <w:pPr>
              <w:spacing w:after="0" w:line="240" w:lineRule="auto"/>
            </w:pPr>
            <w:r>
              <w:rPr>
                <w:rFonts w:ascii="Arial" w:hAnsi="Arial"/>
                <w:b w:val="0"/>
                <w:sz w:val="16"/>
              </w:rPr>
              <w:t>Distances, opportunity counts, route/straight-line ratios, destination disagreement, coverage and network QA.</w:t>
            </w:r>
          </w:p>
        </w:tc>
      </w:tr>
      <w:tr>
        <w:trPr>
          <w:cantSplit/>
        </w:trPr>
        <w:tc>
          <w:tcPr>
            <w:tcW w:type="dxa" w:w="4464"/>
            <w:shd w:fill="F5F7FA"/>
            <w:tcMar>
              <w:top w:w="90" w:type="dxa"/>
              <w:start w:w="90" w:type="dxa"/>
              <w:bottom w:w="90" w:type="dxa"/>
              <w:end w:w="90" w:type="dxa"/>
            </w:tcMar>
            <w:vAlign w:val="top"/>
          </w:tcPr>
          <w:p>
            <w:pPr>
              <w:spacing w:after="0" w:line="240" w:lineRule="auto"/>
            </w:pPr>
            <w:r>
              <w:rPr>
                <w:rFonts w:ascii="Arial" w:hAnsi="Arial"/>
                <w:b w:val="0"/>
                <w:sz w:val="16"/>
              </w:rPr>
              <w:t>RQ2. How much predictive information does each accessibility representation add for actual Airbnb asking prices within each city, and does walking-network accessibility add information beyond Euclidean accessibility?</w:t>
            </w:r>
          </w:p>
        </w:tc>
        <w:tc>
          <w:tcPr>
            <w:tcW w:type="dxa" w:w="5472"/>
            <w:shd w:fill="F5F7FA"/>
            <w:tcMar>
              <w:top w:w="90" w:type="dxa"/>
              <w:start w:w="90" w:type="dxa"/>
              <w:bottom w:w="90" w:type="dxa"/>
              <w:end w:w="90" w:type="dxa"/>
            </w:tcMar>
            <w:vAlign w:val="top"/>
          </w:tcPr>
          <w:p>
            <w:pPr>
              <w:spacing w:after="0" w:line="240" w:lineRule="auto"/>
            </w:pPr>
            <w:r>
              <w:rPr>
                <w:rFonts w:ascii="Arial" w:hAnsi="Arial"/>
                <w:b w:val="0"/>
                <w:sz w:val="16"/>
              </w:rPr>
              <w:t>M0/ME/MW/MEW on identical within-city samples and folds; OLS and XGBoost; unseen-neighbourhood performance with random and geometric-block robustness.</w:t>
            </w:r>
          </w:p>
        </w:tc>
      </w:tr>
      <w:tr>
        <w:trPr>
          <w:cantSplit/>
        </w:trPr>
        <w:tc>
          <w:tcPr>
            <w:tcW w:type="dxa" w:w="4464"/>
            <w:tcMar>
              <w:top w:w="90" w:type="dxa"/>
              <w:start w:w="90" w:type="dxa"/>
              <w:bottom w:w="90" w:type="dxa"/>
              <w:end w:w="90" w:type="dxa"/>
            </w:tcMar>
            <w:vAlign w:val="top"/>
          </w:tcPr>
          <w:p>
            <w:pPr>
              <w:spacing w:after="0" w:line="240" w:lineRule="auto"/>
            </w:pPr>
            <w:r>
              <w:rPr>
                <w:rFonts w:ascii="Arial" w:hAnsi="Arial"/>
                <w:b w:val="0"/>
                <w:sz w:val="16"/>
              </w:rPr>
              <w:t>RQ3. To what extent do relative Airbnb pricing relationships learned in one city transfer to another, and does accessibility improve that transferability?</w:t>
            </w:r>
          </w:p>
        </w:tc>
        <w:tc>
          <w:tcPr>
            <w:tcW w:type="dxa" w:w="5472"/>
            <w:tcMar>
              <w:top w:w="90" w:type="dxa"/>
              <w:start w:w="90" w:type="dxa"/>
              <w:bottom w:w="90" w:type="dxa"/>
              <w:end w:w="90" w:type="dxa"/>
            </w:tcMar>
            <w:vAlign w:val="top"/>
          </w:tcPr>
          <w:p>
            <w:pPr>
              <w:spacing w:after="0" w:line="240" w:lineRule="auto"/>
            </w:pPr>
            <w:r>
              <w:rPr>
                <w:rFonts w:ascii="Arial" w:hAnsi="Arial"/>
                <w:b w:val="0"/>
                <w:sz w:val="16"/>
              </w:rPr>
              <w:t>Six directional source→target tests using city-relative log price; source-only fitting/tuning; unchanged target application; paired transfer RMSE/MAE/R² and ranking diagnostics.</w:t>
            </w:r>
          </w:p>
        </w:tc>
      </w:tr>
    </w:tbl>
    <w:p>
      <w:pPr>
        <w:spacing w:after="0"/>
      </w:pPr>
    </w:p>
    <w:p>
      <w:pPr>
        <w:spacing w:before="0" w:after="120" w:line="259" w:lineRule="auto"/>
      </w:pPr>
      <w:r>
        <w:rPr>
          <w:rFonts w:ascii="Arial" w:hAnsi="Arial"/>
          <w:sz w:val="20"/>
        </w:rPr>
        <w:t>No directional hypothesis is imposed that walking-network accessibility must outperform Euclidean accessibility, either within cities or across cities. A small, unstable or city-specific gain is a substantive result. The study is predictive and associational; it does not estimate causal effects of accessibility, Airbnb activity, gentrification or residential housing prices.</w:t>
      </w:r>
    </w:p>
    <w:p>
      <w:pPr>
        <w:pStyle w:val="Heading1"/>
        <w:spacing w:before="200" w:after="80"/>
        <w:keepNext/>
      </w:pPr>
      <w:r>
        <w:t>5. Data and study population</w:t>
      </w:r>
    </w:p>
    <w:p>
      <w:pPr>
        <w:pStyle w:val="Heading2"/>
        <w:spacing w:before="140" w:after="80"/>
        <w:keepNext/>
      </w:pPr>
      <w:r>
        <w:t>5.1 Airbnb observations</w:t>
      </w:r>
    </w:p>
    <w:p>
      <w:pPr>
        <w:spacing w:before="0" w:after="120" w:line="259" w:lineRule="auto"/>
      </w:pPr>
      <w:r>
        <w:rPr>
          <w:rFonts w:ascii="Arial" w:hAnsi="Arial"/>
          <w:sz w:val="20"/>
        </w:rPr>
        <w:t>Use the preserved detailed Inside Airbnb files from the 30 June 2026 batch for Copenhagen, Oslo and Stockholm. Restrict the primary population to Entire home/apt listings in the six inherited conventional dwelling categories: Entire rental unit, Entire condo, Entire home, Entire loft, Entire townhouse and Entire villa. Prices are never imputed.</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98"/>
        <w:gridCol w:w="2498"/>
        <w:gridCol w:w="2498"/>
        <w:gridCol w:w="2498"/>
      </w:tblGrid>
      <w:tr>
        <w:trPr>
          <w:tblHeader w:val="true"/>
          <w:cantSplit/>
        </w:trPr>
        <w:tc>
          <w:tcPr>
            <w:tcW w:type="dxa" w:w="2160"/>
            <w:shd w:fill="1F3A5F"/>
            <w:tcMar>
              <w:top w:w="90" w:type="dxa"/>
              <w:start w:w="90" w:type="dxa"/>
              <w:bottom w:w="90" w:type="dxa"/>
              <w:end w:w="90" w:type="dxa"/>
            </w:tcMar>
            <w:vAlign w:val="center"/>
          </w:tcPr>
          <w:p>
            <w:pPr>
              <w:spacing w:after="0"/>
              <w:jc w:val="left"/>
            </w:pPr>
            <w:r>
              <w:rPr>
                <w:rFonts w:ascii="Arial" w:hAnsi="Arial"/>
                <w:b/>
                <w:color w:val="FFFFFF"/>
                <w:sz w:val="17"/>
              </w:rPr>
              <w:t>City</w:t>
            </w:r>
          </w:p>
        </w:tc>
        <w:tc>
          <w:tcPr>
            <w:tcW w:type="dxa" w:w="1872"/>
            <w:shd w:fill="1F3A5F"/>
            <w:tcMar>
              <w:top w:w="90" w:type="dxa"/>
              <w:start w:w="90" w:type="dxa"/>
              <w:bottom w:w="90" w:type="dxa"/>
              <w:end w:w="90" w:type="dxa"/>
            </w:tcMar>
            <w:vAlign w:val="center"/>
          </w:tcPr>
          <w:p>
            <w:pPr>
              <w:spacing w:after="0"/>
              <w:jc w:val="left"/>
            </w:pPr>
            <w:r>
              <w:rPr>
                <w:rFonts w:ascii="Arial" w:hAnsi="Arial"/>
                <w:b/>
                <w:color w:val="FFFFFF"/>
                <w:sz w:val="17"/>
              </w:rPr>
              <w:t>Raw listings</w:t>
            </w:r>
          </w:p>
        </w:tc>
        <w:tc>
          <w:tcPr>
            <w:tcW w:type="dxa" w:w="3024"/>
            <w:shd w:fill="1F3A5F"/>
            <w:tcMar>
              <w:top w:w="90" w:type="dxa"/>
              <w:start w:w="90" w:type="dxa"/>
              <w:bottom w:w="90" w:type="dxa"/>
              <w:end w:w="90" w:type="dxa"/>
            </w:tcMar>
            <w:vAlign w:val="center"/>
          </w:tcPr>
          <w:p>
            <w:pPr>
              <w:spacing w:after="0"/>
              <w:jc w:val="left"/>
            </w:pPr>
            <w:r>
              <w:rPr>
                <w:rFonts w:ascii="Arial" w:hAnsi="Arial"/>
                <w:b/>
                <w:color w:val="FFFFFF"/>
                <w:sz w:val="17"/>
              </w:rPr>
              <w:t>Conventional entire dwellings</w:t>
            </w:r>
          </w:p>
        </w:tc>
        <w:tc>
          <w:tcPr>
            <w:tcW w:type="dxa" w:w="3024"/>
            <w:shd w:fill="1F3A5F"/>
            <w:tcMar>
              <w:top w:w="90" w:type="dxa"/>
              <w:start w:w="90" w:type="dxa"/>
              <w:bottom w:w="90" w:type="dxa"/>
              <w:end w:w="90" w:type="dxa"/>
            </w:tcMar>
            <w:vAlign w:val="center"/>
          </w:tcPr>
          <w:p>
            <w:pPr>
              <w:spacing w:after="0"/>
              <w:jc w:val="left"/>
            </w:pPr>
            <w:r>
              <w:rPr>
                <w:rFonts w:ascii="Arial" w:hAnsi="Arial"/>
                <w:b/>
                <w:color w:val="FFFFFF"/>
                <w:sz w:val="17"/>
              </w:rPr>
              <w:t>Positive observed price inside study mask</w:t>
            </w:r>
          </w:p>
        </w:tc>
      </w:tr>
      <w:tr>
        <w:trPr>
          <w:cantSplit/>
        </w:trPr>
        <w:tc>
          <w:tcPr>
            <w:tcW w:type="dxa" w:w="2160"/>
            <w:tcMar>
              <w:top w:w="90" w:type="dxa"/>
              <w:start w:w="90" w:type="dxa"/>
              <w:bottom w:w="90" w:type="dxa"/>
              <w:end w:w="90" w:type="dxa"/>
            </w:tcMar>
            <w:vAlign w:val="top"/>
          </w:tcPr>
          <w:p>
            <w:pPr>
              <w:spacing w:after="0" w:line="240" w:lineRule="auto"/>
            </w:pPr>
            <w:r>
              <w:rPr>
                <w:rFonts w:ascii="Arial" w:hAnsi="Arial"/>
                <w:b w:val="0"/>
                <w:sz w:val="17"/>
              </w:rPr>
              <w:t>Copenhagen</w:t>
            </w:r>
          </w:p>
        </w:tc>
        <w:tc>
          <w:tcPr>
            <w:tcW w:type="dxa" w:w="1872"/>
            <w:tcMar>
              <w:top w:w="90" w:type="dxa"/>
              <w:start w:w="90" w:type="dxa"/>
              <w:bottom w:w="90" w:type="dxa"/>
              <w:end w:w="90" w:type="dxa"/>
            </w:tcMar>
            <w:vAlign w:val="top"/>
          </w:tcPr>
          <w:p>
            <w:pPr>
              <w:spacing w:after="0" w:line="240" w:lineRule="auto"/>
            </w:pPr>
            <w:r>
              <w:rPr>
                <w:rFonts w:ascii="Arial" w:hAnsi="Arial"/>
                <w:b w:val="0"/>
                <w:sz w:val="17"/>
              </w:rPr>
              <w:t>23,144</w:t>
            </w:r>
          </w:p>
        </w:tc>
        <w:tc>
          <w:tcPr>
            <w:tcW w:type="dxa" w:w="3024"/>
            <w:tcMar>
              <w:top w:w="90" w:type="dxa"/>
              <w:start w:w="90" w:type="dxa"/>
              <w:bottom w:w="90" w:type="dxa"/>
              <w:end w:w="90" w:type="dxa"/>
            </w:tcMar>
            <w:vAlign w:val="top"/>
          </w:tcPr>
          <w:p>
            <w:pPr>
              <w:spacing w:after="0" w:line="240" w:lineRule="auto"/>
            </w:pPr>
            <w:r>
              <w:rPr>
                <w:rFonts w:ascii="Arial" w:hAnsi="Arial"/>
                <w:b w:val="0"/>
                <w:sz w:val="17"/>
              </w:rPr>
              <w:t>21,080</w:t>
            </w:r>
          </w:p>
        </w:tc>
        <w:tc>
          <w:tcPr>
            <w:tcW w:type="dxa" w:w="3024"/>
            <w:tcMar>
              <w:top w:w="90" w:type="dxa"/>
              <w:start w:w="90" w:type="dxa"/>
              <w:bottom w:w="90" w:type="dxa"/>
              <w:end w:w="90" w:type="dxa"/>
            </w:tcMar>
            <w:vAlign w:val="top"/>
          </w:tcPr>
          <w:p>
            <w:pPr>
              <w:spacing w:after="0" w:line="240" w:lineRule="auto"/>
            </w:pPr>
            <w:r>
              <w:rPr>
                <w:rFonts w:ascii="Arial" w:hAnsi="Arial"/>
                <w:b w:val="0"/>
                <w:sz w:val="17"/>
              </w:rPr>
              <w:t>12,508</w:t>
            </w:r>
          </w:p>
        </w:tc>
      </w:tr>
      <w:tr>
        <w:trPr>
          <w:cantSplit/>
        </w:trPr>
        <w:tc>
          <w:tcPr>
            <w:tcW w:type="dxa" w:w="2160"/>
            <w:shd w:fill="F5F7FA"/>
            <w:tcMar>
              <w:top w:w="90" w:type="dxa"/>
              <w:start w:w="90" w:type="dxa"/>
              <w:bottom w:w="90" w:type="dxa"/>
              <w:end w:w="90" w:type="dxa"/>
            </w:tcMar>
            <w:vAlign w:val="top"/>
          </w:tcPr>
          <w:p>
            <w:pPr>
              <w:spacing w:after="0" w:line="240" w:lineRule="auto"/>
            </w:pPr>
            <w:r>
              <w:rPr>
                <w:rFonts w:ascii="Arial" w:hAnsi="Arial"/>
                <w:b w:val="0"/>
                <w:sz w:val="17"/>
              </w:rPr>
              <w:t>Oslo</w:t>
            </w:r>
          </w:p>
        </w:tc>
        <w:tc>
          <w:tcPr>
            <w:tcW w:type="dxa" w:w="1872"/>
            <w:shd w:fill="F5F7FA"/>
            <w:tcMar>
              <w:top w:w="90" w:type="dxa"/>
              <w:start w:w="90" w:type="dxa"/>
              <w:bottom w:w="90" w:type="dxa"/>
              <w:end w:w="90" w:type="dxa"/>
            </w:tcMar>
            <w:vAlign w:val="top"/>
          </w:tcPr>
          <w:p>
            <w:pPr>
              <w:spacing w:after="0" w:line="240" w:lineRule="auto"/>
            </w:pPr>
            <w:r>
              <w:rPr>
                <w:rFonts w:ascii="Arial" w:hAnsi="Arial"/>
                <w:b w:val="0"/>
                <w:sz w:val="17"/>
              </w:rPr>
              <w:t>13,391</w:t>
            </w:r>
          </w:p>
        </w:tc>
        <w:tc>
          <w:tcPr>
            <w:tcW w:type="dxa" w:w="3024"/>
            <w:shd w:fill="F5F7FA"/>
            <w:tcMar>
              <w:top w:w="90" w:type="dxa"/>
              <w:start w:w="90" w:type="dxa"/>
              <w:bottom w:w="90" w:type="dxa"/>
              <w:end w:w="90" w:type="dxa"/>
            </w:tcMar>
            <w:vAlign w:val="top"/>
          </w:tcPr>
          <w:p>
            <w:pPr>
              <w:spacing w:after="0" w:line="240" w:lineRule="auto"/>
            </w:pPr>
            <w:r>
              <w:rPr>
                <w:rFonts w:ascii="Arial" w:hAnsi="Arial"/>
                <w:b w:val="0"/>
                <w:sz w:val="17"/>
              </w:rPr>
              <w:t>11,776</w:t>
            </w:r>
          </w:p>
        </w:tc>
        <w:tc>
          <w:tcPr>
            <w:tcW w:type="dxa" w:w="3024"/>
            <w:shd w:fill="F5F7FA"/>
            <w:tcMar>
              <w:top w:w="90" w:type="dxa"/>
              <w:start w:w="90" w:type="dxa"/>
              <w:bottom w:w="90" w:type="dxa"/>
              <w:end w:w="90" w:type="dxa"/>
            </w:tcMar>
            <w:vAlign w:val="top"/>
          </w:tcPr>
          <w:p>
            <w:pPr>
              <w:spacing w:after="0" w:line="240" w:lineRule="auto"/>
            </w:pPr>
            <w:r>
              <w:rPr>
                <w:rFonts w:ascii="Arial" w:hAnsi="Arial"/>
                <w:b w:val="0"/>
                <w:sz w:val="17"/>
              </w:rPr>
              <w:t>8,557</w:t>
            </w:r>
          </w:p>
        </w:tc>
      </w:tr>
      <w:tr>
        <w:trPr>
          <w:cantSplit/>
        </w:trPr>
        <w:tc>
          <w:tcPr>
            <w:tcW w:type="dxa" w:w="2160"/>
            <w:tcMar>
              <w:top w:w="90" w:type="dxa"/>
              <w:start w:w="90" w:type="dxa"/>
              <w:bottom w:w="90" w:type="dxa"/>
              <w:end w:w="90" w:type="dxa"/>
            </w:tcMar>
            <w:vAlign w:val="top"/>
          </w:tcPr>
          <w:p>
            <w:pPr>
              <w:spacing w:after="0" w:line="240" w:lineRule="auto"/>
            </w:pPr>
            <w:r>
              <w:rPr>
                <w:rFonts w:ascii="Arial" w:hAnsi="Arial"/>
                <w:b w:val="0"/>
                <w:sz w:val="17"/>
              </w:rPr>
              <w:t>Stockholm</w:t>
            </w:r>
          </w:p>
        </w:tc>
        <w:tc>
          <w:tcPr>
            <w:tcW w:type="dxa" w:w="1872"/>
            <w:tcMar>
              <w:top w:w="90" w:type="dxa"/>
              <w:start w:w="90" w:type="dxa"/>
              <w:bottom w:w="90" w:type="dxa"/>
              <w:end w:w="90" w:type="dxa"/>
            </w:tcMar>
            <w:vAlign w:val="top"/>
          </w:tcPr>
          <w:p>
            <w:pPr>
              <w:spacing w:after="0" w:line="240" w:lineRule="auto"/>
            </w:pPr>
            <w:r>
              <w:rPr>
                <w:rFonts w:ascii="Arial" w:hAnsi="Arial"/>
                <w:b w:val="0"/>
                <w:sz w:val="17"/>
              </w:rPr>
              <w:t>4,806</w:t>
            </w:r>
          </w:p>
        </w:tc>
        <w:tc>
          <w:tcPr>
            <w:tcW w:type="dxa" w:w="3024"/>
            <w:tcMar>
              <w:top w:w="90" w:type="dxa"/>
              <w:start w:w="90" w:type="dxa"/>
              <w:bottom w:w="90" w:type="dxa"/>
              <w:end w:w="90" w:type="dxa"/>
            </w:tcMar>
            <w:vAlign w:val="top"/>
          </w:tcPr>
          <w:p>
            <w:pPr>
              <w:spacing w:after="0" w:line="240" w:lineRule="auto"/>
            </w:pPr>
            <w:r>
              <w:rPr>
                <w:rFonts w:ascii="Arial" w:hAnsi="Arial"/>
                <w:b w:val="0"/>
                <w:sz w:val="17"/>
              </w:rPr>
              <w:t>3,834</w:t>
            </w:r>
          </w:p>
        </w:tc>
        <w:tc>
          <w:tcPr>
            <w:tcW w:type="dxa" w:w="3024"/>
            <w:tcMar>
              <w:top w:w="90" w:type="dxa"/>
              <w:start w:w="90" w:type="dxa"/>
              <w:bottom w:w="90" w:type="dxa"/>
              <w:end w:w="90" w:type="dxa"/>
            </w:tcMar>
            <w:vAlign w:val="top"/>
          </w:tcPr>
          <w:p>
            <w:pPr>
              <w:spacing w:after="0" w:line="240" w:lineRule="auto"/>
            </w:pPr>
            <w:r>
              <w:rPr>
                <w:rFonts w:ascii="Arial" w:hAnsi="Arial"/>
                <w:b w:val="0"/>
                <w:sz w:val="17"/>
              </w:rPr>
              <w:t>2,510</w:t>
            </w:r>
          </w:p>
        </w:tc>
      </w:tr>
    </w:tbl>
    <w:p>
      <w:pPr>
        <w:spacing w:after="0"/>
      </w:pPr>
    </w:p>
    <w:p>
      <w:pPr>
        <w:spacing w:before="0" w:after="120" w:line="259" w:lineRule="auto"/>
      </w:pPr>
      <w:r>
        <w:rPr>
          <w:rFonts w:ascii="Arial" w:hAnsi="Arial"/>
          <w:sz w:val="20"/>
        </w:rPr>
        <w:t>These are acquisition-stage counts, not final analytical sample sizes. Final samples also require valid common controls and accessibility support.</w:t>
      </w:r>
    </w:p>
    <w:p>
      <w:pPr>
        <w:pStyle w:val="Heading2"/>
        <w:spacing w:before="140" w:after="80"/>
        <w:keepNext/>
      </w:pPr>
      <w:r>
        <w:t>5.2 Operational neighbourhood groups</w:t>
      </w:r>
    </w:p>
    <w:p>
      <w:pPr>
        <w:spacing w:before="0" w:after="120" w:line="259" w:lineRule="auto"/>
      </w:pPr>
      <w:r>
        <w:rPr>
          <w:rFonts w:ascii="Arial" w:hAnsi="Arial"/>
          <w:sz w:val="20"/>
        </w:rPr>
        <w:t>Primary within-city geographic validation uses operational neighbourhood groups based on Inside Airbnb’s neighbourhood_cleansed labels and corresponding neighbourhood polygons. Raw provider labels are preserved; normalized or grouped labels are stored separately. The groups are used for validation and contextual assignment, not as predictors.</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98"/>
        <w:gridCol w:w="2498"/>
        <w:gridCol w:w="2498"/>
        <w:gridCol w:w="2498"/>
      </w:tblGrid>
      <w:tr>
        <w:trPr>
          <w:tblHeader w:val="true"/>
          <w:cantSplit/>
        </w:trPr>
        <w:tc>
          <w:tcPr>
            <w:tcW w:type="dxa" w:w="2016"/>
            <w:shd w:fill="1F3A5F"/>
            <w:tcMar>
              <w:top w:w="90" w:type="dxa"/>
              <w:start w:w="90" w:type="dxa"/>
              <w:bottom w:w="90" w:type="dxa"/>
              <w:end w:w="90" w:type="dxa"/>
            </w:tcMar>
            <w:vAlign w:val="center"/>
          </w:tcPr>
          <w:p>
            <w:pPr>
              <w:spacing w:after="0"/>
              <w:jc w:val="left"/>
            </w:pPr>
            <w:r>
              <w:rPr>
                <w:rFonts w:ascii="Arial" w:hAnsi="Arial"/>
                <w:b/>
                <w:color w:val="FFFFFF"/>
                <w:sz w:val="16"/>
              </w:rPr>
              <w:t>City</w:t>
            </w:r>
          </w:p>
        </w:tc>
        <w:tc>
          <w:tcPr>
            <w:tcW w:type="dxa" w:w="1800"/>
            <w:shd w:fill="1F3A5F"/>
            <w:tcMar>
              <w:top w:w="90" w:type="dxa"/>
              <w:start w:w="90" w:type="dxa"/>
              <w:bottom w:w="90" w:type="dxa"/>
              <w:end w:w="90" w:type="dxa"/>
            </w:tcMar>
            <w:vAlign w:val="center"/>
          </w:tcPr>
          <w:p>
            <w:pPr>
              <w:spacing w:after="0"/>
              <w:jc w:val="left"/>
            </w:pPr>
            <w:r>
              <w:rPr>
                <w:rFonts w:ascii="Arial" w:hAnsi="Arial"/>
                <w:b/>
                <w:color w:val="FFFFFF"/>
                <w:sz w:val="16"/>
              </w:rPr>
              <w:t>Raw provider labels</w:t>
            </w:r>
          </w:p>
        </w:tc>
        <w:tc>
          <w:tcPr>
            <w:tcW w:type="dxa" w:w="1800"/>
            <w:shd w:fill="1F3A5F"/>
            <w:tcMar>
              <w:top w:w="90" w:type="dxa"/>
              <w:start w:w="90" w:type="dxa"/>
              <w:bottom w:w="90" w:type="dxa"/>
              <w:end w:w="90" w:type="dxa"/>
            </w:tcMar>
            <w:vAlign w:val="center"/>
          </w:tcPr>
          <w:p>
            <w:pPr>
              <w:spacing w:after="0"/>
              <w:jc w:val="left"/>
            </w:pPr>
            <w:r>
              <w:rPr>
                <w:rFonts w:ascii="Arial" w:hAnsi="Arial"/>
                <w:b/>
                <w:color w:val="FFFFFF"/>
                <w:sz w:val="16"/>
              </w:rPr>
              <w:t>Operational groups</w:t>
            </w:r>
          </w:p>
        </w:tc>
        <w:tc>
          <w:tcPr>
            <w:tcW w:type="dxa" w:w="4464"/>
            <w:shd w:fill="1F3A5F"/>
            <w:tcMar>
              <w:top w:w="90" w:type="dxa"/>
              <w:start w:w="90" w:type="dxa"/>
              <w:bottom w:w="90" w:type="dxa"/>
              <w:end w:w="90" w:type="dxa"/>
            </w:tcMar>
            <w:vAlign w:val="center"/>
          </w:tcPr>
          <w:p>
            <w:pPr>
              <w:spacing w:after="0"/>
              <w:jc w:val="left"/>
            </w:pPr>
            <w:r>
              <w:rPr>
                <w:rFonts w:ascii="Arial" w:hAnsi="Arial"/>
                <w:b/>
                <w:color w:val="FFFFFF"/>
                <w:sz w:val="16"/>
              </w:rPr>
              <w:t>Rule</w:t>
            </w:r>
          </w:p>
        </w:tc>
      </w:tr>
      <w:tr>
        <w:trPr>
          <w:cantSplit/>
        </w:trPr>
        <w:tc>
          <w:tcPr>
            <w:tcW w:type="dxa" w:w="2016"/>
            <w:tcMar>
              <w:top w:w="90" w:type="dxa"/>
              <w:start w:w="90" w:type="dxa"/>
              <w:bottom w:w="90" w:type="dxa"/>
              <w:end w:w="90" w:type="dxa"/>
            </w:tcMar>
            <w:vAlign w:val="top"/>
          </w:tcPr>
          <w:p>
            <w:pPr>
              <w:spacing w:after="0" w:line="240" w:lineRule="auto"/>
            </w:pPr>
            <w:r>
              <w:rPr>
                <w:rFonts w:ascii="Arial" w:hAnsi="Arial"/>
                <w:b w:val="0"/>
                <w:sz w:val="16"/>
              </w:rPr>
              <w:t>Copenhagen</w:t>
            </w:r>
          </w:p>
        </w:tc>
        <w:tc>
          <w:tcPr>
            <w:tcW w:type="dxa" w:w="1800"/>
            <w:tcMar>
              <w:top w:w="90" w:type="dxa"/>
              <w:start w:w="90" w:type="dxa"/>
              <w:bottom w:w="90" w:type="dxa"/>
              <w:end w:w="90" w:type="dxa"/>
            </w:tcMar>
            <w:vAlign w:val="top"/>
          </w:tcPr>
          <w:p>
            <w:pPr>
              <w:spacing w:after="0" w:line="240" w:lineRule="auto"/>
            </w:pPr>
            <w:r>
              <w:rPr>
                <w:rFonts w:ascii="Arial" w:hAnsi="Arial"/>
                <w:b w:val="0"/>
                <w:sz w:val="16"/>
              </w:rPr>
              <w:t>11</w:t>
            </w:r>
          </w:p>
        </w:tc>
        <w:tc>
          <w:tcPr>
            <w:tcW w:type="dxa" w:w="1800"/>
            <w:tcMar>
              <w:top w:w="90" w:type="dxa"/>
              <w:start w:w="90" w:type="dxa"/>
              <w:bottom w:w="90" w:type="dxa"/>
              <w:end w:w="90" w:type="dxa"/>
            </w:tcMar>
            <w:vAlign w:val="top"/>
          </w:tcPr>
          <w:p>
            <w:pPr>
              <w:spacing w:after="0" w:line="240" w:lineRule="auto"/>
            </w:pPr>
            <w:r>
              <w:rPr>
                <w:rFonts w:ascii="Arial" w:hAnsi="Arial"/>
                <w:b w:val="0"/>
                <w:sz w:val="16"/>
              </w:rPr>
              <w:t>11</w:t>
            </w:r>
          </w:p>
        </w:tc>
        <w:tc>
          <w:tcPr>
            <w:tcW w:type="dxa" w:w="4464"/>
            <w:tcMar>
              <w:top w:w="90" w:type="dxa"/>
              <w:start w:w="90" w:type="dxa"/>
              <w:bottom w:w="90" w:type="dxa"/>
              <w:end w:w="90" w:type="dxa"/>
            </w:tcMar>
            <w:vAlign w:val="top"/>
          </w:tcPr>
          <w:p>
            <w:pPr>
              <w:spacing w:after="0" w:line="240" w:lineRule="auto"/>
            </w:pPr>
            <w:r>
              <w:rPr>
                <w:rFonts w:ascii="Arial" w:hAnsi="Arial"/>
                <w:b w:val="0"/>
                <w:sz w:val="16"/>
              </w:rPr>
              <w:t>Normalize five spelling/encoding variants; otherwise preserve the provider geography.</w:t>
            </w:r>
          </w:p>
        </w:tc>
      </w:tr>
      <w:tr>
        <w:trPr>
          <w:cantSplit/>
        </w:trPr>
        <w:tc>
          <w:tcPr>
            <w:tcW w:type="dxa" w:w="2016"/>
            <w:shd w:fill="F5F7FA"/>
            <w:tcMar>
              <w:top w:w="90" w:type="dxa"/>
              <w:start w:w="90" w:type="dxa"/>
              <w:bottom w:w="90" w:type="dxa"/>
              <w:end w:w="90" w:type="dxa"/>
            </w:tcMar>
            <w:vAlign w:val="top"/>
          </w:tcPr>
          <w:p>
            <w:pPr>
              <w:spacing w:after="0" w:line="240" w:lineRule="auto"/>
            </w:pPr>
            <w:r>
              <w:rPr>
                <w:rFonts w:ascii="Arial" w:hAnsi="Arial"/>
                <w:b w:val="0"/>
                <w:sz w:val="16"/>
              </w:rPr>
              <w:t>Oslo</w:t>
            </w:r>
          </w:p>
        </w:tc>
        <w:tc>
          <w:tcPr>
            <w:tcW w:type="dxa" w:w="1800"/>
            <w:shd w:fill="F5F7FA"/>
            <w:tcMar>
              <w:top w:w="90" w:type="dxa"/>
              <w:start w:w="90" w:type="dxa"/>
              <w:bottom w:w="90" w:type="dxa"/>
              <w:end w:w="90" w:type="dxa"/>
            </w:tcMar>
            <w:vAlign w:val="top"/>
          </w:tcPr>
          <w:p>
            <w:pPr>
              <w:spacing w:after="0" w:line="240" w:lineRule="auto"/>
            </w:pPr>
            <w:r>
              <w:rPr>
                <w:rFonts w:ascii="Arial" w:hAnsi="Arial"/>
                <w:b w:val="0"/>
                <w:sz w:val="16"/>
              </w:rPr>
              <w:t>17</w:t>
            </w:r>
          </w:p>
        </w:tc>
        <w:tc>
          <w:tcPr>
            <w:tcW w:type="dxa" w:w="1800"/>
            <w:shd w:fill="F5F7FA"/>
            <w:tcMar>
              <w:top w:w="90" w:type="dxa"/>
              <w:start w:w="90" w:type="dxa"/>
              <w:bottom w:w="90" w:type="dxa"/>
              <w:end w:w="90" w:type="dxa"/>
            </w:tcMar>
            <w:vAlign w:val="top"/>
          </w:tcPr>
          <w:p>
            <w:pPr>
              <w:spacing w:after="0" w:line="240" w:lineRule="auto"/>
            </w:pPr>
            <w:r>
              <w:rPr>
                <w:rFonts w:ascii="Arial" w:hAnsi="Arial"/>
                <w:b w:val="0"/>
                <w:sz w:val="16"/>
              </w:rPr>
              <w:t>17</w:t>
            </w:r>
          </w:p>
        </w:tc>
        <w:tc>
          <w:tcPr>
            <w:tcW w:type="dxa" w:w="4464"/>
            <w:shd w:fill="F5F7FA"/>
            <w:tcMar>
              <w:top w:w="90" w:type="dxa"/>
              <w:start w:w="90" w:type="dxa"/>
              <w:bottom w:w="90" w:type="dxa"/>
              <w:end w:w="90" w:type="dxa"/>
            </w:tcMar>
            <w:vAlign w:val="top"/>
          </w:tcPr>
          <w:p>
            <w:pPr>
              <w:spacing w:after="0" w:line="240" w:lineRule="auto"/>
            </w:pPr>
            <w:r>
              <w:rPr>
                <w:rFonts w:ascii="Arial" w:hAnsi="Arial"/>
                <w:b w:val="0"/>
                <w:sz w:val="16"/>
              </w:rPr>
              <w:t>Use the 15 borough labels plus Sentrum and Marka; names correspond to the checked official nomenclature.</w:t>
            </w:r>
          </w:p>
        </w:tc>
      </w:tr>
      <w:tr>
        <w:trPr>
          <w:cantSplit/>
        </w:trPr>
        <w:tc>
          <w:tcPr>
            <w:tcW w:type="dxa" w:w="2016"/>
            <w:tcMar>
              <w:top w:w="90" w:type="dxa"/>
              <w:start w:w="90" w:type="dxa"/>
              <w:bottom w:w="90" w:type="dxa"/>
              <w:end w:w="90" w:type="dxa"/>
            </w:tcMar>
            <w:vAlign w:val="top"/>
          </w:tcPr>
          <w:p>
            <w:pPr>
              <w:spacing w:after="0" w:line="240" w:lineRule="auto"/>
            </w:pPr>
            <w:r>
              <w:rPr>
                <w:rFonts w:ascii="Arial" w:hAnsi="Arial"/>
                <w:b w:val="0"/>
                <w:sz w:val="16"/>
              </w:rPr>
              <w:t>Stockholm</w:t>
            </w:r>
          </w:p>
        </w:tc>
        <w:tc>
          <w:tcPr>
            <w:tcW w:type="dxa" w:w="1800"/>
            <w:tcMar>
              <w:top w:w="90" w:type="dxa"/>
              <w:start w:w="90" w:type="dxa"/>
              <w:bottom w:w="90" w:type="dxa"/>
              <w:end w:w="90" w:type="dxa"/>
            </w:tcMar>
            <w:vAlign w:val="top"/>
          </w:tcPr>
          <w:p>
            <w:pPr>
              <w:spacing w:after="0" w:line="240" w:lineRule="auto"/>
            </w:pPr>
            <w:r>
              <w:rPr>
                <w:rFonts w:ascii="Arial" w:hAnsi="Arial"/>
                <w:b w:val="0"/>
                <w:sz w:val="16"/>
              </w:rPr>
              <w:t>14</w:t>
            </w:r>
          </w:p>
        </w:tc>
        <w:tc>
          <w:tcPr>
            <w:tcW w:type="dxa" w:w="1800"/>
            <w:tcMar>
              <w:top w:w="90" w:type="dxa"/>
              <w:start w:w="90" w:type="dxa"/>
              <w:bottom w:w="90" w:type="dxa"/>
              <w:end w:w="90" w:type="dxa"/>
            </w:tcMar>
            <w:vAlign w:val="top"/>
          </w:tcPr>
          <w:p>
            <w:pPr>
              <w:spacing w:after="0" w:line="240" w:lineRule="auto"/>
            </w:pPr>
            <w:r>
              <w:rPr>
                <w:rFonts w:ascii="Arial" w:hAnsi="Arial"/>
                <w:b w:val="0"/>
                <w:sz w:val="16"/>
              </w:rPr>
              <w:t>11</w:t>
            </w:r>
          </w:p>
        </w:tc>
        <w:tc>
          <w:tcPr>
            <w:tcW w:type="dxa" w:w="4464"/>
            <w:tcMar>
              <w:top w:w="90" w:type="dxa"/>
              <w:start w:w="90" w:type="dxa"/>
              <w:bottom w:w="90" w:type="dxa"/>
              <w:end w:w="90" w:type="dxa"/>
            </w:tcMar>
            <w:vAlign w:val="top"/>
          </w:tcPr>
          <w:p>
            <w:pPr>
              <w:spacing w:after="0" w:line="240" w:lineRule="auto"/>
            </w:pPr>
            <w:r>
              <w:rPr>
                <w:rFonts w:ascii="Arial" w:hAnsi="Arial"/>
                <w:b w:val="0"/>
                <w:sz w:val="16"/>
              </w:rPr>
              <w:t>Preserve all raw labels; merge historical labels into frozen operational groups before modelling.</w:t>
            </w:r>
          </w:p>
        </w:tc>
      </w:tr>
    </w:tbl>
    <w:p>
      <w:pPr>
        <w:spacing w:after="0"/>
      </w:pPr>
    </w:p>
    <w:p>
      <w:pPr>
        <w:spacing w:before="0" w:after="120" w:line="259" w:lineRule="auto"/>
      </w:pPr>
      <w:r>
        <w:rPr>
          <w:rFonts w:ascii="Arial" w:hAnsi="Arial"/>
          <w:sz w:val="20"/>
        </w:rPr>
        <w:t>For Stockholm, Hägersten-Liljeholmens and Älvsjö are grouped as Hägersten-Älvsjö; Norrmalms and Östermalms as Norra innerstaden; and Spånga-Tensta plus the provider label Rinkeby-Tensta as Järva. A project polygon audit found that the Rinkeby-Tensta polygon overlaps the historical Rinkeby-Kista comparison polygon by 98.87%, supporting treatment as a likely provider naming error. The raw label and original polygon remain unchanged.</w:t>
      </w:r>
    </w:p>
    <w:p>
      <w:pPr>
        <w:pStyle w:val="Heading2"/>
        <w:spacing w:before="140" w:after="80"/>
        <w:keepNext/>
      </w:pPr>
      <w:r>
        <w:t>5.3 Population density and centrality</w:t>
      </w:r>
    </w:p>
    <w:p>
      <w:pPr>
        <w:spacing w:before="0" w:after="120" w:line="259" w:lineRule="auto"/>
      </w:pPr>
      <w:r>
        <w:rPr>
          <w:rFonts w:ascii="Arial" w:hAnsi="Arial"/>
          <w:sz w:val="20"/>
        </w:rPr>
        <w:t>Population density remains a common neighbourhood-context control; district income is removed from all primary and transfer models. Copenhagen uses the already acquired near-snapshot official population counts for its 11 operational areas. Oslo uses official 1 January 2026 counts for the 17 operational areas, excluding municipality-wide and unlocated totals from neighbourhood assignment. Stockholm uses official population data aggregated to the 11 operational groups; directly published group totals are preferred where available, otherwise the existing RegSO counts are aggregated through an audited crosswalk.</w:t>
      </w:r>
    </w:p>
    <w:p>
      <w:pPr>
        <w:spacing w:before="0" w:after="120" w:line="259" w:lineRule="auto"/>
      </w:pPr>
      <w:r>
        <w:rPr>
          <w:rFonts w:ascii="Arial" w:hAnsi="Arial"/>
          <w:sz w:val="20"/>
        </w:rPr>
        <w:t>Population density is calculated as log(population / operational neighbourhood polygon area in km²). Gross-area and water-inclusion differences are documented and a no-density sensitivity is retained. City-centre distance is Euclidean kilometres to one frozen OSM civic-centre anchor per city, selected by official civic function before model fitting.</w:t>
      </w:r>
    </w:p>
    <w:p>
      <w:pPr>
        <w:pStyle w:val="Heading1"/>
        <w:spacing w:before="200" w:after="80"/>
        <w:keepNext/>
      </w:pPr>
      <w:r>
        <w:t>6. Accessibility measurement and model ladder</w:t>
      </w:r>
    </w:p>
    <w:p>
      <w:pPr>
        <w:spacing w:before="0" w:after="120" w:line="259" w:lineRule="auto"/>
      </w:pPr>
      <w:r>
        <w:rPr>
          <w:rFonts w:ascii="Arial" w:hAnsi="Arial"/>
          <w:sz w:val="20"/>
        </w:rPr>
        <w:t>OpenStreetMap is the common source for pedestrian networks, transport stops and amenity destinations in all three cities. A historical OSM snapshot as close as reproducibly possible to 30 June 2026 is preferred. The same snapshot rule, destination taxonomy, walking assumptions, deduplication logic and extraction buffer must apply to all cities.</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31"/>
        <w:gridCol w:w="3331"/>
        <w:gridCol w:w="3331"/>
      </w:tblGrid>
      <w:tr>
        <w:trPr>
          <w:tblHeader w:val="true"/>
          <w:cantSplit/>
        </w:trPr>
        <w:tc>
          <w:tcPr>
            <w:tcW w:type="dxa" w:w="2376"/>
            <w:shd w:fill="1F3A5F"/>
            <w:tcMar>
              <w:top w:w="90" w:type="dxa"/>
              <w:start w:w="90" w:type="dxa"/>
              <w:bottom w:w="90" w:type="dxa"/>
              <w:end w:w="90" w:type="dxa"/>
            </w:tcMar>
            <w:vAlign w:val="center"/>
          </w:tcPr>
          <w:p>
            <w:pPr>
              <w:spacing w:after="0"/>
              <w:jc w:val="left"/>
            </w:pPr>
            <w:r>
              <w:rPr>
                <w:rFonts w:ascii="Arial" w:hAnsi="Arial"/>
                <w:b/>
                <w:color w:val="FFFFFF"/>
                <w:sz w:val="16"/>
              </w:rPr>
              <w:t>Block</w:t>
            </w:r>
          </w:p>
        </w:tc>
        <w:tc>
          <w:tcPr>
            <w:tcW w:type="dxa" w:w="3816"/>
            <w:shd w:fill="1F3A5F"/>
            <w:tcMar>
              <w:top w:w="90" w:type="dxa"/>
              <w:start w:w="90" w:type="dxa"/>
              <w:bottom w:w="90" w:type="dxa"/>
              <w:end w:w="90" w:type="dxa"/>
            </w:tcMar>
            <w:vAlign w:val="center"/>
          </w:tcPr>
          <w:p>
            <w:pPr>
              <w:spacing w:after="0"/>
              <w:jc w:val="left"/>
            </w:pPr>
            <w:r>
              <w:rPr>
                <w:rFonts w:ascii="Arial" w:hAnsi="Arial"/>
                <w:b/>
                <w:color w:val="FFFFFF"/>
                <w:sz w:val="16"/>
              </w:rPr>
              <w:t>Euclidean representation (E)</w:t>
            </w:r>
          </w:p>
        </w:tc>
        <w:tc>
          <w:tcPr>
            <w:tcW w:type="dxa" w:w="3816"/>
            <w:shd w:fill="1F3A5F"/>
            <w:tcMar>
              <w:top w:w="90" w:type="dxa"/>
              <w:start w:w="90" w:type="dxa"/>
              <w:bottom w:w="90" w:type="dxa"/>
              <w:end w:w="90" w:type="dxa"/>
            </w:tcMar>
            <w:vAlign w:val="center"/>
          </w:tcPr>
          <w:p>
            <w:pPr>
              <w:spacing w:after="0"/>
              <w:jc w:val="left"/>
            </w:pPr>
            <w:r>
              <w:rPr>
                <w:rFonts w:ascii="Arial" w:hAnsi="Arial"/>
                <w:b/>
                <w:color w:val="FFFFFF"/>
                <w:sz w:val="16"/>
              </w:rPr>
              <w:t>Walking-network representation (W)</w:t>
            </w:r>
          </w:p>
        </w:tc>
      </w:tr>
      <w:tr>
        <w:trPr>
          <w:cantSplit/>
        </w:trPr>
        <w:tc>
          <w:tcPr>
            <w:tcW w:type="dxa" w:w="2376"/>
            <w:tcMar>
              <w:top w:w="90" w:type="dxa"/>
              <w:start w:w="90" w:type="dxa"/>
              <w:bottom w:w="90" w:type="dxa"/>
              <w:end w:w="90" w:type="dxa"/>
            </w:tcMar>
            <w:vAlign w:val="top"/>
          </w:tcPr>
          <w:p>
            <w:pPr>
              <w:spacing w:after="0" w:line="240" w:lineRule="auto"/>
            </w:pPr>
            <w:r>
              <w:rPr>
                <w:rFonts w:ascii="Arial" w:hAnsi="Arial"/>
                <w:b w:val="0"/>
                <w:sz w:val="16"/>
              </w:rPr>
              <w:t>Rail access</w:t>
            </w:r>
          </w:p>
        </w:tc>
        <w:tc>
          <w:tcPr>
            <w:tcW w:type="dxa" w:w="3816"/>
            <w:tcMar>
              <w:top w:w="90" w:type="dxa"/>
              <w:start w:w="90" w:type="dxa"/>
              <w:bottom w:w="90" w:type="dxa"/>
              <w:end w:w="90" w:type="dxa"/>
            </w:tcMar>
            <w:vAlign w:val="top"/>
          </w:tcPr>
          <w:p>
            <w:pPr>
              <w:spacing w:after="0" w:line="240" w:lineRule="auto"/>
            </w:pPr>
            <w:r>
              <w:rPr>
                <w:rFonts w:ascii="Arial" w:hAnsi="Arial"/>
                <w:b w:val="0"/>
                <w:sz w:val="16"/>
              </w:rPr>
              <w:t>Straight-line km to nearest eligible rail destination</w:t>
            </w:r>
          </w:p>
        </w:tc>
        <w:tc>
          <w:tcPr>
            <w:tcW w:type="dxa" w:w="3816"/>
            <w:tcMar>
              <w:top w:w="90" w:type="dxa"/>
              <w:start w:w="90" w:type="dxa"/>
              <w:bottom w:w="90" w:type="dxa"/>
              <w:end w:w="90" w:type="dxa"/>
            </w:tcMar>
            <w:vAlign w:val="top"/>
          </w:tcPr>
          <w:p>
            <w:pPr>
              <w:spacing w:after="0" w:line="240" w:lineRule="auto"/>
            </w:pPr>
            <w:r>
              <w:rPr>
                <w:rFonts w:ascii="Arial" w:hAnsi="Arial"/>
                <w:b w:val="0"/>
                <w:sz w:val="16"/>
              </w:rPr>
              <w:t>Walking minutes to the same eligible rail destination</w:t>
            </w:r>
          </w:p>
        </w:tc>
      </w:tr>
      <w:tr>
        <w:trPr>
          <w:cantSplit/>
        </w:trPr>
        <w:tc>
          <w:tcPr>
            <w:tcW w:type="dxa" w:w="2376"/>
            <w:shd w:fill="F5F7FA"/>
            <w:tcMar>
              <w:top w:w="90" w:type="dxa"/>
              <w:start w:w="90" w:type="dxa"/>
              <w:bottom w:w="90" w:type="dxa"/>
              <w:end w:w="90" w:type="dxa"/>
            </w:tcMar>
            <w:vAlign w:val="top"/>
          </w:tcPr>
          <w:p>
            <w:pPr>
              <w:spacing w:after="0" w:line="240" w:lineRule="auto"/>
            </w:pPr>
            <w:r>
              <w:rPr>
                <w:rFonts w:ascii="Arial" w:hAnsi="Arial"/>
                <w:b w:val="0"/>
                <w:sz w:val="16"/>
              </w:rPr>
              <w:t>Bus access</w:t>
            </w:r>
          </w:p>
        </w:tc>
        <w:tc>
          <w:tcPr>
            <w:tcW w:type="dxa" w:w="3816"/>
            <w:shd w:fill="F5F7FA"/>
            <w:tcMar>
              <w:top w:w="90" w:type="dxa"/>
              <w:start w:w="90" w:type="dxa"/>
              <w:bottom w:w="90" w:type="dxa"/>
              <w:end w:w="90" w:type="dxa"/>
            </w:tcMar>
            <w:vAlign w:val="top"/>
          </w:tcPr>
          <w:p>
            <w:pPr>
              <w:spacing w:after="0" w:line="240" w:lineRule="auto"/>
            </w:pPr>
            <w:r>
              <w:rPr>
                <w:rFonts w:ascii="Arial" w:hAnsi="Arial"/>
                <w:b w:val="0"/>
                <w:sz w:val="16"/>
              </w:rPr>
              <w:t>Straight-line km to nearest deduplicated bus stop</w:t>
            </w:r>
          </w:p>
        </w:tc>
        <w:tc>
          <w:tcPr>
            <w:tcW w:type="dxa" w:w="3816"/>
            <w:shd w:fill="F5F7FA"/>
            <w:tcMar>
              <w:top w:w="90" w:type="dxa"/>
              <w:start w:w="90" w:type="dxa"/>
              <w:bottom w:w="90" w:type="dxa"/>
              <w:end w:w="90" w:type="dxa"/>
            </w:tcMar>
            <w:vAlign w:val="top"/>
          </w:tcPr>
          <w:p>
            <w:pPr>
              <w:spacing w:after="0" w:line="240" w:lineRule="auto"/>
            </w:pPr>
            <w:r>
              <w:rPr>
                <w:rFonts w:ascii="Arial" w:hAnsi="Arial"/>
                <w:b w:val="0"/>
                <w:sz w:val="16"/>
              </w:rPr>
              <w:t>Walking minutes to the same deduplicated bus-stop universe</w:t>
            </w:r>
          </w:p>
        </w:tc>
      </w:tr>
      <w:tr>
        <w:trPr>
          <w:cantSplit/>
        </w:trPr>
        <w:tc>
          <w:tcPr>
            <w:tcW w:type="dxa" w:w="2376"/>
            <w:tcMar>
              <w:top w:w="90" w:type="dxa"/>
              <w:start w:w="90" w:type="dxa"/>
              <w:bottom w:w="90" w:type="dxa"/>
              <w:end w:w="90" w:type="dxa"/>
            </w:tcMar>
            <w:vAlign w:val="top"/>
          </w:tcPr>
          <w:p>
            <w:pPr>
              <w:spacing w:after="0" w:line="240" w:lineRule="auto"/>
            </w:pPr>
            <w:r>
              <w:rPr>
                <w:rFonts w:ascii="Arial" w:hAnsi="Arial"/>
                <w:b w:val="0"/>
                <w:sz w:val="16"/>
              </w:rPr>
              <w:t>Food/social opportunities</w:t>
            </w:r>
          </w:p>
        </w:tc>
        <w:tc>
          <w:tcPr>
            <w:tcW w:type="dxa" w:w="3816"/>
            <w:tcMar>
              <w:top w:w="90" w:type="dxa"/>
              <w:start w:w="90" w:type="dxa"/>
              <w:bottom w:w="90" w:type="dxa"/>
              <w:end w:w="90" w:type="dxa"/>
            </w:tcMar>
            <w:vAlign w:val="top"/>
          </w:tcPr>
          <w:p>
            <w:pPr>
              <w:spacing w:after="0" w:line="240" w:lineRule="auto"/>
            </w:pPr>
            <w:r>
              <w:rPr>
                <w:rFonts w:ascii="Arial" w:hAnsi="Arial"/>
                <w:b w:val="0"/>
                <w:sz w:val="16"/>
              </w:rPr>
              <w:t>Count within 833 m; model uses log(1 + count)</w:t>
            </w:r>
          </w:p>
        </w:tc>
        <w:tc>
          <w:tcPr>
            <w:tcW w:type="dxa" w:w="3816"/>
            <w:tcMar>
              <w:top w:w="90" w:type="dxa"/>
              <w:start w:w="90" w:type="dxa"/>
              <w:bottom w:w="90" w:type="dxa"/>
              <w:end w:w="90" w:type="dxa"/>
            </w:tcMar>
            <w:vAlign w:val="top"/>
          </w:tcPr>
          <w:p>
            <w:pPr>
              <w:spacing w:after="0" w:line="240" w:lineRule="auto"/>
            </w:pPr>
            <w:r>
              <w:rPr>
                <w:rFonts w:ascii="Arial" w:hAnsi="Arial"/>
                <w:b w:val="0"/>
                <w:sz w:val="16"/>
              </w:rPr>
              <w:t>Count reachable within 10 min at 5 km/h; model uses log(1 + count)</w:t>
            </w:r>
          </w:p>
        </w:tc>
      </w:tr>
      <w:tr>
        <w:trPr>
          <w:cantSplit/>
        </w:trPr>
        <w:tc>
          <w:tcPr>
            <w:tcW w:type="dxa" w:w="2376"/>
            <w:shd w:fill="F5F7FA"/>
            <w:tcMar>
              <w:top w:w="90" w:type="dxa"/>
              <w:start w:w="90" w:type="dxa"/>
              <w:bottom w:w="90" w:type="dxa"/>
              <w:end w:w="90" w:type="dxa"/>
            </w:tcMar>
            <w:vAlign w:val="top"/>
          </w:tcPr>
          <w:p>
            <w:pPr>
              <w:spacing w:after="0" w:line="240" w:lineRule="auto"/>
            </w:pPr>
            <w:r>
              <w:rPr>
                <w:rFonts w:ascii="Arial" w:hAnsi="Arial"/>
                <w:b w:val="0"/>
                <w:sz w:val="16"/>
              </w:rPr>
              <w:t>Culture/tourism opportunities</w:t>
            </w:r>
          </w:p>
        </w:tc>
        <w:tc>
          <w:tcPr>
            <w:tcW w:type="dxa" w:w="3816"/>
            <w:shd w:fill="F5F7FA"/>
            <w:tcMar>
              <w:top w:w="90" w:type="dxa"/>
              <w:start w:w="90" w:type="dxa"/>
              <w:bottom w:w="90" w:type="dxa"/>
              <w:end w:w="90" w:type="dxa"/>
            </w:tcMar>
            <w:vAlign w:val="top"/>
          </w:tcPr>
          <w:p>
            <w:pPr>
              <w:spacing w:after="0" w:line="240" w:lineRule="auto"/>
            </w:pPr>
            <w:r>
              <w:rPr>
                <w:rFonts w:ascii="Arial" w:hAnsi="Arial"/>
                <w:b w:val="0"/>
                <w:sz w:val="16"/>
              </w:rPr>
              <w:t>Count within 833 m; model uses log(1 + count)</w:t>
            </w:r>
          </w:p>
        </w:tc>
        <w:tc>
          <w:tcPr>
            <w:tcW w:type="dxa" w:w="3816"/>
            <w:shd w:fill="F5F7FA"/>
            <w:tcMar>
              <w:top w:w="90" w:type="dxa"/>
              <w:start w:w="90" w:type="dxa"/>
              <w:bottom w:w="90" w:type="dxa"/>
              <w:end w:w="90" w:type="dxa"/>
            </w:tcMar>
            <w:vAlign w:val="top"/>
          </w:tcPr>
          <w:p>
            <w:pPr>
              <w:spacing w:after="0" w:line="240" w:lineRule="auto"/>
            </w:pPr>
            <w:r>
              <w:rPr>
                <w:rFonts w:ascii="Arial" w:hAnsi="Arial"/>
                <w:b w:val="0"/>
                <w:sz w:val="16"/>
              </w:rPr>
              <w:t>Count reachable within 10 min at 5 km/h; model uses log(1 + count)</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31"/>
        <w:gridCol w:w="3331"/>
        <w:gridCol w:w="3331"/>
      </w:tblGrid>
      <w:tr>
        <w:trPr>
          <w:tblHeader w:val="true"/>
          <w:cantSplit/>
        </w:trPr>
        <w:tc>
          <w:tcPr>
            <w:tcW w:type="dxa" w:w="1152"/>
            <w:shd w:fill="1F3A5F"/>
            <w:tcMar>
              <w:top w:w="90" w:type="dxa"/>
              <w:start w:w="90" w:type="dxa"/>
              <w:bottom w:w="90" w:type="dxa"/>
              <w:end w:w="90" w:type="dxa"/>
            </w:tcMar>
            <w:vAlign w:val="center"/>
          </w:tcPr>
          <w:p>
            <w:pPr>
              <w:spacing w:after="0"/>
              <w:jc w:val="left"/>
            </w:pPr>
            <w:r>
              <w:rPr>
                <w:rFonts w:ascii="Arial" w:hAnsi="Arial"/>
                <w:b/>
                <w:color w:val="FFFFFF"/>
                <w:sz w:val="17"/>
              </w:rPr>
              <w:t>Model</w:t>
            </w:r>
          </w:p>
        </w:tc>
        <w:tc>
          <w:tcPr>
            <w:tcW w:type="dxa" w:w="3600"/>
            <w:shd w:fill="1F3A5F"/>
            <w:tcMar>
              <w:top w:w="90" w:type="dxa"/>
              <w:start w:w="90" w:type="dxa"/>
              <w:bottom w:w="90" w:type="dxa"/>
              <w:end w:w="90" w:type="dxa"/>
            </w:tcMar>
            <w:vAlign w:val="center"/>
          </w:tcPr>
          <w:p>
            <w:pPr>
              <w:spacing w:after="0"/>
              <w:jc w:val="left"/>
            </w:pPr>
            <w:r>
              <w:rPr>
                <w:rFonts w:ascii="Arial" w:hAnsi="Arial"/>
                <w:b/>
                <w:color w:val="FFFFFF"/>
                <w:sz w:val="17"/>
              </w:rPr>
              <w:t>Definition</w:t>
            </w:r>
          </w:p>
        </w:tc>
        <w:tc>
          <w:tcPr>
            <w:tcW w:type="dxa" w:w="5184"/>
            <w:shd w:fill="1F3A5F"/>
            <w:tcMar>
              <w:top w:w="90" w:type="dxa"/>
              <w:start w:w="90" w:type="dxa"/>
              <w:bottom w:w="90" w:type="dxa"/>
              <w:end w:w="90" w:type="dxa"/>
            </w:tcMar>
            <w:vAlign w:val="center"/>
          </w:tcPr>
          <w:p>
            <w:pPr>
              <w:spacing w:after="0"/>
              <w:jc w:val="left"/>
            </w:pPr>
            <w:r>
              <w:rPr>
                <w:rFonts w:ascii="Arial" w:hAnsi="Arial"/>
                <w:b/>
                <w:color w:val="FFFFFF"/>
                <w:sz w:val="17"/>
              </w:rPr>
              <w:t>Question</w:t>
            </w:r>
          </w:p>
        </w:tc>
      </w:tr>
      <w:tr>
        <w:trPr>
          <w:cantSplit/>
        </w:trPr>
        <w:tc>
          <w:tcPr>
            <w:tcW w:type="dxa" w:w="1152"/>
            <w:tcMar>
              <w:top w:w="90" w:type="dxa"/>
              <w:start w:w="90" w:type="dxa"/>
              <w:bottom w:w="90" w:type="dxa"/>
              <w:end w:w="90" w:type="dxa"/>
            </w:tcMar>
            <w:vAlign w:val="top"/>
          </w:tcPr>
          <w:p>
            <w:pPr>
              <w:spacing w:after="0" w:line="240" w:lineRule="auto"/>
            </w:pPr>
            <w:r>
              <w:rPr>
                <w:rFonts w:ascii="Arial" w:hAnsi="Arial"/>
                <w:b w:val="0"/>
                <w:sz w:val="17"/>
              </w:rPr>
              <w:t>M0</w:t>
            </w:r>
          </w:p>
        </w:tc>
        <w:tc>
          <w:tcPr>
            <w:tcW w:type="dxa" w:w="3600"/>
            <w:tcMar>
              <w:top w:w="90" w:type="dxa"/>
              <w:start w:w="90" w:type="dxa"/>
              <w:bottom w:w="90" w:type="dxa"/>
              <w:end w:w="90" w:type="dxa"/>
            </w:tcMar>
            <w:vAlign w:val="top"/>
          </w:tcPr>
          <w:p>
            <w:pPr>
              <w:spacing w:after="0" w:line="240" w:lineRule="auto"/>
            </w:pPr>
            <w:r>
              <w:rPr>
                <w:rFonts w:ascii="Arial" w:hAnsi="Arial"/>
                <w:b w:val="0"/>
                <w:sz w:val="17"/>
              </w:rPr>
              <w:t>Common baseline controls</w:t>
            </w:r>
          </w:p>
        </w:tc>
        <w:tc>
          <w:tcPr>
            <w:tcW w:type="dxa" w:w="5184"/>
            <w:tcMar>
              <w:top w:w="90" w:type="dxa"/>
              <w:start w:w="90" w:type="dxa"/>
              <w:bottom w:w="90" w:type="dxa"/>
              <w:end w:w="90" w:type="dxa"/>
            </w:tcMar>
            <w:vAlign w:val="top"/>
          </w:tcPr>
          <w:p>
            <w:pPr>
              <w:spacing w:after="0" w:line="240" w:lineRule="auto"/>
            </w:pPr>
            <w:r>
              <w:rPr>
                <w:rFonts w:ascii="Arial" w:hAnsi="Arial"/>
                <w:b w:val="0"/>
                <w:sz w:val="17"/>
              </w:rPr>
              <w:t>How well can the common baseline predict price?</w:t>
            </w:r>
          </w:p>
        </w:tc>
      </w:tr>
      <w:tr>
        <w:trPr>
          <w:cantSplit/>
        </w:trPr>
        <w:tc>
          <w:tcPr>
            <w:tcW w:type="dxa" w:w="1152"/>
            <w:shd w:fill="F5F7FA"/>
            <w:tcMar>
              <w:top w:w="90" w:type="dxa"/>
              <w:start w:w="90" w:type="dxa"/>
              <w:bottom w:w="90" w:type="dxa"/>
              <w:end w:w="90" w:type="dxa"/>
            </w:tcMar>
            <w:vAlign w:val="top"/>
          </w:tcPr>
          <w:p>
            <w:pPr>
              <w:spacing w:after="0" w:line="240" w:lineRule="auto"/>
            </w:pPr>
            <w:r>
              <w:rPr>
                <w:rFonts w:ascii="Arial" w:hAnsi="Arial"/>
                <w:b w:val="0"/>
                <w:sz w:val="17"/>
              </w:rPr>
              <w:t>ME</w:t>
            </w:r>
          </w:p>
        </w:tc>
        <w:tc>
          <w:tcPr>
            <w:tcW w:type="dxa" w:w="3600"/>
            <w:shd w:fill="F5F7FA"/>
            <w:tcMar>
              <w:top w:w="90" w:type="dxa"/>
              <w:start w:w="90" w:type="dxa"/>
              <w:bottom w:w="90" w:type="dxa"/>
              <w:end w:w="90" w:type="dxa"/>
            </w:tcMar>
            <w:vAlign w:val="top"/>
          </w:tcPr>
          <w:p>
            <w:pPr>
              <w:spacing w:after="0" w:line="240" w:lineRule="auto"/>
            </w:pPr>
            <w:r>
              <w:rPr>
                <w:rFonts w:ascii="Arial" w:hAnsi="Arial"/>
                <w:b w:val="0"/>
                <w:sz w:val="17"/>
              </w:rPr>
              <w:t>M0 + Euclidean accessibility</w:t>
            </w:r>
          </w:p>
        </w:tc>
        <w:tc>
          <w:tcPr>
            <w:tcW w:type="dxa" w:w="5184"/>
            <w:shd w:fill="F5F7FA"/>
            <w:tcMar>
              <w:top w:w="90" w:type="dxa"/>
              <w:start w:w="90" w:type="dxa"/>
              <w:bottom w:w="90" w:type="dxa"/>
              <w:end w:w="90" w:type="dxa"/>
            </w:tcMar>
            <w:vAlign w:val="top"/>
          </w:tcPr>
          <w:p>
            <w:pPr>
              <w:spacing w:after="0" w:line="240" w:lineRule="auto"/>
            </w:pPr>
            <w:r>
              <w:rPr>
                <w:rFonts w:ascii="Arial" w:hAnsi="Arial"/>
                <w:b w:val="0"/>
                <w:sz w:val="17"/>
              </w:rPr>
              <w:t>What does straight-line accessibility add?</w:t>
            </w:r>
          </w:p>
        </w:tc>
      </w:tr>
      <w:tr>
        <w:trPr>
          <w:cantSplit/>
        </w:trPr>
        <w:tc>
          <w:tcPr>
            <w:tcW w:type="dxa" w:w="1152"/>
            <w:tcMar>
              <w:top w:w="90" w:type="dxa"/>
              <w:start w:w="90" w:type="dxa"/>
              <w:bottom w:w="90" w:type="dxa"/>
              <w:end w:w="90" w:type="dxa"/>
            </w:tcMar>
            <w:vAlign w:val="top"/>
          </w:tcPr>
          <w:p>
            <w:pPr>
              <w:spacing w:after="0" w:line="240" w:lineRule="auto"/>
            </w:pPr>
            <w:r>
              <w:rPr>
                <w:rFonts w:ascii="Arial" w:hAnsi="Arial"/>
                <w:b w:val="0"/>
                <w:sz w:val="17"/>
              </w:rPr>
              <w:t>MW</w:t>
            </w:r>
          </w:p>
        </w:tc>
        <w:tc>
          <w:tcPr>
            <w:tcW w:type="dxa" w:w="3600"/>
            <w:tcMar>
              <w:top w:w="90" w:type="dxa"/>
              <w:start w:w="90" w:type="dxa"/>
              <w:bottom w:w="90" w:type="dxa"/>
              <w:end w:w="90" w:type="dxa"/>
            </w:tcMar>
            <w:vAlign w:val="top"/>
          </w:tcPr>
          <w:p>
            <w:pPr>
              <w:spacing w:after="0" w:line="240" w:lineRule="auto"/>
            </w:pPr>
            <w:r>
              <w:rPr>
                <w:rFonts w:ascii="Arial" w:hAnsi="Arial"/>
                <w:b w:val="0"/>
                <w:sz w:val="17"/>
              </w:rPr>
              <w:t>M0 + walking-network accessibility</w:t>
            </w:r>
          </w:p>
        </w:tc>
        <w:tc>
          <w:tcPr>
            <w:tcW w:type="dxa" w:w="5184"/>
            <w:tcMar>
              <w:top w:w="90" w:type="dxa"/>
              <w:start w:w="90" w:type="dxa"/>
              <w:bottom w:w="90" w:type="dxa"/>
              <w:end w:w="90" w:type="dxa"/>
            </w:tcMar>
            <w:vAlign w:val="top"/>
          </w:tcPr>
          <w:p>
            <w:pPr>
              <w:spacing w:after="0" w:line="240" w:lineRule="auto"/>
            </w:pPr>
            <w:r>
              <w:rPr>
                <w:rFonts w:ascii="Arial" w:hAnsi="Arial"/>
                <w:b w:val="0"/>
                <w:sz w:val="17"/>
              </w:rPr>
              <w:t>What does network accessibility add when used instead of E?</w:t>
            </w:r>
          </w:p>
        </w:tc>
      </w:tr>
      <w:tr>
        <w:trPr>
          <w:cantSplit/>
        </w:trPr>
        <w:tc>
          <w:tcPr>
            <w:tcW w:type="dxa" w:w="1152"/>
            <w:shd w:fill="F5F7FA"/>
            <w:tcMar>
              <w:top w:w="90" w:type="dxa"/>
              <w:start w:w="90" w:type="dxa"/>
              <w:bottom w:w="90" w:type="dxa"/>
              <w:end w:w="90" w:type="dxa"/>
            </w:tcMar>
            <w:vAlign w:val="top"/>
          </w:tcPr>
          <w:p>
            <w:pPr>
              <w:spacing w:after="0" w:line="240" w:lineRule="auto"/>
            </w:pPr>
            <w:r>
              <w:rPr>
                <w:rFonts w:ascii="Arial" w:hAnsi="Arial"/>
                <w:b w:val="0"/>
                <w:sz w:val="17"/>
              </w:rPr>
              <w:t>MEW</w:t>
            </w:r>
          </w:p>
        </w:tc>
        <w:tc>
          <w:tcPr>
            <w:tcW w:type="dxa" w:w="3600"/>
            <w:shd w:fill="F5F7FA"/>
            <w:tcMar>
              <w:top w:w="90" w:type="dxa"/>
              <w:start w:w="90" w:type="dxa"/>
              <w:bottom w:w="90" w:type="dxa"/>
              <w:end w:w="90" w:type="dxa"/>
            </w:tcMar>
            <w:vAlign w:val="top"/>
          </w:tcPr>
          <w:p>
            <w:pPr>
              <w:spacing w:after="0" w:line="240" w:lineRule="auto"/>
            </w:pPr>
            <w:r>
              <w:rPr>
                <w:rFonts w:ascii="Arial" w:hAnsi="Arial"/>
                <w:b w:val="0"/>
                <w:sz w:val="17"/>
              </w:rPr>
              <w:t>M0 + E + W</w:t>
            </w:r>
          </w:p>
        </w:tc>
        <w:tc>
          <w:tcPr>
            <w:tcW w:type="dxa" w:w="5184"/>
            <w:shd w:fill="F5F7FA"/>
            <w:tcMar>
              <w:top w:w="90" w:type="dxa"/>
              <w:start w:w="90" w:type="dxa"/>
              <w:bottom w:w="90" w:type="dxa"/>
              <w:end w:w="90" w:type="dxa"/>
            </w:tcMar>
            <w:vAlign w:val="top"/>
          </w:tcPr>
          <w:p>
            <w:pPr>
              <w:spacing w:after="0" w:line="240" w:lineRule="auto"/>
            </w:pPr>
            <w:r>
              <w:rPr>
                <w:rFonts w:ascii="Arial" w:hAnsi="Arial"/>
                <w:b w:val="0"/>
                <w:sz w:val="17"/>
              </w:rPr>
              <w:t>Does W add information beyond E?</w:t>
            </w:r>
          </w:p>
        </w:tc>
      </w:tr>
    </w:tbl>
    <w:p>
      <w:pPr>
        <w:spacing w:after="0"/>
      </w:pPr>
    </w:p>
    <w:p>
      <w:pPr>
        <w:spacing w:before="0" w:after="120" w:line="259" w:lineRule="auto"/>
      </w:pPr>
      <w:r>
        <w:rPr>
          <w:rFonts w:ascii="Arial" w:hAnsi="Arial"/>
          <w:sz w:val="20"/>
        </w:rPr>
        <w:t>The common baseline contains only harmonized features available in all three cities: inherited listing/property/host controls, the fixed amenity controls retained from the existing project, log population density and city-centre distance. District income and residential property prices are not included.</w:t>
      </w:r>
    </w:p>
    <w:p>
      <w:pPr>
        <w:pStyle w:val="Heading1"/>
        <w:spacing w:before="200" w:after="80"/>
        <w:keepNext/>
      </w:pPr>
      <w:r>
        <w:t>7. Two prediction tasks</w:t>
      </w:r>
    </w:p>
    <w:p>
      <w:pPr>
        <w:pStyle w:val="Heading2"/>
        <w:spacing w:before="140" w:after="80"/>
        <w:keepNext/>
      </w:pPr>
      <w:r>
        <w:t>7.1 Within-city actual-price prediction</w:t>
      </w:r>
    </w:p>
    <w:p>
      <w:pPr>
        <w:spacing w:before="0" w:after="120" w:line="259" w:lineRule="auto"/>
      </w:pPr>
      <w:r>
        <w:rPr>
          <w:rFonts w:ascii="Arial" w:hAnsi="Arial"/>
          <w:sz w:val="20"/>
        </w:rPr>
        <w:t>For RQ2, the outcome remains log observed nightly asking price in each city’s native currency. Models are estimated separately by city and evaluated on geographically held-out operational neighbourhoods. Because training and test observations are in the same city and currency, no price conversion or city-level normalization is required.</w:t>
      </w: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9994"/>
      </w:tblGrid>
      <w:tr>
        <w:tc>
          <w:tcPr>
            <w:tcW w:type="dxa" w:w="9994"/>
            <w:shd w:fill="EAF1F8"/>
            <w:tcMar>
              <w:top w:w="120" w:type="dxa"/>
              <w:start w:w="140" w:type="dxa"/>
              <w:bottom w:w="120" w:type="dxa"/>
              <w:end w:w="140" w:type="dxa"/>
            </w:tcMar>
          </w:tcPr>
          <w:p>
            <w:pPr>
              <w:spacing w:after="40"/>
            </w:pPr>
            <w:r>
              <w:rPr>
                <w:rFonts w:ascii="Arial" w:hAnsi="Arial"/>
                <w:b/>
                <w:color w:val="1F3A5F"/>
                <w:sz w:val="19"/>
              </w:rPr>
              <w:t xml:space="preserve">Primary within-city prediction task.  </w:t>
            </w:r>
            <w:r>
              <w:rPr>
                <w:rFonts w:ascii="Arial" w:hAnsi="Arial"/>
                <w:sz w:val="19"/>
              </w:rPr>
              <w:t>Predict the log asking price of an eligible listing in an operational neighbourhood that was absent from training, using a model trained on the remaining neighbourhoods of the same city.</w:t>
            </w:r>
          </w:p>
        </w:tc>
      </w:tr>
    </w:tbl>
    <w:p>
      <w:pPr>
        <w:spacing w:after="0"/>
      </w:pPr>
    </w:p>
    <w:p>
      <w:pPr>
        <w:pStyle w:val="Heading2"/>
        <w:spacing w:before="140" w:after="80"/>
        <w:keepNext/>
      </w:pPr>
      <w:r>
        <w:t>7.2 Pairwise cross-city relative-price transfer</w:t>
      </w:r>
    </w:p>
    <w:p>
      <w:pPr>
        <w:spacing w:before="0" w:after="120" w:line="259" w:lineRule="auto"/>
      </w:pPr>
      <w:r>
        <w:rPr>
          <w:rFonts w:ascii="Arial" w:hAnsi="Arial"/>
          <w:sz w:val="20"/>
        </w:rPr>
        <w:t>For RQ3, a separate city-relative outcome is created only for transfer analysis. Let Bc be the frozen benchmark population of eligible conventional entire-dwelling listings with positive observed prices inside city c’s study boundary, before accessibility- or model-specific exclusions. Define μc as the mean of log price over Bc. For any evaluated listing i in city c:</w:t>
      </w:r>
    </w:p>
    <w:tbl>
      <w:tblPr>
        <w:tblW w:type="auto" w:w="0"/>
        <w:jc w:val="center"/>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9994"/>
      </w:tblGrid>
      <w:tr>
        <w:tc>
          <w:tcPr>
            <w:tcW w:type="dxa" w:w="9994"/>
            <w:shd w:fill="F7F9FB"/>
            <w:tcMar>
              <w:top w:w="130" w:type="dxa"/>
              <w:start w:w="160" w:type="dxa"/>
              <w:bottom w:w="130" w:type="dxa"/>
              <w:end w:w="160" w:type="dxa"/>
            </w:tcMar>
          </w:tcPr>
          <w:p>
            <w:pPr>
              <w:spacing w:after="0"/>
              <w:jc w:val="center"/>
            </w:pPr>
            <w:r>
              <w:rPr>
                <w:rFonts w:ascii="Cambria Math" w:hAnsi="Cambria Math"/>
                <w:i/>
                <w:sz w:val="21"/>
              </w:rPr>
              <w:t>y_rel,ic = log(P_ic) − μ_c</w:t>
            </w:r>
            <w:r>
              <w:br/>
            </w:r>
            <w:r>
              <w:rPr>
                <w:rFonts w:ascii="Cambria Math" w:hAnsi="Cambria Math"/>
                <w:i w:val="0"/>
                <w:sz w:val="21"/>
              </w:rPr>
              <w:t>μ_c = mean[log(P_j)] for j in benchmark population B_c</w:t>
            </w:r>
          </w:p>
        </w:tc>
      </w:tr>
    </w:tbl>
    <w:p>
      <w:pPr>
        <w:spacing w:after="0"/>
      </w:pPr>
    </w:p>
    <w:p>
      <w:pPr>
        <w:spacing w:before="0" w:after="120" w:line="259" w:lineRule="auto"/>
      </w:pPr>
      <w:r>
        <w:rPr>
          <w:rFonts w:ascii="Arial" w:hAnsi="Arial"/>
          <w:sz w:val="20"/>
        </w:rPr>
        <w:t>This centring removes each city’s overall price level. It is invariant to a multiplicative currency conversion because the same currency constant would be added to both log(Pic) and μc and therefore cancels. A positive value means the listing is expensive relative to its city benchmark; a negative value means it is relatively cheap.</w:t>
      </w:r>
    </w:p>
    <w:p>
      <w:pPr>
        <w:spacing w:before="0" w:after="120" w:line="259" w:lineRule="auto"/>
      </w:pPr>
      <w:r>
        <w:rPr>
          <w:rFonts w:ascii="Arial" w:hAnsi="Arial"/>
          <w:sz w:val="20"/>
        </w:rPr>
        <w:t>Each source city is trained separately and transferred to each of the other two cities, producing six directional tests: Copenhagen→Oslo, Copenhagen→Stockholm, Oslo→Copenhagen, Oslo→Stockholm, Stockholm→Copenhagen and Stockholm→Oslo. There is no pooled two-city training, so no city-weighting rule is required.</w:t>
      </w:r>
    </w:p>
    <w:p>
      <w:pPr>
        <w:spacing w:before="0" w:after="120" w:line="259" w:lineRule="auto"/>
      </w:pPr>
      <w:r>
        <w:rPr>
          <w:rFonts w:ascii="Arial" w:hAnsi="Arial"/>
          <w:sz w:val="20"/>
        </w:rPr>
        <w:t>The source-city model is fitted and tuned only with source-city data. Its preprocessing, coefficients or trees and hyperparameters are then applied unchanged to the target-city features. There is no target-city refitting, recalibration or hyperparameter selection. Target-city prices are used only to compute the frozen target benchmark μc and to evaluate transfer predictions. Consequently, this is a test of structural transferability of relative pricing relationships, not a zero-shot prediction of an unknown city’s absolute nightly price.</w:t>
      </w:r>
    </w:p>
    <w:p>
      <w:pPr>
        <w:pStyle w:val="Heading1"/>
        <w:spacing w:before="200" w:after="80"/>
        <w:keepNext/>
      </w:pPr>
      <w:r>
        <w:t>8. Estimation and evaluation</w:t>
      </w:r>
    </w:p>
    <w:p>
      <w:pPr>
        <w:spacing w:before="0" w:after="120" w:line="259" w:lineRule="auto"/>
      </w:pPr>
      <w:r>
        <w:rPr>
          <w:rFonts w:ascii="Arial" w:hAnsi="Arial"/>
          <w:sz w:val="20"/>
        </w:rPr>
        <w:t>Ordinary least squares is retained for conditional associations and model transparency; XGBoost is retained for nonlinear prediction. The same four model definitions are used for within-city and transfer tasks. All four models in a comparison use identical observations wherever the task permits, identical feature definitions and the same frozen candidate budget.</w:t>
      </w:r>
    </w:p>
    <w:p>
      <w:pPr>
        <w:pStyle w:val="Heading2"/>
        <w:spacing w:before="140" w:after="80"/>
        <w:keepNext/>
      </w:pPr>
      <w:r>
        <w:t>8.1 Within-city evaluation</w:t>
      </w:r>
    </w:p>
    <w:p>
      <w:pPr>
        <w:pStyle w:val="ListBullet"/>
        <w:spacing w:after="60" w:line="252" w:lineRule="auto"/>
      </w:pPr>
      <w:r>
        <w:t>Primary: leave-one-operational-neighbourhood-out geographic validation, subject to at least 15 final test observations and at least 500 complementary training observations per outer fold.</w:t>
      </w:r>
    </w:p>
    <w:p>
      <w:pPr>
        <w:pStyle w:val="ListBullet"/>
        <w:spacing w:after="60" w:line="252" w:lineRule="auto"/>
      </w:pPr>
      <w:r>
        <w:t>Robustness: random five-fold validation and common geometric spatial blocks, clearly labelled as different prediction tasks.</w:t>
      </w:r>
    </w:p>
    <w:p>
      <w:pPr>
        <w:pStyle w:val="ListBullet"/>
        <w:spacing w:after="60" w:line="252" w:lineRule="auto"/>
      </w:pPr>
      <w:r>
        <w:t>Primary predictive metrics: RMSE and MAE in log price; R² reported as a complementary measure. Model contrasts are paired on the same held-out observations.</w:t>
      </w:r>
    </w:p>
    <w:p>
      <w:pPr>
        <w:pStyle w:val="Heading2"/>
        <w:spacing w:before="140" w:after="80"/>
        <w:keepNext/>
      </w:pPr>
      <w:r>
        <w:t>8.2 Cross-city transfer evaluation</w:t>
      </w:r>
    </w:p>
    <w:p>
      <w:pPr>
        <w:pStyle w:val="ListBullet"/>
        <w:spacing w:after="60" w:line="252" w:lineRule="auto"/>
      </w:pPr>
      <w:r>
        <w:t>Fit one source-city model using the source city’s relative-price outcome and source-only training/tuning procedure; then apply it unchanged to one target city.</w:t>
      </w:r>
    </w:p>
    <w:p>
      <w:pPr>
        <w:pStyle w:val="ListBullet"/>
        <w:spacing w:after="60" w:line="252" w:lineRule="auto"/>
      </w:pPr>
      <w:r>
        <w:t>Evaluate RMSE, MAE and R² in target relative-log-price units; report rank correlation as a complementary diagnostic of whether expensive/cheap ordering transfers.</w:t>
      </w:r>
    </w:p>
    <w:p>
      <w:pPr>
        <w:pStyle w:val="ListBullet"/>
        <w:spacing w:after="60" w:line="252" w:lineRule="auto"/>
      </w:pPr>
      <w:r>
        <w:t>Report all six directions separately. Any across-direction summary is descriptive and equally weights directions; it is not a pooled training result.</w:t>
      </w:r>
    </w:p>
    <w:p>
      <w:pPr>
        <w:pStyle w:val="ListBullet"/>
        <w:spacing w:after="60" w:line="252" w:lineRule="auto"/>
      </w:pPr>
      <w:r>
        <w:t>Use paired target errors to compare M0, ME, MW and MEW. Neighbourhood-resampled stability summaries may be reported conditional on the fixed source model, but are not interpreted as full uncertainty over source-model estimation.</w:t>
      </w:r>
    </w:p>
    <w:p>
      <w:pPr>
        <w:pStyle w:val="Heading1"/>
        <w:spacing w:before="200" w:after="80"/>
        <w:keepNext/>
      </w:pPr>
      <w:r>
        <w:t>9. Rerun and reproducibility policy</w:t>
      </w:r>
    </w:p>
    <w:p>
      <w:pPr>
        <w:spacing w:before="0" w:after="120" w:line="259" w:lineRule="auto"/>
      </w:pPr>
      <w:r>
        <w:rPr>
          <w:rFonts w:ascii="Arial" w:hAnsi="Arial"/>
          <w:sz w:val="20"/>
        </w:rPr>
        <w:t>The final comparative analysis will be rerun end to end. “Rerun” means that all derived analytical objects are regenerated under the approved specification: geographic assignments, context features, OSM destinations and networks, accessibility measures, city benchmarks for relative price, common samples, folds, fitted models, transfer predictions, diagnostics, tables and figures. Previously fitted models and previously generated comparative outputs are not reused as final evidence.</w:t>
      </w:r>
    </w:p>
    <w:p>
      <w:pPr>
        <w:spacing w:before="0" w:after="120" w:line="259" w:lineRule="auto"/>
      </w:pPr>
      <w:r>
        <w:rPr>
          <w:rFonts w:ascii="Arial" w:hAnsi="Arial"/>
          <w:sz w:val="20"/>
        </w:rPr>
        <w:t>Reproducibility does not require wasteful reacquisition of immutable source bytes. Existing raw Inside Airbnb files, official population extracts, source receipts and checksums may be reused after verification. Existing code is reused and refactored rather than rewritten from scratch. Every derived stage still executes and produces fresh provenance or audit evidence.</w:t>
      </w:r>
    </w:p>
    <w:p>
      <w:pPr>
        <w:spacing w:before="0" w:after="120" w:line="259" w:lineRule="auto"/>
      </w:pPr>
      <w:r>
        <w:rPr>
          <w:rFonts w:ascii="Arial" w:hAnsi="Arial"/>
          <w:sz w:val="20"/>
        </w:rPr>
        <w:t>The Git branch v4 is the only intentional version marker in the active project. Scientific folders, run identifiers, outputs and report filenames use functional or dated names rather than v- or a-prefixed namespaces. Historical work remains recoverable through Git history and descriptive archives.</w:t>
      </w:r>
    </w:p>
    <w:p>
      <w:pPr>
        <w:pStyle w:val="Heading1"/>
        <w:spacing w:before="200" w:after="80"/>
        <w:keepNext/>
      </w:pPr>
      <w:r>
        <w:t>10. Limitations and responsible interpretation</w:t>
      </w:r>
    </w:p>
    <w:p>
      <w:pPr>
        <w:pStyle w:val="ListBullet"/>
        <w:spacing w:after="60" w:line="252" w:lineRule="auto"/>
      </w:pPr>
      <w:r>
        <w:t>Advertised Airbnb price is not a realised transaction price and the study is cross-sectional.</w:t>
      </w:r>
    </w:p>
    <w:p>
      <w:pPr>
        <w:pStyle w:val="ListBullet"/>
        <w:spacing w:after="60" w:line="252" w:lineRule="auto"/>
      </w:pPr>
      <w:r>
        <w:t>Listings without an observed price are excluded from price modelling, creating a documented selection issue.</w:t>
      </w:r>
    </w:p>
    <w:p>
      <w:pPr>
        <w:pStyle w:val="ListBullet"/>
        <w:spacing w:after="60" w:line="252" w:lineRule="auto"/>
      </w:pPr>
      <w:r>
        <w:t>Inside Airbnb coordinates are anonymized, so very fine spatial distinctions contain location uncertainty.</w:t>
      </w:r>
    </w:p>
    <w:p>
      <w:pPr>
        <w:pStyle w:val="ListBullet"/>
        <w:spacing w:after="60" w:line="252" w:lineRule="auto"/>
      </w:pPr>
      <w:r>
        <w:t>Operational neighbourhood groups are used for validation even when provider labels or boundary vintages do not exactly match current administrative nomenclature; raw labels and mapping decisions are preserved.</w:t>
      </w:r>
    </w:p>
    <w:p>
      <w:pPr>
        <w:pStyle w:val="ListBullet"/>
        <w:spacing w:after="60" w:line="252" w:lineRule="auto"/>
      </w:pPr>
      <w:r>
        <w:t>OSM coverage and tagging quality may differ between cities even when identical extraction rules are used.</w:t>
      </w:r>
    </w:p>
    <w:p>
      <w:pPr>
        <w:pStyle w:val="ListBullet"/>
        <w:spacing w:after="60" w:line="252" w:lineRule="auto"/>
      </w:pPr>
      <w:r>
        <w:t>Dropping income improves cross-city feature consistency but leaves some socioeconomic context unobserved; OLS coefficients remain conditional associations rather than causal amenity values.</w:t>
      </w:r>
    </w:p>
    <w:p>
      <w:pPr>
        <w:pStyle w:val="ListBullet"/>
        <w:spacing w:after="60" w:line="252" w:lineRule="auto"/>
      </w:pPr>
      <w:r>
        <w:t>Population-density areas differ in physical size and may include water; a no-density sensitivity checks dependence on this contextual control.</w:t>
      </w:r>
    </w:p>
    <w:p>
      <w:pPr>
        <w:pStyle w:val="ListBullet"/>
        <w:spacing w:after="60" w:line="252" w:lineRule="auto"/>
      </w:pPr>
      <w:r>
        <w:t>Relative-price transfer uses the target city’s observed price distribution to define its benchmark. It therefore evaluates transfer of pricing relationships, not absolute-price deployment in a city whose market level is completely unknown.</w:t>
      </w:r>
    </w:p>
    <w:p>
      <w:pPr>
        <w:pStyle w:val="ListBullet"/>
        <w:spacing w:after="60" w:line="252" w:lineRule="auto"/>
      </w:pPr>
      <w:r>
        <w:t>Training-sample sizes differ across source cities, so transfer direction can matter. Results are reported direction by direction rather than treated as symmetric.</w:t>
      </w:r>
    </w:p>
    <w:p>
      <w:pPr>
        <w:pStyle w:val="ListBullet"/>
        <w:spacing w:after="60" w:line="252" w:lineRule="auto"/>
      </w:pPr>
      <w:r>
        <w:t>Three selected capitals do not establish universal Nordic generalizability.</w:t>
      </w:r>
    </w:p>
    <w:p>
      <w:pPr>
        <w:pStyle w:val="Heading1"/>
        <w:spacing w:before="200" w:after="80"/>
        <w:keepNext/>
      </w:pPr>
      <w:r>
        <w:t>11. Expected contribution and thesis structure</w:t>
      </w:r>
    </w:p>
    <w:p>
      <w:pPr>
        <w:spacing w:before="0" w:after="120" w:line="259" w:lineRule="auto"/>
      </w:pPr>
      <w:r>
        <w:rPr>
          <w:rFonts w:ascii="Arial" w:hAnsi="Arial"/>
          <w:sz w:val="20"/>
        </w:rPr>
        <w:t>The thesis is designed to answer a bounded methodological question at two levels of geographic difficulty: whether the computational and data cost of walking-network accessibility produces materially different information from simpler Euclidean accessibility for Airbnb asking-price modelling within a city, and whether the resulting pricing relationships transfer to another city after overall city price levels are removed. A consistent finding of little incremental network value would be as informative as a finding that network information matters strongly within or between particular cities.</w:t>
      </w:r>
    </w:p>
    <w:p>
      <w:pPr>
        <w:spacing w:before="0" w:after="120" w:line="259" w:lineRule="auto"/>
      </w:pPr>
      <w:r>
        <w:rPr>
          <w:rFonts w:ascii="Arial" w:hAnsi="Arial"/>
          <w:sz w:val="20"/>
        </w:rPr>
        <w:t>The empirical chapters will follow the research questions: data and harmonization; accessibility measurement; within-city results for Copenhagen, Oslo and Stockholm; pairwise cross-city transfer; robustness and synthesis; discussion and conclusion. Earlier housing-price and income feasibility work remains project history rather than a thesis results chapter.</w:t>
      </w:r>
    </w:p>
    <w:p>
      <w:pPr>
        <w:pStyle w:val="Heading1"/>
        <w:spacing w:before="200" w:after="80"/>
        <w:keepNext/>
      </w:pPr>
      <w:r>
        <w:t>References</w:t>
      </w:r>
    </w:p>
    <w:p>
      <w:pPr>
        <w:spacing w:before="0" w:after="60" w:line="240" w:lineRule="auto"/>
        <w:ind w:left="259" w:hanging="259"/>
      </w:pPr>
      <w:r>
        <w:rPr>
          <w:rFonts w:ascii="Arial" w:hAnsi="Arial"/>
          <w:sz w:val="20"/>
        </w:rPr>
        <w:t>Andersen, H. S., Andersson, R., Wessel, T., &amp; Vilkama, K. (2016). The impact of housing policies and housing markets on ethnic spatial segregation: comparing the capital cities of four Nordic welfare states. International Journal of Housing Policy, 16(1), 1–30. https://doi.org/10.1080/14616718.2015.1110375</w:t>
      </w:r>
    </w:p>
    <w:p>
      <w:pPr>
        <w:spacing w:before="0" w:after="60" w:line="240" w:lineRule="auto"/>
        <w:ind w:left="259" w:hanging="259"/>
      </w:pPr>
      <w:r>
        <w:rPr>
          <w:rFonts w:ascii="Arial" w:hAnsi="Arial"/>
          <w:sz w:val="20"/>
        </w:rPr>
        <w:t>Boeing, G. (2017). OSMnx: New methods for acquiring, constructing, analyzing, and visualizing complex street networks. Computers, Environment and Urban Systems, 65, 126–139. https://doi.org/10.1016/j.compenvurbsys.2017.05.004</w:t>
      </w:r>
    </w:p>
    <w:p>
      <w:pPr>
        <w:spacing w:before="0" w:after="60" w:line="240" w:lineRule="auto"/>
        <w:ind w:left="259" w:hanging="259"/>
      </w:pPr>
      <w:r>
        <w:rPr>
          <w:rFonts w:ascii="Arial" w:hAnsi="Arial"/>
          <w:sz w:val="20"/>
        </w:rPr>
        <w:t>Chica-Olmo, J., González-Morales, J. G., &amp; Zafra-Gómez, J. L. (2020). Effects of location on Airbnb apartment pricing in Málaga. Tourism Management, 77, 103981. https://doi.org/10.1016/j.tourman.2019.103981</w:t>
      </w:r>
    </w:p>
    <w:p>
      <w:pPr>
        <w:spacing w:before="0" w:after="60" w:line="240" w:lineRule="auto"/>
        <w:ind w:left="259" w:hanging="259"/>
      </w:pPr>
      <w:r>
        <w:rPr>
          <w:rFonts w:ascii="Arial" w:hAnsi="Arial"/>
          <w:sz w:val="20"/>
        </w:rPr>
        <w:t>Geurs, K. T., &amp; van Wee, B. (2004). Accessibility evaluation of land-use and transport strategies: review and research directions. Journal of Transport Geography, 12(2), 127–140. https://doi.org/10.1016/j.jtrangeo.2003.10.005</w:t>
      </w:r>
    </w:p>
    <w:p>
      <w:pPr>
        <w:spacing w:before="0" w:after="60" w:line="240" w:lineRule="auto"/>
        <w:ind w:left="259" w:hanging="259"/>
      </w:pPr>
      <w:r>
        <w:rPr>
          <w:rFonts w:ascii="Arial" w:hAnsi="Arial"/>
          <w:sz w:val="20"/>
        </w:rPr>
        <w:t>Gibbs, C., Guttentag, D., Gretzel, U., Morton, J., &amp; Goodwill, A. (2018). Pricing in the sharing economy: a hedonic pricing model applied to Airbnb listings. Journal of Travel &amp; Tourism Marketing, 35(1), 46–56. https://doi.org/10.1080/10548408.2017.1308292</w:t>
      </w:r>
    </w:p>
    <w:p>
      <w:pPr>
        <w:spacing w:before="0" w:after="60" w:line="240" w:lineRule="auto"/>
        <w:ind w:left="259" w:hanging="259"/>
      </w:pPr>
      <w:r>
        <w:rPr>
          <w:rFonts w:ascii="Arial" w:hAnsi="Arial"/>
          <w:sz w:val="20"/>
        </w:rPr>
        <w:t>Gyódi, K., &amp; Nawaro, Ł. (2021). Determinants of Airbnb prices in European cities: a spatial econometrics approach. Tourism Management, 86, 104319. https://doi.org/10.1016/j.tourman.2021.104319</w:t>
      </w:r>
    </w:p>
    <w:p>
      <w:pPr>
        <w:spacing w:before="0" w:after="60" w:line="240" w:lineRule="auto"/>
        <w:ind w:left="259" w:hanging="259"/>
      </w:pPr>
      <w:r>
        <w:rPr>
          <w:rFonts w:ascii="Arial" w:hAnsi="Arial"/>
          <w:sz w:val="20"/>
        </w:rPr>
        <w:t>Haandrikman, K., Costa, R., Malmberg, B., Farner Rogne, A., &amp; Sleutjes, B. (2023). Socio-economic segregation in European cities: a comparative study of Brussels, Copenhagen, Amsterdam, Oslo and Stockholm. Urban Geography, 44(1), 1–36. https://doi.org/10.1080/02723638.2021.1959778</w:t>
      </w:r>
    </w:p>
    <w:p>
      <w:pPr>
        <w:spacing w:before="0" w:after="60" w:line="240" w:lineRule="auto"/>
        <w:ind w:left="259" w:hanging="259"/>
      </w:pPr>
      <w:r>
        <w:rPr>
          <w:rFonts w:ascii="Arial" w:hAnsi="Arial"/>
          <w:sz w:val="20"/>
        </w:rPr>
        <w:t>McArthur, D. P., Osland, L., &amp; Thorsen, I. (2012). Spatial transferability of hedonic house price functions. Regional Studies, 46(5), 597–610. https://doi.org/10.1080/00343404.2010.521147</w:t>
      </w:r>
    </w:p>
    <w:p>
      <w:pPr>
        <w:spacing w:before="0" w:after="60" w:line="240" w:lineRule="auto"/>
        <w:ind w:left="259" w:hanging="259"/>
      </w:pPr>
      <w:r>
        <w:rPr>
          <w:rFonts w:ascii="Arial" w:hAnsi="Arial"/>
          <w:sz w:val="20"/>
        </w:rPr>
        <w:t>Roberts, D. R., Bahn, V., Ciuti, S., et al. (2017). Cross-validation strategies for data with temporal, spatial, hierarchical, or phylogenetic structure. Ecography, 40(8), 913–929. https://doi.org/10.1111/ecog.02881</w:t>
      </w:r>
    </w:p>
    <w:p>
      <w:pPr>
        <w:spacing w:before="0" w:after="60" w:line="240" w:lineRule="auto"/>
        <w:ind w:left="259" w:hanging="259"/>
      </w:pPr>
      <w:r>
        <w:rPr>
          <w:rFonts w:ascii="Arial" w:hAnsi="Arial"/>
          <w:sz w:val="20"/>
        </w:rPr>
        <w:t>Rosen, S. (1974). Hedonic prices and implicit markets: product differentiation in pure competition. Journal of Political Economy, 82(1), 34–55. https://doi.org/10.1086/260169</w:t>
      </w:r>
    </w:p>
    <w:p>
      <w:pPr>
        <w:spacing w:before="0" w:after="60" w:line="240" w:lineRule="auto"/>
        <w:ind w:left="259" w:hanging="259"/>
      </w:pPr>
      <w:r>
        <w:rPr>
          <w:rFonts w:ascii="Arial" w:hAnsi="Arial"/>
          <w:sz w:val="20"/>
        </w:rPr>
        <w:t>Türk, U., Östh, J., Kourtit, K., &amp; Nijkamp, P. (2021). The path of least resistance: a spatial analysis of Airbnb pricing and urban amenities. Journal of Transport Geography, 94, 103130. https://doi.org/10.1016/j.jtrangeo.2021.103130</w:t>
      </w:r>
    </w:p>
    <w:p>
      <w:pPr>
        <w:spacing w:before="0" w:after="60" w:line="240" w:lineRule="auto"/>
        <w:ind w:left="259" w:hanging="259"/>
      </w:pPr>
      <w:r>
        <w:rPr>
          <w:rFonts w:ascii="Arial" w:hAnsi="Arial"/>
          <w:sz w:val="20"/>
        </w:rPr>
        <w:t>Valavi, R., Elith, J., Lahoz-Monfort, J. J., &amp; Guillera-Arroita, G. (2019). blockCV: an R package for generating spatially or environmentally separated folds for k-fold cross-validation of species distribution models. Methods in Ecology and Evolution, 10(2), 225–232. https://doi.org/10.1111/2041-210X.13107</w:t>
      </w:r>
    </w:p>
    <w:p>
      <w:pPr>
        <w:spacing w:before="0" w:after="60" w:line="240" w:lineRule="auto"/>
        <w:ind w:left="259" w:hanging="259"/>
      </w:pPr>
      <w:r>
        <w:rPr>
          <w:rFonts w:ascii="Arial" w:hAnsi="Arial"/>
          <w:sz w:val="20"/>
        </w:rPr>
        <w:t>Wang, D., &amp; Nicolau, J. L. (2017). Price determinants of sharing economy based accommodation rental: a study of listings from 33 cities on Airbnb.com. International Journal of Hospitality Management, 62, 120–131. https://doi.org/10.1016/j.ijhm.2016.12.007</w:t>
      </w:r>
    </w:p>
    <w:p>
      <w:pPr>
        <w:pStyle w:val="Heading1"/>
        <w:spacing w:before="200" w:after="80"/>
        <w:keepNext/>
      </w:pPr>
      <w:r>
        <w:t>Data sources and project evidence</w:t>
      </w:r>
    </w:p>
    <w:p>
      <w:pPr>
        <w:pStyle w:val="ListBullet"/>
        <w:spacing w:after="60" w:line="252" w:lineRule="auto"/>
      </w:pPr>
      <w:r>
        <w:t>Inside Airbnb detailed listing snapshots, 30 June 2026 batch, for Copenhagen, Oslo and Stockholm.</w:t>
      </w:r>
    </w:p>
    <w:p>
      <w:pPr>
        <w:pStyle w:val="ListBullet"/>
        <w:spacing w:after="60" w:line="252" w:lineRule="auto"/>
      </w:pPr>
      <w:r>
        <w:t>OpenStreetMap for pedestrian networks, transport-stop and amenity destinations, and civic-centre anchors; ODbL attribution retained.</w:t>
      </w:r>
    </w:p>
    <w:p>
      <w:pPr>
        <w:pStyle w:val="ListBullet"/>
        <w:spacing w:after="60" w:line="252" w:lineRule="auto"/>
      </w:pPr>
      <w:r>
        <w:t>Official population sources already acquired for Copenhagen, Oslo and Stockholm.</w:t>
      </w:r>
    </w:p>
    <w:p>
      <w:pPr>
        <w:pStyle w:val="ListBullet"/>
        <w:spacing w:after="60" w:line="252" w:lineRule="auto"/>
      </w:pPr>
      <w:r>
        <w:t>Existing project audits of listing acquisition, geography, population/income feasibility, neighbourhood-name correspondence and the Stockholm Rinkeby polygon check.</w:t>
      </w:r>
    </w:p>
    <w:p>
      <w:pPr>
        <w:pStyle w:val="ListBullet"/>
        <w:spacing w:after="60" w:line="252" w:lineRule="auto"/>
      </w:pPr>
      <w:r>
        <w:t>Earlier Copenhagen single-city outputs, retained only as observed historical evidence and not reused as final comparative estimates.</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6" w:space="3" w:color="D9E2F3"/>
      </w:pBdr>
    </w:pPr>
    <w:r>
      <w:rPr>
        <w:rFonts w:ascii="Arial" w:hAnsi="Arial"/>
        <w:color w:val="5B6573"/>
        <w:sz w:val="17"/>
      </w:rPr>
      <w:t>Scientific thesis proposal · Urban accessibility and Airbnb asking prices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F3A5F"/>
      <w:sz w:val="31"/>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F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