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End-to-End Research Plan — Re-analysis Protocol</w:t>
      </w:r>
    </w:p>
    <w:p>
      <w:pPr>
        <w:jc w:val="center"/>
      </w:pPr>
      <w:r>
        <w:rPr>
          <w:rFonts w:ascii="Liberation Sans" w:hAnsi="Liberation Sans"/>
          <w:i/>
          <w:color w:val="526775"/>
          <w:sz w:val="25"/>
        </w:rPr>
        <w:t>Urban Accessibility and Short-Term Rental Market Outcomes: A Spatial Data Science Study of Copenhagen and Frederiksberg</w:t>
      </w:r>
    </w:p>
    <w:p/>
    <w:p>
      <w:pPr>
        <w:jc w:val="center"/>
      </w:pPr>
      <w:r>
        <w:rPr>
          <w:rFonts w:ascii="Liberation Sans" w:hAnsi="Liberation Sans"/>
          <w:color w:val="526775"/>
          <w:sz w:val="21"/>
        </w:rPr>
        <w:t>MSc Social Data Science · University of Copenhagen</w:t>
      </w:r>
    </w:p>
    <w:p>
      <w:pPr>
        <w:jc w:val="center"/>
      </w:pPr>
      <w:r>
        <w:t>Version 3 · 4 October 2026</w:t>
      </w:r>
    </w:p>
    <w:p>
      <w:pPr>
        <w:jc w:val="center"/>
      </w:pPr>
      <w:r>
        <w:t>Primary target: full GTFS-independent re-analysis; core design includes analysis-area context and bus-stop access; GTFS and tabular foundation models remain optional extensions</w:t>
      </w:r>
    </w:p>
    <w:p/>
    <w:p>
      <w:pPr>
        <w:jc w:val="center"/>
      </w:pPr>
      <w:r>
        <w:t>Purpose: freeze the Version 3 re-analysis design before any rerun, guide execution from data rebuild to submission, and prevent further result-driven specification changes. Version 2 code/results remain archived as an audit trail.</w:t>
      </w:r>
    </w:p>
    <w:p>
      <w:r>
        <w:br w:type="page"/>
      </w:r>
    </w:p>
    <w:p>
      <w:pPr>
        <w:pStyle w:val="Heading1"/>
      </w:pPr>
      <w:r>
        <w:t>Contents</w:t>
      </w:r>
    </w:p>
    <w:p>
      <w:pPr>
        <w:spacing w:after="40"/>
        <w:ind w:left="0"/>
      </w:pPr>
      <w:r>
        <w:rPr>
          <w:rFonts w:ascii="Liberation Sans" w:hAnsi="Liberation Sans"/>
          <w:b/>
          <w:color w:val="17354A"/>
          <w:sz w:val="20"/>
        </w:rPr>
        <w:t>1. Revision summary and locked design</w:t>
      </w:r>
    </w:p>
    <w:p>
      <w:pPr>
        <w:spacing w:after="40"/>
        <w:ind w:left="0"/>
      </w:pPr>
      <w:r>
        <w:rPr>
          <w:rFonts w:ascii="Liberation Sans" w:hAnsi="Liberation Sans"/>
          <w:b/>
          <w:color w:val="17354A"/>
          <w:sz w:val="20"/>
        </w:rPr>
        <w:t>2. Version strategy</w:t>
      </w:r>
    </w:p>
    <w:p>
      <w:pPr>
        <w:spacing w:after="40"/>
        <w:ind w:left="0"/>
      </w:pPr>
      <w:r>
        <w:rPr>
          <w:rFonts w:ascii="Liberation Sans" w:hAnsi="Liberation Sans"/>
          <w:b/>
          <w:color w:val="17354A"/>
          <w:sz w:val="20"/>
        </w:rPr>
        <w:t>3. Research questions</w:t>
      </w:r>
    </w:p>
    <w:p>
      <w:pPr>
        <w:spacing w:after="40"/>
        <w:ind w:left="0"/>
      </w:pPr>
      <w:r>
        <w:rPr>
          <w:rFonts w:ascii="Liberation Sans" w:hAnsi="Liberation Sans"/>
          <w:b/>
          <w:color w:val="17354A"/>
          <w:sz w:val="20"/>
        </w:rPr>
        <w:t>4. Study area and primary population</w:t>
      </w:r>
    </w:p>
    <w:p>
      <w:pPr>
        <w:spacing w:after="40"/>
        <w:ind w:left="0"/>
      </w:pPr>
      <w:r>
        <w:rPr>
          <w:rFonts w:ascii="Liberation Sans" w:hAnsi="Liberation Sans"/>
          <w:b/>
          <w:color w:val="17354A"/>
          <w:sz w:val="20"/>
        </w:rPr>
        <w:t>5. Data sources and access status</w:t>
      </w:r>
    </w:p>
    <w:p>
      <w:pPr>
        <w:spacing w:after="40"/>
        <w:ind w:left="0"/>
      </w:pPr>
      <w:r>
        <w:rPr>
          <w:rFonts w:ascii="Liberation Sans" w:hAnsi="Liberation Sans"/>
          <w:b/>
          <w:color w:val="17354A"/>
          <w:sz w:val="20"/>
        </w:rPr>
        <w:t>6. Sample construction rules</w:t>
      </w:r>
    </w:p>
    <w:p>
      <w:pPr>
        <w:spacing w:after="40"/>
        <w:ind w:left="0"/>
      </w:pPr>
      <w:r>
        <w:rPr>
          <w:rFonts w:ascii="Liberation Sans" w:hAnsi="Liberation Sans"/>
          <w:b/>
          <w:color w:val="17354A"/>
          <w:sz w:val="20"/>
        </w:rPr>
        <w:t>7. Outcome and missing-data protocol</w:t>
      </w:r>
    </w:p>
    <w:p>
      <w:pPr>
        <w:spacing w:after="40"/>
        <w:ind w:left="0"/>
      </w:pPr>
      <w:r>
        <w:rPr>
          <w:rFonts w:ascii="Liberation Sans" w:hAnsi="Liberation Sans"/>
          <w:b/>
          <w:color w:val="17354A"/>
          <w:sz w:val="20"/>
        </w:rPr>
        <w:t>8. Variables and model blocks</w:t>
      </w:r>
    </w:p>
    <w:p>
      <w:pPr>
        <w:spacing w:after="40"/>
        <w:ind w:left="0"/>
      </w:pPr>
      <w:r>
        <w:rPr>
          <w:rFonts w:ascii="Liberation Sans" w:hAnsi="Liberation Sans"/>
          <w:b/>
          <w:color w:val="17354A"/>
          <w:sz w:val="20"/>
        </w:rPr>
        <w:t>9. Accessibility measurement</w:t>
      </w:r>
    </w:p>
    <w:p>
      <w:pPr>
        <w:spacing w:after="40"/>
        <w:ind w:left="0"/>
      </w:pPr>
      <w:r>
        <w:rPr>
          <w:rFonts w:ascii="Liberation Sans" w:hAnsi="Liberation Sans"/>
          <w:b/>
          <w:color w:val="17354A"/>
          <w:sz w:val="20"/>
        </w:rPr>
        <w:t>10. Mathematical model specification</w:t>
      </w:r>
    </w:p>
    <w:p>
      <w:pPr>
        <w:spacing w:after="40"/>
        <w:ind w:left="0"/>
      </w:pPr>
      <w:r>
        <w:rPr>
          <w:rFonts w:ascii="Liberation Sans" w:hAnsi="Liberation Sans"/>
          <w:b/>
          <w:color w:val="17354A"/>
          <w:sz w:val="20"/>
        </w:rPr>
        <w:t>11. Spatial diagnostics and validation</w:t>
      </w:r>
    </w:p>
    <w:p>
      <w:pPr>
        <w:spacing w:after="40"/>
        <w:ind w:left="0"/>
      </w:pPr>
      <w:r>
        <w:rPr>
          <w:rFonts w:ascii="Liberation Sans" w:hAnsi="Liberation Sans"/>
          <w:b/>
          <w:color w:val="17354A"/>
          <w:sz w:val="20"/>
        </w:rPr>
        <w:t>12. Robustness and optional extensions</w:t>
      </w:r>
    </w:p>
    <w:p>
      <w:pPr>
        <w:spacing w:after="40"/>
        <w:ind w:left="0"/>
      </w:pPr>
      <w:r>
        <w:rPr>
          <w:rFonts w:ascii="Liberation Sans" w:hAnsi="Liberation Sans"/>
          <w:b/>
          <w:color w:val="17354A"/>
          <w:sz w:val="20"/>
        </w:rPr>
        <w:t>13. Tables and figures to produce</w:t>
      </w:r>
    </w:p>
    <w:p>
      <w:pPr>
        <w:spacing w:after="40"/>
        <w:ind w:left="0"/>
      </w:pPr>
      <w:r>
        <w:rPr>
          <w:rFonts w:ascii="Liberation Sans" w:hAnsi="Liberation Sans"/>
          <w:b/>
          <w:color w:val="17354A"/>
          <w:sz w:val="20"/>
        </w:rPr>
        <w:t>14. Technical pipeline and reproducibility</w:t>
      </w:r>
    </w:p>
    <w:p>
      <w:pPr>
        <w:spacing w:after="40"/>
        <w:ind w:left="0"/>
      </w:pPr>
      <w:r>
        <w:rPr>
          <w:rFonts w:ascii="Liberation Sans" w:hAnsi="Liberation Sans"/>
          <w:b/>
          <w:color w:val="17354A"/>
          <w:sz w:val="20"/>
        </w:rPr>
        <w:t>15. Week-by-week execution plan</w:t>
      </w:r>
    </w:p>
    <w:p>
      <w:pPr>
        <w:spacing w:after="40"/>
        <w:ind w:left="0"/>
      </w:pPr>
      <w:r>
        <w:rPr>
          <w:rFonts w:ascii="Liberation Sans" w:hAnsi="Liberation Sans"/>
          <w:b/>
          <w:color w:val="17354A"/>
          <w:sz w:val="20"/>
        </w:rPr>
        <w:t>16. Decision gates and risk register</w:t>
      </w:r>
    </w:p>
    <w:p>
      <w:pPr>
        <w:spacing w:after="40"/>
        <w:ind w:left="0"/>
      </w:pPr>
      <w:r>
        <w:rPr>
          <w:rFonts w:ascii="Liberation Sans" w:hAnsi="Liberation Sans"/>
          <w:b/>
          <w:color w:val="17354A"/>
          <w:sz w:val="20"/>
        </w:rPr>
        <w:t>17. Writing and submission workflow</w:t>
      </w:r>
    </w:p>
    <w:p>
      <w:pPr>
        <w:spacing w:after="40"/>
        <w:ind w:left="0"/>
      </w:pPr>
      <w:r>
        <w:rPr>
          <w:rFonts w:ascii="Liberation Sans" w:hAnsi="Liberation Sans"/>
          <w:b/>
          <w:color w:val="17354A"/>
          <w:sz w:val="20"/>
        </w:rPr>
        <w:t>Appendix A. GTFS access request</w:t>
      </w:r>
    </w:p>
    <w:p>
      <w:pPr>
        <w:spacing w:after="40"/>
        <w:ind w:left="0"/>
      </w:pPr>
      <w:r>
        <w:rPr>
          <w:rFonts w:ascii="Liberation Sans" w:hAnsi="Liberation Sans"/>
          <w:b/>
          <w:color w:val="17354A"/>
          <w:sz w:val="20"/>
        </w:rPr>
        <w:t>Appendix B. Pre-analysis freeze checklist</w:t>
      </w:r>
    </w:p>
    <w:p>
      <w:pPr>
        <w:spacing w:after="40"/>
        <w:ind w:left="0"/>
      </w:pPr>
      <w:r>
        <w:rPr>
          <w:rFonts w:ascii="Liberation Sans" w:hAnsi="Liberation Sans"/>
          <w:b/>
          <w:color w:val="17354A"/>
          <w:sz w:val="20"/>
        </w:rPr>
        <w:t>Appendix C. Key references and live data sources</w:t>
      </w:r>
    </w:p>
    <w:p>
      <w:r>
        <w:br w:type="page"/>
      </w:r>
    </w:p>
    <w:p>
      <w:pPr>
        <w:pStyle w:val="Heading1"/>
      </w:pPr>
      <w:r>
        <w:t>1. Revision summary and locked design</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Core thesis identity and re-analysis status</w:t>
            </w:r>
            <w:r>
              <w:br/>
              <w:t>The thesis is a spatial data-science study of accessibility measurement, incremental predictive value and geographic generalization, with Airbnb as the empirical application. Version 3 is a full rerun protocol adopted after auditing Version 2 code and outputs. Version 2 results are retained as an archive; all Version 3 specifications below are frozen before rerunning the analysis, except transparent corrections of genuine coding or data errors.</w:t>
            </w:r>
          </w:p>
        </w:tc>
      </w:tr>
    </w:tbl>
    <w:p>
      <w:pPr>
        <w:spacing w:after="0"/>
      </w:pP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Design element</w:t>
            </w:r>
          </w:p>
        </w:tc>
        <w:tc>
          <w:tcPr>
            <w:tcW w:type="dxa" w:w="7540"/>
            <w:shd w:fill="E6EEF2"/>
            <w:tcMar>
              <w:top w:w="85" w:type="dxa"/>
              <w:start w:w="110" w:type="dxa"/>
              <w:bottom w:w="85" w:type="dxa"/>
              <w:end w:w="110" w:type="dxa"/>
            </w:tcMar>
            <w:vAlign w:val="center"/>
          </w:tcPr>
          <w:p>
            <w:r>
              <w:rPr>
                <w:rFonts w:ascii="Liberation Sans" w:hAnsi="Liberation Sans"/>
                <w:b/>
                <w:color w:val="17354A"/>
                <w:sz w:val="16"/>
              </w:rPr>
              <w:t>Revised default</w:t>
            </w:r>
          </w:p>
        </w:tc>
      </w:tr>
      <w:tr>
        <w:trPr>
          <w:cantSplit/>
        </w:trPr>
        <w:tc>
          <w:tcPr>
            <w:tcW w:type="dxa" w:w="2268"/>
            <w:tcMar>
              <w:top w:w="85" w:type="dxa"/>
              <w:start w:w="110" w:type="dxa"/>
              <w:bottom w:w="85" w:type="dxa"/>
              <w:end w:w="110" w:type="dxa"/>
            </w:tcMar>
            <w:vAlign w:val="top"/>
          </w:tcPr>
          <w:p>
            <w:r>
              <w:rPr>
                <w:rFonts w:ascii="Liberation Sans" w:hAnsi="Liberation Sans"/>
                <w:sz w:val="16"/>
              </w:rPr>
              <w:t>Study area</w:t>
            </w:r>
          </w:p>
        </w:tc>
        <w:tc>
          <w:tcPr>
            <w:tcW w:type="dxa" w:w="7540"/>
            <w:tcMar>
              <w:top w:w="85" w:type="dxa"/>
              <w:start w:w="110" w:type="dxa"/>
              <w:bottom w:w="85" w:type="dxa"/>
              <w:end w:w="110" w:type="dxa"/>
            </w:tcMar>
            <w:vAlign w:val="top"/>
          </w:tcPr>
          <w:p>
            <w:r>
              <w:t>Copenhagen Municipality + Frederiksberg Municipality. For modelling, context assignment, descriptive stratification and geographic validation, use 11 peer analysis areas: the 10 official Copenhagen city districts plus Frederiksberg as one analysis area. This is an operational research geography, not a claim of administrative equivalence.</w:t>
            </w:r>
          </w:p>
        </w:tc>
      </w:tr>
      <w:tr>
        <w:trPr>
          <w:cantSplit/>
        </w:trPr>
        <w:tc>
          <w:tcPr>
            <w:tcW w:type="dxa" w:w="2268"/>
            <w:tcMar>
              <w:top w:w="85" w:type="dxa"/>
              <w:start w:w="110" w:type="dxa"/>
              <w:bottom w:w="85" w:type="dxa"/>
              <w:end w:w="110" w:type="dxa"/>
            </w:tcMar>
            <w:vAlign w:val="top"/>
          </w:tcPr>
          <w:p>
            <w:r>
              <w:rPr>
                <w:rFonts w:ascii="Liberation Sans" w:hAnsi="Liberation Sans"/>
                <w:sz w:val="16"/>
              </w:rPr>
              <w:t>Primary listings</w:t>
            </w:r>
          </w:p>
        </w:tc>
        <w:tc>
          <w:tcPr>
            <w:tcW w:type="dxa" w:w="7540"/>
            <w:tcMar>
              <w:top w:w="85" w:type="dxa"/>
              <w:start w:w="110" w:type="dxa"/>
              <w:bottom w:w="85" w:type="dxa"/>
              <w:end w:w="110" w:type="dxa"/>
            </w:tcMar>
            <w:vAlign w:val="top"/>
          </w:tcPr>
          <w:p>
            <w:r>
              <w:rPr>
                <w:rFonts w:ascii="Liberation Sans" w:hAnsi="Liberation Sans"/>
                <w:sz w:val="16"/>
              </w:rPr>
              <w:t>Entire home/apt; conventional residential entire dwellings. Private/shared/hotel rooms and unusual accommodation types excluded from the primary sample.</w:t>
            </w:r>
          </w:p>
        </w:tc>
      </w:tr>
      <w:tr>
        <w:trPr>
          <w:cantSplit/>
        </w:trPr>
        <w:tc>
          <w:tcPr>
            <w:tcW w:type="dxa" w:w="2268"/>
            <w:tcMar>
              <w:top w:w="85" w:type="dxa"/>
              <w:start w:w="110" w:type="dxa"/>
              <w:bottom w:w="85" w:type="dxa"/>
              <w:end w:w="110" w:type="dxa"/>
            </w:tcMar>
            <w:vAlign w:val="top"/>
          </w:tcPr>
          <w:p>
            <w:r>
              <w:rPr>
                <w:rFonts w:ascii="Liberation Sans" w:hAnsi="Liberation Sans"/>
                <w:sz w:val="16"/>
              </w:rPr>
              <w:t>Review restriction</w:t>
            </w:r>
          </w:p>
        </w:tc>
        <w:tc>
          <w:tcPr>
            <w:tcW w:type="dxa" w:w="7540"/>
            <w:tcMar>
              <w:top w:w="85" w:type="dxa"/>
              <w:start w:w="110" w:type="dxa"/>
              <w:bottom w:w="85" w:type="dxa"/>
              <w:end w:w="110" w:type="dxa"/>
            </w:tcMar>
            <w:vAlign w:val="top"/>
          </w:tcPr>
          <w:p>
            <w:r>
              <w:rPr>
                <w:rFonts w:ascii="Liberation Sans" w:hAnsi="Liberation Sans"/>
                <w:sz w:val="16"/>
              </w:rPr>
              <w:t>No minimum-review requirement. Reviewed-listings-only is a robustness sample.</w:t>
            </w:r>
          </w:p>
        </w:tc>
      </w:tr>
      <w:tr>
        <w:trPr>
          <w:cantSplit/>
        </w:trPr>
        <w:tc>
          <w:tcPr>
            <w:tcW w:type="dxa" w:w="2268"/>
            <w:tcMar>
              <w:top w:w="85" w:type="dxa"/>
              <w:start w:w="110" w:type="dxa"/>
              <w:bottom w:w="85" w:type="dxa"/>
              <w:end w:w="110" w:type="dxa"/>
            </w:tcMar>
            <w:vAlign w:val="top"/>
          </w:tcPr>
          <w:p>
            <w:r>
              <w:rPr>
                <w:rFonts w:ascii="Liberation Sans" w:hAnsi="Liberation Sans"/>
                <w:sz w:val="16"/>
              </w:rPr>
              <w:t>Outcome</w:t>
            </w:r>
          </w:p>
        </w:tc>
        <w:tc>
          <w:tcPr>
            <w:tcW w:type="dxa" w:w="7540"/>
            <w:tcMar>
              <w:top w:w="85" w:type="dxa"/>
              <w:start w:w="110" w:type="dxa"/>
              <w:bottom w:w="85" w:type="dxa"/>
              <w:end w:w="110" w:type="dxa"/>
            </w:tcMar>
            <w:vAlign w:val="top"/>
          </w:tcPr>
          <w:p>
            <w:r>
              <w:rPr>
                <w:rFonts w:ascii="Liberation Sans" w:hAnsi="Liberation Sans"/>
                <w:sz w:val="16"/>
              </w:rPr>
              <w:t>ln(listed nightly price) from one frozen snapshot; truly missing outcome values are not statistically imputed.</w:t>
            </w:r>
          </w:p>
        </w:tc>
      </w:tr>
      <w:tr>
        <w:trPr>
          <w:cantSplit/>
        </w:trPr>
        <w:tc>
          <w:tcPr>
            <w:tcW w:type="dxa" w:w="2268"/>
            <w:tcMar>
              <w:top w:w="85" w:type="dxa"/>
              <w:start w:w="110" w:type="dxa"/>
              <w:bottom w:w="85" w:type="dxa"/>
              <w:end w:w="110" w:type="dxa"/>
            </w:tcMar>
            <w:vAlign w:val="top"/>
          </w:tcPr>
          <w:p>
            <w:r>
              <w:t>Analysis-area context</w:t>
            </w:r>
          </w:p>
        </w:tc>
        <w:tc>
          <w:tcPr>
            <w:tcW w:type="dxa" w:w="7540"/>
            <w:tcMar>
              <w:top w:w="85" w:type="dxa"/>
              <w:start w:w="110" w:type="dxa"/>
              <w:bottom w:w="85" w:type="dxa"/>
              <w:end w:w="110" w:type="dxa"/>
            </w:tcMar>
            <w:vAlign w:val="top"/>
          </w:tcPr>
          <w:p>
            <w:r>
              <w:t>Core baseline variables: harmonised log population density + harmonised income at the 11-analysis-area level. Do not use a special Frederiksberg municipality dummy in the primary model. Analysis-area fixed effects are association robustness only.</w:t>
            </w:r>
          </w:p>
        </w:tc>
      </w:tr>
      <w:tr>
        <w:trPr>
          <w:cantSplit/>
        </w:trPr>
        <w:tc>
          <w:tcPr>
            <w:tcW w:type="dxa" w:w="2268"/>
            <w:tcMar>
              <w:top w:w="85" w:type="dxa"/>
              <w:start w:w="110" w:type="dxa"/>
              <w:bottom w:w="85" w:type="dxa"/>
              <w:end w:w="110" w:type="dxa"/>
            </w:tcMar>
            <w:vAlign w:val="top"/>
          </w:tcPr>
          <w:p>
            <w:r>
              <w:rPr>
                <w:rFonts w:ascii="Liberation Sans" w:hAnsi="Liberation Sans"/>
                <w:sz w:val="16"/>
              </w:rPr>
              <w:t>Accessibility</w:t>
            </w:r>
          </w:p>
        </w:tc>
        <w:tc>
          <w:tcPr>
            <w:tcW w:type="dxa" w:w="7540"/>
            <w:tcMar>
              <w:top w:w="85" w:type="dxa"/>
              <w:start w:w="110" w:type="dxa"/>
              <w:bottom w:w="85" w:type="dxa"/>
              <w:end w:w="110" w:type="dxa"/>
            </w:tcMar>
            <w:vAlign w:val="top"/>
          </w:tcPr>
          <w:p>
            <w:r>
              <w:t>Matched straight-line versus walking-network measures. Core transport access includes separate rail/metro/S-train station access and bus-stop access. Primary cumulative opportunity budget: 10 minutes; 15/20 minutes are sensitivity checks; continuous distance decay is a core robustness check.</w:t>
            </w:r>
          </w:p>
        </w:tc>
      </w:tr>
      <w:tr>
        <w:trPr>
          <w:cantSplit/>
        </w:trPr>
        <w:tc>
          <w:tcPr>
            <w:tcW w:type="dxa" w:w="2268"/>
            <w:tcMar>
              <w:top w:w="85" w:type="dxa"/>
              <w:start w:w="110" w:type="dxa"/>
              <w:bottom w:w="85" w:type="dxa"/>
              <w:end w:w="110" w:type="dxa"/>
            </w:tcMar>
            <w:vAlign w:val="top"/>
          </w:tcPr>
          <w:p>
            <w:r>
              <w:rPr>
                <w:rFonts w:ascii="Liberation Sans" w:hAnsi="Liberation Sans"/>
                <w:sz w:val="16"/>
              </w:rPr>
              <w:t>Models</w:t>
            </w:r>
          </w:p>
        </w:tc>
        <w:tc>
          <w:tcPr>
            <w:tcW w:type="dxa" w:w="7540"/>
            <w:tcMar>
              <w:top w:w="85" w:type="dxa"/>
              <w:start w:w="110" w:type="dxa"/>
              <w:bottom w:w="85" w:type="dxa"/>
              <w:end w:w="110" w:type="dxa"/>
            </w:tcMar>
            <w:vAlign w:val="top"/>
          </w:tcPr>
          <w:p>
            <w:r>
              <w:t>Semilog OLS + XGBoost. XGBoost uses a broader, decoupled and pre-frozen nested tuning design with the same search budget across feature blocks. One spatial-error robustness model if diagnostics justify it.</w:t>
            </w:r>
          </w:p>
        </w:tc>
      </w:tr>
      <w:tr>
        <w:trPr>
          <w:cantSplit/>
        </w:trPr>
        <w:tc>
          <w:tcPr>
            <w:tcW w:type="dxa" w:w="2268"/>
            <w:tcMar>
              <w:top w:w="85" w:type="dxa"/>
              <w:start w:w="110" w:type="dxa"/>
              <w:bottom w:w="85" w:type="dxa"/>
              <w:end w:w="110" w:type="dxa"/>
            </w:tcMar>
            <w:vAlign w:val="top"/>
          </w:tcPr>
          <w:p>
            <w:r>
              <w:rPr>
                <w:rFonts w:ascii="Liberation Sans" w:hAnsi="Liberation Sans"/>
                <w:sz w:val="16"/>
              </w:rPr>
              <w:t>Validation</w:t>
            </w:r>
          </w:p>
        </w:tc>
        <w:tc>
          <w:tcPr>
            <w:tcW w:type="dxa" w:w="7540"/>
            <w:tcMar>
              <w:top w:w="85" w:type="dxa"/>
              <w:start w:w="110" w:type="dxa"/>
              <w:bottom w:w="85" w:type="dxa"/>
              <w:end w:w="110" w:type="dxa"/>
            </w:tcMar>
            <w:vAlign w:val="top"/>
          </w:tcPr>
          <w:p>
            <w:r>
              <w:t>Random 5-fold CV + leave-one-analysis-area-out validation across the 11 peer analysis areas, contingent on fold adequacy. Buffered, geometric-block, shifted-grid and alternative-block-size CV are robustness checks. Save paired out-of-fold predictions for uncertainty in incremental performance.</w:t>
            </w:r>
          </w:p>
        </w:tc>
      </w:tr>
      <w:tr>
        <w:trPr>
          <w:cantSplit/>
        </w:trPr>
        <w:tc>
          <w:tcPr>
            <w:tcW w:type="dxa" w:w="2268"/>
            <w:tcMar>
              <w:top w:w="85" w:type="dxa"/>
              <w:start w:w="110" w:type="dxa"/>
              <w:bottom w:w="85" w:type="dxa"/>
              <w:end w:w="110" w:type="dxa"/>
            </w:tcMar>
            <w:vAlign w:val="top"/>
          </w:tcPr>
          <w:p>
            <w:r>
              <w:rPr>
                <w:rFonts w:ascii="Liberation Sans" w:hAnsi="Liberation Sans"/>
                <w:sz w:val="16"/>
              </w:rPr>
              <w:t>GTFS</w:t>
            </w:r>
          </w:p>
        </w:tc>
        <w:tc>
          <w:tcPr>
            <w:tcW w:type="dxa" w:w="7540"/>
            <w:tcMar>
              <w:top w:w="85" w:type="dxa"/>
              <w:start w:w="110" w:type="dxa"/>
              <w:bottom w:w="85" w:type="dxa"/>
              <w:end w:w="110" w:type="dxa"/>
            </w:tcMar>
            <w:vAlign w:val="top"/>
          </w:tcPr>
          <w:p>
            <w:r>
              <w:rPr>
                <w:rFonts w:ascii="Liberation Sans" w:hAnsi="Liberation Sans"/>
                <w:sz w:val="16"/>
              </w:rPr>
              <w:t>Optional extension, not required for the strong thesis.</w:t>
            </w:r>
          </w:p>
        </w:tc>
      </w:tr>
      <w:tr>
        <w:trPr>
          <w:cantSplit/>
        </w:trPr>
        <w:tc>
          <w:tcPr>
            <w:tcW w:type="dxa" w:w="2268"/>
            <w:tcMar>
              <w:top w:w="85" w:type="dxa"/>
              <w:start w:w="110" w:type="dxa"/>
              <w:bottom w:w="85" w:type="dxa"/>
              <w:end w:w="110" w:type="dxa"/>
            </w:tcMar>
            <w:vAlign w:val="top"/>
          </w:tcPr>
          <w:p>
            <w:r>
              <w:rPr>
                <w:rFonts w:ascii="Liberation Sans" w:hAnsi="Liberation Sans"/>
                <w:sz w:val="16"/>
              </w:rPr>
              <w:t>TFMs</w:t>
            </w:r>
          </w:p>
        </w:tc>
        <w:tc>
          <w:tcPr>
            <w:tcW w:type="dxa" w:w="7540"/>
            <w:tcMar>
              <w:top w:w="85" w:type="dxa"/>
              <w:start w:w="110" w:type="dxa"/>
              <w:bottom w:w="85" w:type="dxa"/>
              <w:end w:w="110" w:type="dxa"/>
            </w:tcMar>
            <w:vAlign w:val="top"/>
          </w:tcPr>
          <w:p>
            <w:r>
              <w:rPr>
                <w:rFonts w:ascii="Liberation Sans" w:hAnsi="Liberation Sans"/>
                <w:sz w:val="16"/>
              </w:rPr>
              <w:t>TabICLv2 optional predictive benchmark; TabPFN unsupervised imputation optional sensitivity. Neither is required for the strong thesis.</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
              <w:rPr>
                <w:b/>
              </w:rPr>
              <w:t>Analysis-area convention</w:t>
            </w:r>
            <w:r>
              <w:br/>
              <w:t>Copenhagen Municipality officially uses 10 city districts. Frederiksberg is administratively a separate municipality, but in this case study it is treated as one peer urban analysis area alongside the 10 Copenhagen city districts because the research needs a common area unit for context, stratification and leave-one-area-out prediction. Use the neutral term “analysis area” throughout the methods and results. Explain the administrative distinction once in the case-study chapter; do not repeatedly special-case Frederiksberg in the modelling narrative.</w:t>
            </w:r>
          </w:p>
        </w:tc>
      </w:tr>
    </w:tbl>
    <w:p>
      <w:pPr>
        <w:spacing w:after="0"/>
      </w:pPr>
    </w:p>
    <w:p>
      <w:pPr>
        <w:pStyle w:val="Heading1"/>
      </w:pPr>
      <w:r>
        <w:t>2. Version strategy</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644"/>
            <w:shd w:fill="E6EEF2"/>
            <w:tcMar>
              <w:top w:w="85" w:type="dxa"/>
              <w:start w:w="110" w:type="dxa"/>
              <w:bottom w:w="85" w:type="dxa"/>
              <w:end w:w="110" w:type="dxa"/>
            </w:tcMar>
            <w:vAlign w:val="center"/>
          </w:tcPr>
          <w:p>
            <w:r>
              <w:rPr>
                <w:rFonts w:ascii="Liberation Sans" w:hAnsi="Liberation Sans"/>
                <w:b/>
                <w:color w:val="17354A"/>
                <w:sz w:val="16"/>
              </w:rPr>
              <w:t>Version</w:t>
            </w:r>
          </w:p>
        </w:tc>
        <w:tc>
          <w:tcPr>
            <w:tcW w:type="dxa" w:w="5216"/>
            <w:shd w:fill="E6EEF2"/>
            <w:tcMar>
              <w:top w:w="85" w:type="dxa"/>
              <w:start w:w="110" w:type="dxa"/>
              <w:bottom w:w="85" w:type="dxa"/>
              <w:end w:w="110" w:type="dxa"/>
            </w:tcMar>
            <w:vAlign w:val="center"/>
          </w:tcPr>
          <w:p>
            <w:r>
              <w:rPr>
                <w:rFonts w:ascii="Liberation Sans" w:hAnsi="Liberation Sans"/>
                <w:b/>
                <w:color w:val="17354A"/>
                <w:sz w:val="16"/>
              </w:rPr>
              <w:t>Required components</w:t>
            </w:r>
          </w:p>
        </w:tc>
        <w:tc>
          <w:tcPr>
            <w:tcW w:type="dxa" w:w="2948"/>
            <w:shd w:fill="E6EEF2"/>
            <w:tcMar>
              <w:top w:w="85" w:type="dxa"/>
              <w:start w:w="110" w:type="dxa"/>
              <w:bottom w:w="85" w:type="dxa"/>
              <w:end w:w="110" w:type="dxa"/>
            </w:tcMar>
            <w:vAlign w:val="center"/>
          </w:tcPr>
          <w:p>
            <w:r>
              <w:rPr>
                <w:rFonts w:ascii="Liberation Sans" w:hAnsi="Liberation Sans"/>
                <w:b/>
                <w:color w:val="17354A"/>
                <w:sz w:val="16"/>
              </w:rPr>
              <w:t>Purpose / stop rule</w:t>
            </w:r>
          </w:p>
        </w:tc>
      </w:tr>
      <w:tr>
        <w:trPr>
          <w:cantSplit/>
        </w:trPr>
        <w:tc>
          <w:tcPr>
            <w:tcW w:type="dxa" w:w="1644"/>
            <w:tcMar>
              <w:top w:w="85" w:type="dxa"/>
              <w:start w:w="110" w:type="dxa"/>
              <w:bottom w:w="85" w:type="dxa"/>
              <w:end w:w="110" w:type="dxa"/>
            </w:tcMar>
            <w:vAlign w:val="top"/>
          </w:tcPr>
          <w:p>
            <w:r>
              <w:rPr>
                <w:rFonts w:ascii="Liberation Sans" w:hAnsi="Liberation Sans"/>
                <w:sz w:val="16"/>
              </w:rPr>
              <w:t>Minimum viable</w:t>
            </w:r>
          </w:p>
        </w:tc>
        <w:tc>
          <w:tcPr>
            <w:tcW w:type="dxa" w:w="5216"/>
            <w:tcMar>
              <w:top w:w="85" w:type="dxa"/>
              <w:start w:w="110" w:type="dxa"/>
              <w:bottom w:w="85" w:type="dxa"/>
              <w:end w:w="110" w:type="dxa"/>
            </w:tcMar>
            <w:vAlign w:val="top"/>
          </w:tcPr>
          <w:p>
            <w:r>
              <w:t>One Airbnb snapshot; 11 analysis areas; core harmonised area context; OSM walking network; rail/metro/S-train stations + bus stops; entire-home sample; Euclidean + walking-network access; OLS + XGBoost; random and leave-area-out validation.</w:t>
            </w:r>
          </w:p>
        </w:tc>
        <w:tc>
          <w:tcPr>
            <w:tcW w:type="dxa" w:w="2948"/>
            <w:tcMar>
              <w:top w:w="85" w:type="dxa"/>
              <w:start w:w="110" w:type="dxa"/>
              <w:bottom w:w="85" w:type="dxa"/>
              <w:end w:w="110" w:type="dxa"/>
            </w:tcMar>
            <w:vAlign w:val="top"/>
          </w:tcPr>
          <w:p>
            <w:r>
              <w:t>A complete thesis. Area context and bus-stop access are no longer optional; they remain in every rerun of the core analysis.</w:t>
            </w:r>
          </w:p>
        </w:tc>
      </w:tr>
      <w:tr>
        <w:trPr>
          <w:cantSplit/>
        </w:trPr>
        <w:tc>
          <w:tcPr>
            <w:tcW w:type="dxa" w:w="1644"/>
            <w:tcMar>
              <w:top w:w="85" w:type="dxa"/>
              <w:start w:w="110" w:type="dxa"/>
              <w:bottom w:w="85" w:type="dxa"/>
              <w:end w:w="110" w:type="dxa"/>
            </w:tcMar>
            <w:vAlign w:val="top"/>
          </w:tcPr>
          <w:p>
            <w:r>
              <w:rPr>
                <w:rFonts w:ascii="Liberation Sans" w:hAnsi="Liberation Sans"/>
                <w:sz w:val="16"/>
              </w:rPr>
              <w:t>Strong — priority</w:t>
            </w:r>
          </w:p>
        </w:tc>
        <w:tc>
          <w:tcPr>
            <w:tcW w:type="dxa" w:w="5216"/>
            <w:tcMar>
              <w:top w:w="85" w:type="dxa"/>
              <w:start w:w="110" w:type="dxa"/>
              <w:bottom w:w="85" w:type="dxa"/>
              <w:end w:w="110" w:type="dxa"/>
            </w:tcMar>
            <w:vAlign w:val="top"/>
          </w:tcPr>
          <w:p>
            <w:r>
              <w:t>Minimum + transparent missing-data protocol; broader nested XGBoost tuning; paired prediction-error uncertainty; residual spatial diagnostics; 10/15/20-minute and continuous-decay robustness; shifted/geometric/buffered spatial-CV sensitivity; one SEM robustness model if justified.</w:t>
            </w:r>
          </w:p>
        </w:tc>
        <w:tc>
          <w:tcPr>
            <w:tcW w:type="dxa" w:w="2948"/>
            <w:tcMar>
              <w:top w:w="85" w:type="dxa"/>
              <w:start w:w="110" w:type="dxa"/>
              <w:bottom w:w="85" w:type="dxa"/>
              <w:end w:w="110" w:type="dxa"/>
            </w:tcMar>
            <w:vAlign w:val="top"/>
          </w:tcPr>
          <w:p>
            <w:r>
              <w:t>Default target for Version 3. Freeze this specification before rerunning any model. GTFS/TFM additions occur only after the full strong rerun is stable.</w:t>
            </w:r>
          </w:p>
        </w:tc>
      </w:tr>
      <w:tr>
        <w:trPr>
          <w:cantSplit/>
        </w:trPr>
        <w:tc>
          <w:tcPr>
            <w:tcW w:type="dxa" w:w="1644"/>
            <w:tcMar>
              <w:top w:w="85" w:type="dxa"/>
              <w:start w:w="110" w:type="dxa"/>
              <w:bottom w:w="85" w:type="dxa"/>
              <w:end w:w="110" w:type="dxa"/>
            </w:tcMar>
            <w:vAlign w:val="top"/>
          </w:tcPr>
          <w:p>
            <w:r>
              <w:rPr>
                <w:rFonts w:ascii="Liberation Sans" w:hAnsi="Liberation Sans"/>
                <w:sz w:val="16"/>
              </w:rPr>
              <w:t>Stretch 1 — GTFS</w:t>
            </w:r>
          </w:p>
        </w:tc>
        <w:tc>
          <w:tcPr>
            <w:tcW w:type="dxa" w:w="5216"/>
            <w:tcMar>
              <w:top w:w="85" w:type="dxa"/>
              <w:start w:w="110" w:type="dxa"/>
              <w:bottom w:w="85" w:type="dxa"/>
              <w:end w:w="110" w:type="dxa"/>
            </w:tcMar>
            <w:vAlign w:val="top"/>
          </w:tcPr>
          <w:p>
            <w:r>
              <w:rPr>
                <w:rFonts w:ascii="Liberation Sans" w:hAnsi="Liberation Sans"/>
                <w:sz w:val="16"/>
              </w:rPr>
              <w:t>Strong + timetable-based public-transport accessibility using Rejseplanen GTFS if approval/data arrive early enough.</w:t>
            </w:r>
          </w:p>
        </w:tc>
        <w:tc>
          <w:tcPr>
            <w:tcW w:type="dxa" w:w="2948"/>
            <w:tcMar>
              <w:top w:w="85" w:type="dxa"/>
              <w:start w:w="110" w:type="dxa"/>
              <w:bottom w:w="85" w:type="dxa"/>
              <w:end w:w="110" w:type="dxa"/>
            </w:tcMar>
            <w:vAlign w:val="top"/>
          </w:tcPr>
          <w:p>
            <w:r>
              <w:rPr>
                <w:rFonts w:ascii="Liberation Sans" w:hAnsi="Liberation Sans"/>
                <w:sz w:val="16"/>
              </w:rPr>
              <w:t>Add only after the strong dataset and core results are stable.</w:t>
            </w:r>
          </w:p>
        </w:tc>
      </w:tr>
      <w:tr>
        <w:trPr>
          <w:cantSplit/>
        </w:trPr>
        <w:tc>
          <w:tcPr>
            <w:tcW w:type="dxa" w:w="1644"/>
            <w:tcMar>
              <w:top w:w="85" w:type="dxa"/>
              <w:start w:w="110" w:type="dxa"/>
              <w:bottom w:w="85" w:type="dxa"/>
              <w:end w:w="110" w:type="dxa"/>
            </w:tcMar>
            <w:vAlign w:val="top"/>
          </w:tcPr>
          <w:p>
            <w:r>
              <w:rPr>
                <w:rFonts w:ascii="Liberation Sans" w:hAnsi="Liberation Sans"/>
                <w:sz w:val="16"/>
              </w:rPr>
              <w:t>Stretch 2 — modern tabular methods</w:t>
            </w:r>
          </w:p>
        </w:tc>
        <w:tc>
          <w:tcPr>
            <w:tcW w:type="dxa" w:w="5216"/>
            <w:tcMar>
              <w:top w:w="85" w:type="dxa"/>
              <w:start w:w="110" w:type="dxa"/>
              <w:bottom w:w="85" w:type="dxa"/>
              <w:end w:w="110" w:type="dxa"/>
            </w:tcMar>
            <w:vAlign w:val="top"/>
          </w:tcPr>
          <w:p>
            <w:r>
              <w:rPr>
                <w:rFonts w:ascii="Liberation Sans" w:hAnsi="Liberation Sans"/>
                <w:sz w:val="16"/>
              </w:rPr>
              <w:t>Strong + either TabICLv2 predictive benchmark or TabPFN-based imputation sensitivity.</w:t>
            </w:r>
          </w:p>
        </w:tc>
        <w:tc>
          <w:tcPr>
            <w:tcW w:type="dxa" w:w="2948"/>
            <w:tcMar>
              <w:top w:w="85" w:type="dxa"/>
              <w:start w:w="110" w:type="dxa"/>
              <w:bottom w:w="85" w:type="dxa"/>
              <w:end w:w="110" w:type="dxa"/>
            </w:tcMar>
            <w:vAlign w:val="top"/>
          </w:tcPr>
          <w:p>
            <w:r>
              <w:rPr>
                <w:rFonts w:ascii="Liberation Sans" w:hAnsi="Liberation Sans"/>
                <w:sz w:val="16"/>
              </w:rPr>
              <w:t>Optional portfolio/research extension. Do not add both unless the full strong thesis draft already exists.</w:t>
            </w:r>
          </w:p>
        </w:tc>
      </w:tr>
    </w:tbl>
    <w:p>
      <w:pPr>
        <w:spacing w:after="0"/>
      </w:pPr>
    </w:p>
    <w:p>
      <w:pPr>
        <w:pStyle w:val="Heading1"/>
      </w:pPr>
      <w:r>
        <w:t>3. Research questions</w:t>
      </w:r>
    </w:p>
    <w:p>
      <w:pPr>
        <w:spacing w:after="60"/>
        <w:ind w:left="408" w:hanging="312"/>
      </w:pPr>
      <w:r>
        <w:t>1.  RQ1 — Measurement: How do conventional straight-line and walking-network representations of access to rail/metro/S-train stations, bus stops and urban opportunities differ across eligible Airbnb listings in Copenhagen and Frederiksberg?</w:t>
      </w:r>
    </w:p>
    <w:p>
      <w:pPr>
        <w:spacing w:after="60"/>
        <w:ind w:left="408" w:hanging="312"/>
      </w:pPr>
      <w:r>
        <w:t>2.  RQ2 — Incremental value: To what extent do richer accessibility measures add explanatory and predictive information for listed nightly prices beyond property characteristics, host/rental characteristics, core analysis-area socioeconomic context and conventional centrality measures?</w:t>
      </w:r>
    </w:p>
    <w:p>
      <w:pPr>
        <w:spacing w:after="60"/>
        <w:ind w:left="408" w:hanging="312"/>
      </w:pPr>
      <w:r>
        <w:rPr>
          <w:rFonts w:ascii="Liberation Sans" w:hAnsi="Liberation Sans"/>
          <w:b/>
        </w:rPr>
        <w:t xml:space="preserve">3.  </w:t>
      </w:r>
      <w:r>
        <w:rPr>
          <w:rFonts w:ascii="Liberation Sans" w:hAnsi="Liberation Sans"/>
        </w:rPr>
        <w:t>RQ3 — Geographic generalization: How do model performance and the incremental value of accessibility change when prediction is evaluated in geographically unseen urban areas rather than spatially interspersed listings?</w:t>
      </w:r>
    </w:p>
    <w:p>
      <w:r>
        <w:rPr>
          <w:rFonts w:ascii="Liberation Sans" w:hAnsi="Liberation Sans"/>
          <w:b/>
        </w:rPr>
        <w:t xml:space="preserve">Optional GTFS extension: </w:t>
      </w:r>
      <w:r>
        <w:t>If suitable GTFS data are obtained early enough, RQ1/RQ2 gain an additional scheduled-transit accessibility block. The wording of the core RQs does not depend on GTFS.</w:t>
      </w:r>
    </w:p>
    <w:p>
      <w:pPr>
        <w:pStyle w:val="Heading1"/>
      </w:pPr>
      <w:r>
        <w:t>4. Study area and primary population</w:t>
      </w:r>
    </w:p>
    <w:p>
      <w:pPr>
        <w:spacing w:after="50"/>
        <w:ind w:left="397" w:hanging="142"/>
      </w:pPr>
      <w:r>
        <w:t>• Study area: Copenhagen Municipality and Frederiksberg Municipality, if both are contained in the frozen Copenhagen Inside Airbnb extract. The analytical geography consists of 11 peer analysis areas: 10 Copenhagen city districts plus Frederiksberg. Frederiksberg is treated identically for area-context assignment, descriptive reporting and leave-one-area-out validation; the case-study chapter will note that it is administratively a municipality rather than a Copenhagen city district.</w:t>
      </w:r>
    </w:p>
    <w:p>
      <w:pPr>
        <w:spacing w:after="50"/>
        <w:ind w:left="397" w:hanging="142"/>
      </w:pPr>
      <w:r>
        <w:rPr>
          <w:rFonts w:ascii="Liberation Sans" w:hAnsi="Liberation Sans"/>
        </w:rPr>
        <w:t xml:space="preserve">• </w:t>
      </w:r>
      <w:r>
        <w:rPr>
          <w:rFonts w:ascii="Liberation Sans" w:hAnsi="Liberation Sans"/>
          <w:b/>
        </w:rPr>
        <w:t xml:space="preserve">Accessibility extraction area: </w:t>
      </w:r>
      <w:r>
        <w:rPr>
          <w:rFonts w:ascii="Liberation Sans" w:hAnsi="Liberation Sans"/>
        </w:rPr>
        <w:t>OSM network and POIs extend beyond the study boundary by at least the maximum walking catchment so edge listings can reach opportunities outside the administrative boundary.</w:t>
      </w:r>
    </w:p>
    <w:p>
      <w:pPr>
        <w:spacing w:after="50"/>
        <w:ind w:left="397" w:hanging="142"/>
      </w:pPr>
      <w:r>
        <w:rPr>
          <w:rFonts w:ascii="Liberation Sans" w:hAnsi="Liberation Sans"/>
        </w:rPr>
        <w:t xml:space="preserve">• </w:t>
      </w:r>
      <w:r>
        <w:rPr>
          <w:rFonts w:ascii="Liberation Sans" w:hAnsi="Liberation Sans"/>
          <w:b/>
        </w:rPr>
        <w:t xml:space="preserve">Primary product segment: </w:t>
      </w:r>
      <w:r>
        <w:rPr>
          <w:rFonts w:ascii="Liberation Sans" w:hAnsi="Liberation Sans"/>
        </w:rPr>
        <w:t>room_type = Entire home/apt plus conventional residential property types. Retain apartments/condos, houses/townhouses and comparable entire dwellings; exclude private/shared/hotel rooms and clearly unusual property types.</w:t>
      </w:r>
    </w:p>
    <w:p>
      <w:pPr>
        <w:spacing w:after="50"/>
        <w:ind w:left="397" w:hanging="142"/>
      </w:pPr>
      <w:r>
        <w:rPr>
          <w:rFonts w:ascii="Liberation Sans" w:hAnsi="Liberation Sans"/>
        </w:rPr>
        <w:t xml:space="preserve">• </w:t>
      </w:r>
      <w:r>
        <w:rPr>
          <w:rFonts w:ascii="Liberation Sans" w:hAnsi="Liberation Sans"/>
          <w:b/>
        </w:rPr>
        <w:t xml:space="preserve">Primary observation: </w:t>
      </w:r>
      <w:r>
        <w:rPr>
          <w:rFonts w:ascii="Liberation Sans" w:hAnsi="Liberation Sans"/>
        </w:rPr>
        <w:t>one eligible listing in one frozen Inside Airbnb snapshot.</w:t>
      </w:r>
    </w:p>
    <w:p>
      <w:pPr>
        <w:spacing w:after="50"/>
        <w:ind w:left="397" w:hanging="142"/>
      </w:pPr>
      <w:r>
        <w:rPr>
          <w:rFonts w:ascii="Liberation Sans" w:hAnsi="Liberation Sans"/>
        </w:rPr>
        <w:t xml:space="preserve">• </w:t>
      </w:r>
      <w:r>
        <w:rPr>
          <w:rFonts w:ascii="Liberation Sans" w:hAnsi="Liberation Sans"/>
          <w:b/>
        </w:rPr>
        <w:t xml:space="preserve">Robustness populations: </w:t>
      </w:r>
      <w:r>
        <w:rPr>
          <w:rFonts w:ascii="Liberation Sans" w:hAnsi="Liberation Sans"/>
        </w:rPr>
        <w:t>apartment/condo-only; all room types with room-type controls; listings with at least one review.</w:t>
      </w:r>
    </w:p>
    <w:p>
      <w:pPr>
        <w:pStyle w:val="Heading1"/>
      </w:pPr>
      <w:r>
        <w:t>5. Data sources and access status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Source</w:t>
            </w:r>
          </w:p>
        </w:tc>
        <w:tc>
          <w:tcPr>
            <w:tcW w:type="dxa" w:w="3969"/>
            <w:shd w:fill="E6EEF2"/>
            <w:tcMar>
              <w:top w:w="85" w:type="dxa"/>
              <w:start w:w="110" w:type="dxa"/>
              <w:bottom w:w="85" w:type="dxa"/>
              <w:end w:w="110" w:type="dxa"/>
            </w:tcMar>
            <w:vAlign w:val="center"/>
          </w:tcPr>
          <w:p>
            <w:r>
              <w:rPr>
                <w:rFonts w:ascii="Liberation Sans" w:hAnsi="Liberation Sans"/>
                <w:b/>
                <w:color w:val="17354A"/>
                <w:sz w:val="16"/>
              </w:rPr>
              <w:t>Core use</w:t>
            </w:r>
          </w:p>
        </w:tc>
        <w:tc>
          <w:tcPr>
            <w:tcW w:type="dxa" w:w="3458"/>
            <w:shd w:fill="E6EEF2"/>
            <w:tcMar>
              <w:top w:w="85" w:type="dxa"/>
              <w:start w:w="110" w:type="dxa"/>
              <w:bottom w:w="85" w:type="dxa"/>
              <w:end w:w="110" w:type="dxa"/>
            </w:tcMar>
            <w:vAlign w:val="center"/>
          </w:tcPr>
          <w:p>
            <w:r>
              <w:rPr>
                <w:rFonts w:ascii="Liberation Sans" w:hAnsi="Liberation Sans"/>
                <w:b/>
                <w:color w:val="17354A"/>
                <w:sz w:val="16"/>
              </w:rPr>
              <w:t>Status / caveat</w:t>
            </w:r>
          </w:p>
        </w:tc>
      </w:tr>
      <w:tr>
        <w:trPr>
          <w:cantSplit/>
        </w:trPr>
        <w:tc>
          <w:tcPr>
            <w:tcW w:type="dxa" w:w="2381"/>
            <w:tcMar>
              <w:top w:w="85" w:type="dxa"/>
              <w:start w:w="110" w:type="dxa"/>
              <w:bottom w:w="85" w:type="dxa"/>
              <w:end w:w="110" w:type="dxa"/>
            </w:tcMar>
            <w:vAlign w:val="top"/>
          </w:tcPr>
          <w:p>
            <w:r>
              <w:rPr>
                <w:rFonts w:ascii="Liberation Sans" w:hAnsi="Liberation Sans"/>
                <w:sz w:val="16"/>
              </w:rPr>
              <w:t>Inside Airbnb — Copenhagen</w:t>
            </w:r>
          </w:p>
        </w:tc>
        <w:tc>
          <w:tcPr>
            <w:tcW w:type="dxa" w:w="3969"/>
            <w:tcMar>
              <w:top w:w="85" w:type="dxa"/>
              <w:start w:w="110" w:type="dxa"/>
              <w:bottom w:w="85" w:type="dxa"/>
              <w:end w:w="110" w:type="dxa"/>
            </w:tcMar>
            <w:vAlign w:val="top"/>
          </w:tcPr>
          <w:p>
            <w:r>
              <w:rPr>
                <w:rFonts w:ascii="Liberation Sans" w:hAnsi="Liberation Sans"/>
                <w:sz w:val="16"/>
              </w:rPr>
              <w:t>Listings, listed price, property/host/rental variables, reviews for robustness, neighbourhood files.</w:t>
            </w:r>
          </w:p>
        </w:tc>
        <w:tc>
          <w:tcPr>
            <w:tcW w:type="dxa" w:w="3458"/>
            <w:tcMar>
              <w:top w:w="85" w:type="dxa"/>
              <w:start w:w="110" w:type="dxa"/>
              <w:bottom w:w="85" w:type="dxa"/>
              <w:end w:w="110" w:type="dxa"/>
            </w:tcMar>
            <w:vAlign w:val="top"/>
          </w:tcPr>
          <w:p>
            <w:r>
              <w:rPr>
                <w:rFonts w:ascii="Liberation Sans" w:hAnsi="Liberation Sans"/>
                <w:sz w:val="16"/>
              </w:rPr>
              <w:t>Current free page provides quarterly data for the prior year; freeze one snapshot and record date/checksum.</w:t>
            </w:r>
          </w:p>
        </w:tc>
      </w:tr>
      <w:tr>
        <w:trPr>
          <w:cantSplit/>
        </w:trPr>
        <w:tc>
          <w:tcPr>
            <w:tcW w:type="dxa" w:w="2381"/>
            <w:tcMar>
              <w:top w:w="85" w:type="dxa"/>
              <w:start w:w="110" w:type="dxa"/>
              <w:bottom w:w="85" w:type="dxa"/>
              <w:end w:w="110" w:type="dxa"/>
            </w:tcMar>
            <w:vAlign w:val="top"/>
          </w:tcPr>
          <w:p>
            <w:r>
              <w:rPr>
                <w:rFonts w:ascii="Liberation Sans" w:hAnsi="Liberation Sans"/>
                <w:sz w:val="16"/>
              </w:rPr>
              <w:t>OpenStreetMap</w:t>
            </w:r>
          </w:p>
        </w:tc>
        <w:tc>
          <w:tcPr>
            <w:tcW w:type="dxa" w:w="3969"/>
            <w:tcMar>
              <w:top w:w="85" w:type="dxa"/>
              <w:start w:w="110" w:type="dxa"/>
              <w:bottom w:w="85" w:type="dxa"/>
              <w:end w:w="110" w:type="dxa"/>
            </w:tcMar>
            <w:vAlign w:val="top"/>
          </w:tcPr>
          <w:p>
            <w:r>
              <w:t>Walking network; rail/metro/S-train stations; bus stops; food/social and cultural/tourist POIs; parks/selected destinations.</w:t>
            </w:r>
          </w:p>
        </w:tc>
        <w:tc>
          <w:tcPr>
            <w:tcW w:type="dxa" w:w="3458"/>
            <w:tcMar>
              <w:top w:w="85" w:type="dxa"/>
              <w:start w:w="110" w:type="dxa"/>
              <w:bottom w:w="85" w:type="dxa"/>
              <w:end w:w="110" w:type="dxa"/>
            </w:tcMar>
            <w:vAlign w:val="top"/>
          </w:tcPr>
          <w:p>
            <w:r>
              <w:t>Core source. Cache raw extracts; freeze station, bus-stop and POI tag taxonomies; deduplicate point/platform/stop-position representations before modelling.</w:t>
            </w:r>
          </w:p>
        </w:tc>
      </w:tr>
      <w:tr>
        <w:trPr>
          <w:cantSplit/>
        </w:trPr>
        <w:tc>
          <w:tcPr>
            <w:tcW w:type="dxa" w:w="2381"/>
            <w:tcMar>
              <w:top w:w="85" w:type="dxa"/>
              <w:start w:w="110" w:type="dxa"/>
              <w:bottom w:w="85" w:type="dxa"/>
              <w:end w:w="110" w:type="dxa"/>
            </w:tcMar>
            <w:vAlign w:val="top"/>
          </w:tcPr>
          <w:p>
            <w:r>
              <w:t>Harmonised 11-analysis-area statistics</w:t>
            </w:r>
          </w:p>
        </w:tc>
        <w:tc>
          <w:tcPr>
            <w:tcW w:type="dxa" w:w="3969"/>
            <w:tcMar>
              <w:top w:w="85" w:type="dxa"/>
              <w:start w:w="110" w:type="dxa"/>
              <w:bottom w:w="85" w:type="dxa"/>
              <w:end w:w="110" w:type="dxa"/>
            </w:tcMar>
            <w:vAlign w:val="top"/>
          </w:tcPr>
          <w:p>
            <w:r>
              <w:t>Core population density, income and analysis-area boundaries.</w:t>
            </w:r>
          </w:p>
        </w:tc>
        <w:tc>
          <w:tcPr>
            <w:tcW w:type="dxa" w:w="3458"/>
            <w:tcMar>
              <w:top w:w="85" w:type="dxa"/>
              <w:start w:w="110" w:type="dxa"/>
              <w:bottom w:w="85" w:type="dxa"/>
              <w:end w:w="110" w:type="dxa"/>
            </w:tcMar>
            <w:vAlign w:val="top"/>
          </w:tcPr>
          <w:p>
            <w:r>
              <w:t>Use comparable definitions/reference periods across all 11 areas. If raw statistics are finer, aggregate consistently to the analysis-area geography. Do not special-case Frederiksberg with a separate primary-model indicator.</w:t>
            </w:r>
          </w:p>
        </w:tc>
      </w:tr>
      <w:tr>
        <w:trPr>
          <w:cantSplit/>
        </w:trPr>
        <w:tc>
          <w:tcPr>
            <w:tcW w:type="dxa" w:w="2381"/>
            <w:tcMar>
              <w:top w:w="85" w:type="dxa"/>
              <w:start w:w="110" w:type="dxa"/>
              <w:bottom w:w="85" w:type="dxa"/>
              <w:end w:w="110" w:type="dxa"/>
            </w:tcMar>
            <w:vAlign w:val="top"/>
          </w:tcPr>
          <w:p>
            <w:r>
              <w:rPr>
                <w:rFonts w:ascii="Liberation Sans" w:hAnsi="Liberation Sans"/>
                <w:sz w:val="16"/>
              </w:rPr>
              <w:t>Rejseplanen Labs GTFS Schedule/Static</w:t>
            </w:r>
          </w:p>
        </w:tc>
        <w:tc>
          <w:tcPr>
            <w:tcW w:type="dxa" w:w="3969"/>
            <w:tcMar>
              <w:top w:w="85" w:type="dxa"/>
              <w:start w:w="110" w:type="dxa"/>
              <w:bottom w:w="85" w:type="dxa"/>
              <w:end w:w="110" w:type="dxa"/>
            </w:tcMar>
            <w:vAlign w:val="top"/>
          </w:tcPr>
          <w:p>
            <w:r>
              <w:rPr>
                <w:rFonts w:ascii="Liberation Sans" w:hAnsi="Liberation Sans"/>
                <w:sz w:val="16"/>
              </w:rPr>
              <w:t>Optional scheduled-transit accessibility.</w:t>
            </w:r>
          </w:p>
        </w:tc>
        <w:tc>
          <w:tcPr>
            <w:tcW w:type="dxa" w:w="3458"/>
            <w:tcMar>
              <w:top w:w="85" w:type="dxa"/>
              <w:start w:w="110" w:type="dxa"/>
              <w:bottom w:w="85" w:type="dxa"/>
              <w:end w:w="110" w:type="dxa"/>
            </w:tcMar>
            <w:vAlign w:val="top"/>
          </w:tcPr>
          <w:p>
            <w:r>
              <w:rPr>
                <w:rFonts w:ascii="Liberation Sans" w:hAnsi="Liberation Sans"/>
                <w:sz w:val="16"/>
              </w:rPr>
              <w:t>Free after request; static scheduled data, updated about every 14 days; historical archive since 2025-12-15. Thesis must remain viable without approval.</w:t>
            </w:r>
          </w:p>
        </w:tc>
      </w:tr>
      <w:tr>
        <w:trPr>
          <w:cantSplit/>
        </w:trPr>
        <w:tc>
          <w:tcPr>
            <w:tcW w:type="dxa" w:w="2381"/>
            <w:tcMar>
              <w:top w:w="85" w:type="dxa"/>
              <w:start w:w="110" w:type="dxa"/>
              <w:bottom w:w="85" w:type="dxa"/>
              <w:end w:w="110" w:type="dxa"/>
            </w:tcMar>
            <w:vAlign w:val="top"/>
          </w:tcPr>
          <w:p>
            <w:r>
              <w:t>Rejseplanen stop data</w:t>
            </w:r>
          </w:p>
        </w:tc>
        <w:tc>
          <w:tcPr>
            <w:tcW w:type="dxa" w:w="3969"/>
            <w:tcMar>
              <w:top w:w="85" w:type="dxa"/>
              <w:start w:w="110" w:type="dxa"/>
              <w:bottom w:w="85" w:type="dxa"/>
              <w:end w:w="110" w:type="dxa"/>
            </w:tcMar>
            <w:vAlign w:val="top"/>
          </w:tcPr>
          <w:p>
            <w:r>
              <w:t>Optional quality cross-check / replacement reference for public-transport stops if needed; not required for the core bus-stop feature.</w:t>
            </w:r>
          </w:p>
        </w:tc>
        <w:tc>
          <w:tcPr>
            <w:tcW w:type="dxa" w:w="3458"/>
            <w:tcMar>
              <w:top w:w="85" w:type="dxa"/>
              <w:start w:w="110" w:type="dxa"/>
              <w:bottom w:w="85" w:type="dxa"/>
              <w:end w:w="110" w:type="dxa"/>
            </w:tcMar>
            <w:vAlign w:val="top"/>
          </w:tcPr>
          <w:p>
            <w:r>
              <w:t>Request-based. OSM remains the default core source unless a pre-documented quality problem requires a consistent alternative stop layer.</w:t>
            </w:r>
          </w:p>
        </w:tc>
      </w:tr>
    </w:tbl>
    <w:p>
      <w:pPr>
        <w:spacing w:after="0"/>
      </w:pPr>
    </w:p>
    <w:p>
      <w:pPr>
        <w:pStyle w:val="Heading1"/>
      </w:pPr>
      <w:r>
        <w:t>6. Sample construction rules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871"/>
            <w:shd w:fill="E6EEF2"/>
            <w:tcMar>
              <w:top w:w="85" w:type="dxa"/>
              <w:start w:w="110" w:type="dxa"/>
              <w:bottom w:w="85" w:type="dxa"/>
              <w:end w:w="110" w:type="dxa"/>
            </w:tcMar>
            <w:vAlign w:val="center"/>
          </w:tcPr>
          <w:p>
            <w:r>
              <w:rPr>
                <w:rFonts w:ascii="Liberation Sans" w:hAnsi="Liberation Sans"/>
                <w:b/>
                <w:color w:val="17354A"/>
                <w:sz w:val="16"/>
              </w:rPr>
              <w:t>Rule</w:t>
            </w:r>
          </w:p>
        </w:tc>
        <w:tc>
          <w:tcPr>
            <w:tcW w:type="dxa" w:w="3118"/>
            <w:shd w:fill="E6EEF2"/>
            <w:tcMar>
              <w:top w:w="85" w:type="dxa"/>
              <w:start w:w="110" w:type="dxa"/>
              <w:bottom w:w="85" w:type="dxa"/>
              <w:end w:w="110" w:type="dxa"/>
            </w:tcMar>
            <w:vAlign w:val="center"/>
          </w:tcPr>
          <w:p>
            <w:r>
              <w:rPr>
                <w:rFonts w:ascii="Liberation Sans" w:hAnsi="Liberation Sans"/>
                <w:b/>
                <w:color w:val="17354A"/>
                <w:sz w:val="16"/>
              </w:rPr>
              <w:t>Primary decision</w:t>
            </w:r>
          </w:p>
        </w:tc>
        <w:tc>
          <w:tcPr>
            <w:tcW w:type="dxa" w:w="4876"/>
            <w:shd w:fill="E6EEF2"/>
            <w:tcMar>
              <w:top w:w="85" w:type="dxa"/>
              <w:start w:w="110" w:type="dxa"/>
              <w:bottom w:w="85" w:type="dxa"/>
              <w:end w:w="110" w:type="dxa"/>
            </w:tcMar>
            <w:vAlign w:val="center"/>
          </w:tcPr>
          <w:p>
            <w:r>
              <w:rPr>
                <w:rFonts w:ascii="Liberation Sans" w:hAnsi="Liberation Sans"/>
                <w:b/>
                <w:color w:val="17354A"/>
                <w:sz w:val="16"/>
              </w:rPr>
              <w:t>Reason / sensitivity</w:t>
            </w:r>
          </w:p>
        </w:tc>
      </w:tr>
      <w:tr>
        <w:trPr>
          <w:cantSplit/>
        </w:trPr>
        <w:tc>
          <w:tcPr>
            <w:tcW w:type="dxa" w:w="1871"/>
            <w:tcMar>
              <w:top w:w="85" w:type="dxa"/>
              <w:start w:w="110" w:type="dxa"/>
              <w:bottom w:w="85" w:type="dxa"/>
              <w:end w:w="110" w:type="dxa"/>
            </w:tcMar>
            <w:vAlign w:val="top"/>
          </w:tcPr>
          <w:p>
            <w:r>
              <w:rPr>
                <w:rFonts w:ascii="Liberation Sans" w:hAnsi="Liberation Sans"/>
                <w:sz w:val="16"/>
              </w:rPr>
              <w:t>Geography</w:t>
            </w:r>
          </w:p>
        </w:tc>
        <w:tc>
          <w:tcPr>
            <w:tcW w:type="dxa" w:w="3118"/>
            <w:tcMar>
              <w:top w:w="85" w:type="dxa"/>
              <w:start w:w="110" w:type="dxa"/>
              <w:bottom w:w="85" w:type="dxa"/>
              <w:end w:w="110" w:type="dxa"/>
            </w:tcMar>
            <w:vAlign w:val="top"/>
          </w:tcPr>
          <w:p>
            <w:r>
              <w:rPr>
                <w:rFonts w:ascii="Liberation Sans" w:hAnsi="Liberation Sans"/>
                <w:sz w:val="16"/>
              </w:rPr>
              <w:t>Copenhagen + Frederiksberg</w:t>
            </w:r>
          </w:p>
        </w:tc>
        <w:tc>
          <w:tcPr>
            <w:tcW w:type="dxa" w:w="4876"/>
            <w:tcMar>
              <w:top w:w="85" w:type="dxa"/>
              <w:start w:w="110" w:type="dxa"/>
              <w:bottom w:w="85" w:type="dxa"/>
              <w:end w:w="110" w:type="dxa"/>
            </w:tcMar>
            <w:vAlign w:val="top"/>
          </w:tcPr>
          <w:p>
            <w:r>
              <w:rPr>
                <w:rFonts w:ascii="Liberation Sans" w:hAnsi="Liberation Sans"/>
                <w:sz w:val="16"/>
              </w:rPr>
              <w:t>Continuous urban market; report boundary coverage explicitly.</w:t>
            </w:r>
          </w:p>
        </w:tc>
      </w:tr>
      <w:tr>
        <w:trPr>
          <w:cantSplit/>
        </w:trPr>
        <w:tc>
          <w:tcPr>
            <w:tcW w:type="dxa" w:w="1871"/>
            <w:tcMar>
              <w:top w:w="85" w:type="dxa"/>
              <w:start w:w="110" w:type="dxa"/>
              <w:bottom w:w="85" w:type="dxa"/>
              <w:end w:w="110" w:type="dxa"/>
            </w:tcMar>
            <w:vAlign w:val="top"/>
          </w:tcPr>
          <w:p>
            <w:r>
              <w:rPr>
                <w:rFonts w:ascii="Liberation Sans" w:hAnsi="Liberation Sans"/>
                <w:sz w:val="16"/>
              </w:rPr>
              <w:t>Room type</w:t>
            </w:r>
          </w:p>
        </w:tc>
        <w:tc>
          <w:tcPr>
            <w:tcW w:type="dxa" w:w="3118"/>
            <w:tcMar>
              <w:top w:w="85" w:type="dxa"/>
              <w:start w:w="110" w:type="dxa"/>
              <w:bottom w:w="85" w:type="dxa"/>
              <w:end w:w="110" w:type="dxa"/>
            </w:tcMar>
            <w:vAlign w:val="top"/>
          </w:tcPr>
          <w:p>
            <w:r>
              <w:rPr>
                <w:rFonts w:ascii="Liberation Sans" w:hAnsi="Liberation Sans"/>
                <w:sz w:val="16"/>
              </w:rPr>
              <w:t>Entire home/apt</w:t>
            </w:r>
          </w:p>
        </w:tc>
        <w:tc>
          <w:tcPr>
            <w:tcW w:type="dxa" w:w="4876"/>
            <w:tcMar>
              <w:top w:w="85" w:type="dxa"/>
              <w:start w:w="110" w:type="dxa"/>
              <w:bottom w:w="85" w:type="dxa"/>
              <w:end w:w="110" w:type="dxa"/>
            </w:tcMar>
            <w:vAlign w:val="top"/>
          </w:tcPr>
          <w:p>
            <w:r>
              <w:rPr>
                <w:rFonts w:ascii="Liberation Sans" w:hAnsi="Liberation Sans"/>
                <w:sz w:val="16"/>
              </w:rPr>
              <w:t>Reduces product heterogeneity.</w:t>
            </w:r>
          </w:p>
        </w:tc>
      </w:tr>
      <w:tr>
        <w:trPr>
          <w:cantSplit/>
        </w:trPr>
        <w:tc>
          <w:tcPr>
            <w:tcW w:type="dxa" w:w="1871"/>
            <w:tcMar>
              <w:top w:w="85" w:type="dxa"/>
              <w:start w:w="110" w:type="dxa"/>
              <w:bottom w:w="85" w:type="dxa"/>
              <w:end w:w="110" w:type="dxa"/>
            </w:tcMar>
            <w:vAlign w:val="top"/>
          </w:tcPr>
          <w:p>
            <w:r>
              <w:rPr>
                <w:rFonts w:ascii="Liberation Sans" w:hAnsi="Liberation Sans"/>
                <w:sz w:val="16"/>
              </w:rPr>
              <w:t>Property type</w:t>
            </w:r>
          </w:p>
        </w:tc>
        <w:tc>
          <w:tcPr>
            <w:tcW w:type="dxa" w:w="3118"/>
            <w:tcMar>
              <w:top w:w="85" w:type="dxa"/>
              <w:start w:w="110" w:type="dxa"/>
              <w:bottom w:w="85" w:type="dxa"/>
              <w:end w:w="110" w:type="dxa"/>
            </w:tcMar>
            <w:vAlign w:val="top"/>
          </w:tcPr>
          <w:p>
            <w:r>
              <w:rPr>
                <w:rFonts w:ascii="Liberation Sans" w:hAnsi="Liberation Sans"/>
                <w:sz w:val="16"/>
              </w:rPr>
              <w:t>Conventional entire dwellings</w:t>
            </w:r>
          </w:p>
        </w:tc>
        <w:tc>
          <w:tcPr>
            <w:tcW w:type="dxa" w:w="4876"/>
            <w:tcMar>
              <w:top w:w="85" w:type="dxa"/>
              <w:start w:w="110" w:type="dxa"/>
              <w:bottom w:w="85" w:type="dxa"/>
              <w:end w:w="110" w:type="dxa"/>
            </w:tcMar>
            <w:vAlign w:val="top"/>
          </w:tcPr>
          <w:p>
            <w:r>
              <w:rPr>
                <w:rFonts w:ascii="Liberation Sans" w:hAnsi="Liberation Sans"/>
                <w:sz w:val="16"/>
              </w:rPr>
              <w:t>Exclude unusual accommodation; apartment-only is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Reviews</w:t>
            </w:r>
          </w:p>
        </w:tc>
        <w:tc>
          <w:tcPr>
            <w:tcW w:type="dxa" w:w="3118"/>
            <w:tcMar>
              <w:top w:w="85" w:type="dxa"/>
              <w:start w:w="110" w:type="dxa"/>
              <w:bottom w:w="85" w:type="dxa"/>
              <w:end w:w="110" w:type="dxa"/>
            </w:tcMar>
            <w:vAlign w:val="top"/>
          </w:tcPr>
          <w:p>
            <w:r>
              <w:rPr>
                <w:rFonts w:ascii="Liberation Sans" w:hAnsi="Liberation Sans"/>
                <w:sz w:val="16"/>
              </w:rPr>
              <w:t>No minimum review count</w:t>
            </w:r>
          </w:p>
        </w:tc>
        <w:tc>
          <w:tcPr>
            <w:tcW w:type="dxa" w:w="4876"/>
            <w:tcMar>
              <w:top w:w="85" w:type="dxa"/>
              <w:start w:w="110" w:type="dxa"/>
              <w:bottom w:w="85" w:type="dxa"/>
              <w:end w:w="110" w:type="dxa"/>
            </w:tcMar>
            <w:vAlign w:val="top"/>
          </w:tcPr>
          <w:p>
            <w:r>
              <w:rPr>
                <w:rFonts w:ascii="Liberation Sans" w:hAnsi="Liberation Sans"/>
                <w:sz w:val="16"/>
              </w:rPr>
              <w:t>Avoid selecting only established/active listings; reviewed-only is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Price</w:t>
            </w:r>
          </w:p>
        </w:tc>
        <w:tc>
          <w:tcPr>
            <w:tcW w:type="dxa" w:w="3118"/>
            <w:tcMar>
              <w:top w:w="85" w:type="dxa"/>
              <w:start w:w="110" w:type="dxa"/>
              <w:bottom w:w="85" w:type="dxa"/>
              <w:end w:w="110" w:type="dxa"/>
            </w:tcMar>
            <w:vAlign w:val="top"/>
          </w:tcPr>
          <w:p>
            <w:r>
              <w:rPr>
                <w:rFonts w:ascii="Liberation Sans" w:hAnsi="Liberation Sans"/>
                <w:sz w:val="16"/>
              </w:rPr>
              <w:t>Positive, parseable listed nightly price required</w:t>
            </w:r>
          </w:p>
        </w:tc>
        <w:tc>
          <w:tcPr>
            <w:tcW w:type="dxa" w:w="4876"/>
            <w:tcMar>
              <w:top w:w="85" w:type="dxa"/>
              <w:start w:w="110" w:type="dxa"/>
              <w:bottom w:w="85" w:type="dxa"/>
              <w:end w:w="110" w:type="dxa"/>
            </w:tcMar>
            <w:vAlign w:val="top"/>
          </w:tcPr>
          <w:p>
            <w:r>
              <w:rPr>
                <w:rFonts w:ascii="Liberation Sans" w:hAnsi="Liberation Sans"/>
                <w:sz w:val="16"/>
              </w:rPr>
              <w:t>Outcome cannot be missing in the primary price model.</w:t>
            </w:r>
          </w:p>
        </w:tc>
      </w:tr>
      <w:tr>
        <w:trPr>
          <w:cantSplit/>
        </w:trPr>
        <w:tc>
          <w:tcPr>
            <w:tcW w:type="dxa" w:w="1871"/>
            <w:tcMar>
              <w:top w:w="85" w:type="dxa"/>
              <w:start w:w="110" w:type="dxa"/>
              <w:bottom w:w="85" w:type="dxa"/>
              <w:end w:w="110" w:type="dxa"/>
            </w:tcMar>
            <w:vAlign w:val="top"/>
          </w:tcPr>
          <w:p>
            <w:r>
              <w:rPr>
                <w:rFonts w:ascii="Liberation Sans" w:hAnsi="Liberation Sans"/>
                <w:sz w:val="16"/>
              </w:rPr>
              <w:t>Coordinates</w:t>
            </w:r>
          </w:p>
        </w:tc>
        <w:tc>
          <w:tcPr>
            <w:tcW w:type="dxa" w:w="3118"/>
            <w:tcMar>
              <w:top w:w="85" w:type="dxa"/>
              <w:start w:w="110" w:type="dxa"/>
              <w:bottom w:w="85" w:type="dxa"/>
              <w:end w:w="110" w:type="dxa"/>
            </w:tcMar>
            <w:vAlign w:val="top"/>
          </w:tcPr>
          <w:p>
            <w:r>
              <w:rPr>
                <w:rFonts w:ascii="Liberation Sans" w:hAnsi="Liberation Sans"/>
                <w:sz w:val="16"/>
              </w:rPr>
              <w:t>Valid coordinates required</w:t>
            </w:r>
          </w:p>
        </w:tc>
        <w:tc>
          <w:tcPr>
            <w:tcW w:type="dxa" w:w="4876"/>
            <w:tcMar>
              <w:top w:w="85" w:type="dxa"/>
              <w:start w:w="110" w:type="dxa"/>
              <w:bottom w:w="85" w:type="dxa"/>
              <w:end w:w="110" w:type="dxa"/>
            </w:tcMar>
            <w:vAlign w:val="top"/>
          </w:tcPr>
          <w:p>
            <w:r>
              <w:rPr>
                <w:rFonts w:ascii="Liberation Sans" w:hAnsi="Liberation Sans"/>
                <w:sz w:val="16"/>
              </w:rPr>
              <w:t>Needed for all spatial features.</w:t>
            </w:r>
          </w:p>
        </w:tc>
      </w:tr>
      <w:tr>
        <w:trPr>
          <w:cantSplit/>
        </w:trPr>
        <w:tc>
          <w:tcPr>
            <w:tcW w:type="dxa" w:w="1871"/>
            <w:tcMar>
              <w:top w:w="85" w:type="dxa"/>
              <w:start w:w="110" w:type="dxa"/>
              <w:bottom w:w="85" w:type="dxa"/>
              <w:end w:w="110" w:type="dxa"/>
            </w:tcMar>
            <w:vAlign w:val="top"/>
          </w:tcPr>
          <w:p>
            <w:r>
              <w:rPr>
                <w:rFonts w:ascii="Liberation Sans" w:hAnsi="Liberation Sans"/>
                <w:sz w:val="16"/>
              </w:rPr>
              <w:t>Availability</w:t>
            </w:r>
          </w:p>
        </w:tc>
        <w:tc>
          <w:tcPr>
            <w:tcW w:type="dxa" w:w="3118"/>
            <w:tcMar>
              <w:top w:w="85" w:type="dxa"/>
              <w:start w:w="110" w:type="dxa"/>
              <w:bottom w:w="85" w:type="dxa"/>
              <w:end w:w="110" w:type="dxa"/>
            </w:tcMar>
            <w:vAlign w:val="top"/>
          </w:tcPr>
          <w:p>
            <w:r>
              <w:rPr>
                <w:rFonts w:ascii="Liberation Sans" w:hAnsi="Liberation Sans"/>
                <w:sz w:val="16"/>
              </w:rPr>
              <w:t>No minimum availability rule</w:t>
            </w:r>
          </w:p>
        </w:tc>
        <w:tc>
          <w:tcPr>
            <w:tcW w:type="dxa" w:w="4876"/>
            <w:tcMar>
              <w:top w:w="85" w:type="dxa"/>
              <w:start w:w="110" w:type="dxa"/>
              <w:bottom w:w="85" w:type="dxa"/>
              <w:end w:w="110" w:type="dxa"/>
            </w:tcMar>
            <w:vAlign w:val="top"/>
          </w:tcPr>
          <w:p>
            <w:r>
              <w:rPr>
                <w:rFonts w:ascii="Liberation Sans" w:hAnsi="Liberation Sans"/>
                <w:sz w:val="16"/>
              </w:rPr>
              <w:t>Blocked dates are not equivalent to bookings.</w:t>
            </w:r>
          </w:p>
        </w:tc>
      </w:tr>
      <w:tr>
        <w:trPr>
          <w:cantSplit/>
        </w:trPr>
        <w:tc>
          <w:tcPr>
            <w:tcW w:type="dxa" w:w="1871"/>
            <w:tcMar>
              <w:top w:w="85" w:type="dxa"/>
              <w:start w:w="110" w:type="dxa"/>
              <w:bottom w:w="85" w:type="dxa"/>
              <w:end w:w="110" w:type="dxa"/>
            </w:tcMar>
            <w:vAlign w:val="top"/>
          </w:tcPr>
          <w:p>
            <w:r>
              <w:rPr>
                <w:rFonts w:ascii="Liberation Sans" w:hAnsi="Liberation Sans"/>
                <w:sz w:val="16"/>
              </w:rPr>
              <w:t>Capacity</w:t>
            </w:r>
          </w:p>
        </w:tc>
        <w:tc>
          <w:tcPr>
            <w:tcW w:type="dxa" w:w="3118"/>
            <w:tcMar>
              <w:top w:w="85" w:type="dxa"/>
              <w:start w:w="110" w:type="dxa"/>
              <w:bottom w:w="85" w:type="dxa"/>
              <w:end w:w="110" w:type="dxa"/>
            </w:tcMar>
            <w:vAlign w:val="top"/>
          </w:tcPr>
          <w:p>
            <w:r>
              <w:rPr>
                <w:rFonts w:ascii="Liberation Sans" w:hAnsi="Liberation Sans"/>
                <w:sz w:val="16"/>
              </w:rPr>
              <w:t>No arbitrary max in primary sample</w:t>
            </w:r>
          </w:p>
        </w:tc>
        <w:tc>
          <w:tcPr>
            <w:tcW w:type="dxa" w:w="4876"/>
            <w:tcMar>
              <w:top w:w="85" w:type="dxa"/>
              <w:start w:w="110" w:type="dxa"/>
              <w:bottom w:w="85" w:type="dxa"/>
              <w:end w:w="110" w:type="dxa"/>
            </w:tcMar>
            <w:vAlign w:val="top"/>
          </w:tcPr>
          <w:p>
            <w:r>
              <w:rPr>
                <w:rFonts w:ascii="Liberation Sans" w:hAnsi="Liberation Sans"/>
                <w:sz w:val="16"/>
              </w:rPr>
              <w:t>Inspect extremes; sensitivity if extreme capacity drives results.</w:t>
            </w:r>
          </w:p>
        </w:tc>
      </w:tr>
      <w:tr>
        <w:trPr>
          <w:cantSplit/>
        </w:trPr>
        <w:tc>
          <w:tcPr>
            <w:tcW w:type="dxa" w:w="1871"/>
            <w:tcMar>
              <w:top w:w="85" w:type="dxa"/>
              <w:start w:w="110" w:type="dxa"/>
              <w:bottom w:w="85" w:type="dxa"/>
              <w:end w:w="110" w:type="dxa"/>
            </w:tcMar>
            <w:vAlign w:val="top"/>
          </w:tcPr>
          <w:p>
            <w:r>
              <w:rPr>
                <w:rFonts w:ascii="Liberation Sans" w:hAnsi="Liberation Sans"/>
                <w:sz w:val="16"/>
              </w:rPr>
              <w:t>Minimum nights</w:t>
            </w:r>
          </w:p>
        </w:tc>
        <w:tc>
          <w:tcPr>
            <w:tcW w:type="dxa" w:w="3118"/>
            <w:tcMar>
              <w:top w:w="85" w:type="dxa"/>
              <w:start w:w="110" w:type="dxa"/>
              <w:bottom w:w="85" w:type="dxa"/>
              <w:end w:w="110" w:type="dxa"/>
            </w:tcMar>
            <w:vAlign w:val="top"/>
          </w:tcPr>
          <w:p>
            <w:r>
              <w:rPr>
                <w:rFonts w:ascii="Liberation Sans" w:hAnsi="Liberation Sans"/>
                <w:sz w:val="16"/>
              </w:rPr>
              <w:t>Do not exclude in primary sample</w:t>
            </w:r>
          </w:p>
        </w:tc>
        <w:tc>
          <w:tcPr>
            <w:tcW w:type="dxa" w:w="4876"/>
            <w:tcMar>
              <w:top w:w="85" w:type="dxa"/>
              <w:start w:w="110" w:type="dxa"/>
              <w:bottom w:w="85" w:type="dxa"/>
              <w:end w:w="110" w:type="dxa"/>
            </w:tcMar>
            <w:vAlign w:val="top"/>
          </w:tcPr>
          <w:p>
            <w:r>
              <w:rPr>
                <w:rFonts w:ascii="Liberation Sans" w:hAnsi="Liberation Sans"/>
                <w:sz w:val="16"/>
              </w:rPr>
              <w:t>Model log(1+minimum_nights); &lt;=30 nights can be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Duplicates</w:t>
            </w:r>
          </w:p>
        </w:tc>
        <w:tc>
          <w:tcPr>
            <w:tcW w:type="dxa" w:w="3118"/>
            <w:tcMar>
              <w:top w:w="85" w:type="dxa"/>
              <w:start w:w="110" w:type="dxa"/>
              <w:bottom w:w="85" w:type="dxa"/>
              <w:end w:w="110" w:type="dxa"/>
            </w:tcMar>
            <w:vAlign w:val="top"/>
          </w:tcPr>
          <w:p>
            <w:r>
              <w:rPr>
                <w:rFonts w:ascii="Liberation Sans" w:hAnsi="Liberation Sans"/>
                <w:sz w:val="16"/>
              </w:rPr>
              <w:t>One row per listing ID per snapshot</w:t>
            </w:r>
          </w:p>
        </w:tc>
        <w:tc>
          <w:tcPr>
            <w:tcW w:type="dxa" w:w="4876"/>
            <w:tcMar>
              <w:top w:w="85" w:type="dxa"/>
              <w:start w:w="110" w:type="dxa"/>
              <w:bottom w:w="85" w:type="dxa"/>
              <w:end w:w="110" w:type="dxa"/>
            </w:tcMar>
            <w:vAlign w:val="top"/>
          </w:tcPr>
          <w:p>
            <w:r>
              <w:rPr>
                <w:rFonts w:ascii="Liberation Sans" w:hAnsi="Liberation Sans"/>
                <w:sz w:val="16"/>
              </w:rPr>
              <w:t>Document duplicate-resolution rule.</w:t>
            </w:r>
          </w:p>
        </w:tc>
      </w:tr>
      <w:tr>
        <w:trPr>
          <w:cantSplit/>
        </w:trPr>
        <w:tc>
          <w:tcPr>
            <w:tcW w:type="dxa" w:w="1871"/>
            <w:tcMar>
              <w:top w:w="85" w:type="dxa"/>
              <w:start w:w="110" w:type="dxa"/>
              <w:bottom w:w="85" w:type="dxa"/>
              <w:end w:w="110" w:type="dxa"/>
            </w:tcMar>
            <w:vAlign w:val="top"/>
          </w:tcPr>
          <w:p>
            <w:r>
              <w:rPr>
                <w:rFonts w:ascii="Liberation Sans" w:hAnsi="Liberation Sans"/>
                <w:sz w:val="16"/>
              </w:rPr>
              <w:t>Price outliers</w:t>
            </w:r>
          </w:p>
        </w:tc>
        <w:tc>
          <w:tcPr>
            <w:tcW w:type="dxa" w:w="3118"/>
            <w:tcMar>
              <w:top w:w="85" w:type="dxa"/>
              <w:start w:w="110" w:type="dxa"/>
              <w:bottom w:w="85" w:type="dxa"/>
              <w:end w:w="110" w:type="dxa"/>
            </w:tcMar>
            <w:vAlign w:val="top"/>
          </w:tcPr>
          <w:p>
            <w:r>
              <w:rPr>
                <w:rFonts w:ascii="Liberation Sans" w:hAnsi="Liberation Sans"/>
                <w:sz w:val="16"/>
              </w:rPr>
              <w:t>Retain after log transform initially</w:t>
            </w:r>
          </w:p>
        </w:tc>
        <w:tc>
          <w:tcPr>
            <w:tcW w:type="dxa" w:w="4876"/>
            <w:tcMar>
              <w:top w:w="85" w:type="dxa"/>
              <w:start w:w="110" w:type="dxa"/>
              <w:bottom w:w="85" w:type="dxa"/>
              <w:end w:w="110" w:type="dxa"/>
            </w:tcMar>
            <w:vAlign w:val="top"/>
          </w:tcPr>
          <w:p>
            <w:r>
              <w:rPr>
                <w:rFonts w:ascii="Liberation Sans" w:hAnsi="Liberation Sans"/>
                <w:sz w:val="16"/>
              </w:rPr>
              <w:t>1st/99th percentile trimming is robustness, not result-driven cleaning.</w:t>
            </w:r>
          </w:p>
        </w:tc>
      </w:tr>
    </w:tbl>
    <w:p>
      <w:pPr>
        <w:spacing w:after="0"/>
      </w:pPr>
    </w:p>
    <w:p>
      <w:pPr>
        <w:pStyle w:val="Heading1"/>
      </w:pPr>
      <w:r>
        <w:t>7. Outcome and missing-data protocol</w:t>
      </w:r>
    </w:p>
    <w:p>
      <w:pPr>
        <w:pStyle w:val="Heading2"/>
      </w:pPr>
      <w:r>
        <w:t>7.1 Primary outcome</w:t>
      </w:r>
    </w:p>
    <w:p>
      <w:pPr>
        <w:pStyle w:val="Equation"/>
      </w:pPr>
      <w:r>
        <w:t>y_i = ln(P_i),   P_i = listed nightly price for listing i in the frozen snapshot</w:t>
      </w:r>
    </w:p>
    <w:p>
      <w:pPr>
        <w:spacing w:after="50"/>
        <w:ind w:left="397" w:hanging="142"/>
      </w:pPr>
      <w:r>
        <w:rPr>
          <w:rFonts w:ascii="Liberation Sans" w:hAnsi="Liberation Sans"/>
        </w:rPr>
        <w:t xml:space="preserve">• </w:t>
      </w:r>
      <w:r>
        <w:rPr>
          <w:rFonts w:ascii="Liberation Sans" w:hAnsi="Liberation Sans"/>
        </w:rPr>
        <w:t>Do not combine different outcome definitions row by row. If a calendar-based price is adopted as a sensitivity measure, construct the same fixed-window definition for every eligible listing.</w:t>
      </w:r>
    </w:p>
    <w:p>
      <w:pPr>
        <w:spacing w:after="50"/>
        <w:ind w:left="397" w:hanging="142"/>
      </w:pPr>
      <w:r>
        <w:rPr>
          <w:rFonts w:ascii="Liberation Sans" w:hAnsi="Liberation Sans"/>
        </w:rPr>
        <w:t xml:space="preserve">• </w:t>
      </w:r>
      <w:r>
        <w:rPr>
          <w:rFonts w:ascii="Liberation Sans" w:hAnsi="Liberation Sans"/>
        </w:rPr>
        <w:t>Do not treat listed price as transaction price, realized revenue, occupancy or causal willingness to pay.</w:t>
      </w:r>
    </w:p>
    <w:p>
      <w:pPr>
        <w:pStyle w:val="Heading2"/>
      </w:pPr>
      <w:r>
        <w:t>7.2 Missing outcome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Situation</w:t>
            </w:r>
          </w:p>
        </w:tc>
        <w:tc>
          <w:tcPr>
            <w:tcW w:type="dxa" w:w="7483"/>
            <w:shd w:fill="E6EEF2"/>
            <w:tcMar>
              <w:top w:w="85" w:type="dxa"/>
              <w:start w:w="110" w:type="dxa"/>
              <w:bottom w:w="85" w:type="dxa"/>
              <w:end w:w="110" w:type="dxa"/>
            </w:tcMar>
            <w:vAlign w:val="center"/>
          </w:tcPr>
          <w:p>
            <w:r>
              <w:rPr>
                <w:rFonts w:ascii="Liberation Sans" w:hAnsi="Liberation Sans"/>
                <w:b/>
                <w:color w:val="17354A"/>
                <w:sz w:val="16"/>
              </w:rPr>
              <w:t>Action</w:t>
            </w:r>
          </w:p>
        </w:tc>
      </w:tr>
      <w:tr>
        <w:trPr>
          <w:cantSplit/>
        </w:trPr>
        <w:tc>
          <w:tcPr>
            <w:tcW w:type="dxa" w:w="2381"/>
            <w:tcMar>
              <w:top w:w="85" w:type="dxa"/>
              <w:start w:w="110" w:type="dxa"/>
              <w:bottom w:w="85" w:type="dxa"/>
              <w:end w:w="110" w:type="dxa"/>
            </w:tcMar>
            <w:vAlign w:val="top"/>
          </w:tcPr>
          <w:p>
            <w:r>
              <w:rPr>
                <w:rFonts w:ascii="Liberation Sans" w:hAnsi="Liberation Sans"/>
                <w:sz w:val="16"/>
              </w:rPr>
              <w:t>Parsing / cleaning error</w:t>
            </w:r>
          </w:p>
        </w:tc>
        <w:tc>
          <w:tcPr>
            <w:tcW w:type="dxa" w:w="7483"/>
            <w:tcMar>
              <w:top w:w="85" w:type="dxa"/>
              <w:start w:w="110" w:type="dxa"/>
              <w:bottom w:w="85" w:type="dxa"/>
              <w:end w:w="110" w:type="dxa"/>
            </w:tcMar>
            <w:vAlign w:val="top"/>
          </w:tcPr>
          <w:p>
            <w:r>
              <w:rPr>
                <w:rFonts w:ascii="Liberation Sans" w:hAnsi="Liberation Sans"/>
                <w:sz w:val="16"/>
              </w:rPr>
              <w:t>Recover the value from the raw source and document the parser fix. This is data cleaning, not imputation.</w:t>
            </w:r>
          </w:p>
        </w:tc>
      </w:tr>
      <w:tr>
        <w:trPr>
          <w:cantSplit/>
        </w:trPr>
        <w:tc>
          <w:tcPr>
            <w:tcW w:type="dxa" w:w="2381"/>
            <w:tcMar>
              <w:top w:w="85" w:type="dxa"/>
              <w:start w:w="110" w:type="dxa"/>
              <w:bottom w:w="85" w:type="dxa"/>
              <w:end w:w="110" w:type="dxa"/>
            </w:tcMar>
            <w:vAlign w:val="top"/>
          </w:tcPr>
          <w:p>
            <w:r>
              <w:rPr>
                <w:rFonts w:ascii="Liberation Sans" w:hAnsi="Liberation Sans"/>
                <w:sz w:val="16"/>
              </w:rPr>
              <w:t>Truly missing primary price</w:t>
            </w:r>
          </w:p>
        </w:tc>
        <w:tc>
          <w:tcPr>
            <w:tcW w:type="dxa" w:w="7483"/>
            <w:tcMar>
              <w:top w:w="85" w:type="dxa"/>
              <w:start w:w="110" w:type="dxa"/>
              <w:bottom w:w="85" w:type="dxa"/>
              <w:end w:w="110" w:type="dxa"/>
            </w:tcMar>
            <w:vAlign w:val="top"/>
          </w:tcPr>
          <w:p>
            <w:r>
              <w:rPr>
                <w:rFonts w:ascii="Liberation Sans" w:hAnsi="Liberation Sans"/>
                <w:sz w:val="16"/>
              </w:rPr>
              <w:t>Exclude from price-model estimation and evaluation. Do not impute the outcome with median, MICE, XGBoost or a TFM.</w:t>
            </w:r>
          </w:p>
        </w:tc>
      </w:tr>
      <w:tr>
        <w:trPr>
          <w:cantSplit/>
        </w:trPr>
        <w:tc>
          <w:tcPr>
            <w:tcW w:type="dxa" w:w="2381"/>
            <w:tcMar>
              <w:top w:w="85" w:type="dxa"/>
              <w:start w:w="110" w:type="dxa"/>
              <w:bottom w:w="85" w:type="dxa"/>
              <w:end w:w="110" w:type="dxa"/>
            </w:tcMar>
            <w:vAlign w:val="top"/>
          </w:tcPr>
          <w:p>
            <w:r>
              <w:rPr>
                <w:rFonts w:ascii="Liberation Sans" w:hAnsi="Liberation Sans"/>
                <w:sz w:val="16"/>
              </w:rPr>
              <w:t>Material missing-price share</w:t>
            </w:r>
          </w:p>
        </w:tc>
        <w:tc>
          <w:tcPr>
            <w:tcW w:type="dxa" w:w="7483"/>
            <w:tcMar>
              <w:top w:w="85" w:type="dxa"/>
              <w:start w:w="110" w:type="dxa"/>
              <w:bottom w:w="85" w:type="dxa"/>
              <w:end w:w="110" w:type="dxa"/>
            </w:tcMar>
            <w:vAlign w:val="top"/>
          </w:tcPr>
          <w:p>
            <w:r>
              <w:rPr>
                <w:rFonts w:ascii="Liberation Sans" w:hAnsi="Liberation Sans"/>
                <w:sz w:val="16"/>
              </w:rPr>
              <w:t>Report N/% excluded; compare observed characteristics and spatial distribution of missing-price vs observed-price listings.</w:t>
            </w:r>
          </w:p>
        </w:tc>
      </w:tr>
    </w:tbl>
    <w:p>
      <w:pPr>
        <w:spacing w:after="0"/>
      </w:pPr>
    </w:p>
    <w:p>
      <w:pPr>
        <w:pStyle w:val="Heading2"/>
      </w:pPr>
      <w:r>
        <w:t>7.3 Missing predictors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Use case</w:t>
            </w:r>
          </w:p>
        </w:tc>
        <w:tc>
          <w:tcPr>
            <w:tcW w:type="dxa" w:w="3855"/>
            <w:shd w:fill="E6EEF2"/>
            <w:tcMar>
              <w:top w:w="85" w:type="dxa"/>
              <w:start w:w="110" w:type="dxa"/>
              <w:bottom w:w="85" w:type="dxa"/>
              <w:end w:w="110" w:type="dxa"/>
            </w:tcMar>
            <w:vAlign w:val="center"/>
          </w:tcPr>
          <w:p>
            <w:r>
              <w:rPr>
                <w:rFonts w:ascii="Liberation Sans" w:hAnsi="Liberation Sans"/>
                <w:b/>
                <w:color w:val="17354A"/>
                <w:sz w:val="16"/>
              </w:rPr>
              <w:t>Default</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Escalation / sensitivity</w:t>
            </w:r>
          </w:p>
        </w:tc>
      </w:tr>
      <w:tr>
        <w:trPr>
          <w:cantSplit/>
        </w:trPr>
        <w:tc>
          <w:tcPr>
            <w:tcW w:type="dxa" w:w="2268"/>
            <w:tcMar>
              <w:top w:w="85" w:type="dxa"/>
              <w:start w:w="110" w:type="dxa"/>
              <w:bottom w:w="85" w:type="dxa"/>
              <w:end w:w="110" w:type="dxa"/>
            </w:tcMar>
            <w:vAlign w:val="top"/>
          </w:tcPr>
          <w:p>
            <w:r>
              <w:rPr>
                <w:rFonts w:ascii="Liberation Sans" w:hAnsi="Liberation Sans"/>
                <w:sz w:val="16"/>
              </w:rPr>
              <w:t>Predictive CV pipelines</w:t>
            </w:r>
          </w:p>
        </w:tc>
        <w:tc>
          <w:tcPr>
            <w:tcW w:type="dxa" w:w="3855"/>
            <w:tcMar>
              <w:top w:w="85" w:type="dxa"/>
              <w:start w:w="110" w:type="dxa"/>
              <w:bottom w:w="85" w:type="dxa"/>
              <w:end w:w="110" w:type="dxa"/>
            </w:tcMar>
            <w:vAlign w:val="top"/>
          </w:tcPr>
          <w:p>
            <w:r>
              <w:rPr>
                <w:rFonts w:ascii="Liberation Sans" w:hAnsi="Liberation Sans"/>
                <w:sz w:val="16"/>
              </w:rPr>
              <w:t>Training-fold median for numeric variables and an explicit missing category for suitable categoricals, applied inside each fold.</w:t>
            </w:r>
          </w:p>
        </w:tc>
        <w:tc>
          <w:tcPr>
            <w:tcW w:type="dxa" w:w="3742"/>
            <w:tcMar>
              <w:top w:w="85" w:type="dxa"/>
              <w:start w:w="110" w:type="dxa"/>
              <w:bottom w:w="85" w:type="dxa"/>
              <w:end w:w="110" w:type="dxa"/>
            </w:tcMar>
            <w:vAlign w:val="top"/>
          </w:tcPr>
          <w:p>
            <w:r>
              <w:rPr>
                <w:rFonts w:ascii="Liberation Sans" w:hAnsi="Liberation Sans"/>
                <w:sz w:val="16"/>
              </w:rPr>
              <w:t>Compare XGBoost native missing handling if missingness is non-trivial.</w:t>
            </w:r>
          </w:p>
        </w:tc>
      </w:tr>
      <w:tr>
        <w:trPr>
          <w:cantSplit/>
        </w:trPr>
        <w:tc>
          <w:tcPr>
            <w:tcW w:type="dxa" w:w="2268"/>
            <w:tcMar>
              <w:top w:w="85" w:type="dxa"/>
              <w:start w:w="110" w:type="dxa"/>
              <w:bottom w:w="85" w:type="dxa"/>
              <w:end w:w="110" w:type="dxa"/>
            </w:tcMar>
            <w:vAlign w:val="top"/>
          </w:tcPr>
          <w:p>
            <w:r>
              <w:rPr>
                <w:rFonts w:ascii="Liberation Sans" w:hAnsi="Liberation Sans"/>
                <w:sz w:val="16"/>
              </w:rPr>
              <w:t>OLS association model</w:t>
            </w:r>
          </w:p>
        </w:tc>
        <w:tc>
          <w:tcPr>
            <w:tcW w:type="dxa" w:w="3855"/>
            <w:tcMar>
              <w:top w:w="85" w:type="dxa"/>
              <w:start w:w="110" w:type="dxa"/>
              <w:bottom w:w="85" w:type="dxa"/>
              <w:end w:w="110" w:type="dxa"/>
            </w:tcMar>
            <w:vAlign w:val="top"/>
          </w:tcPr>
          <w:p>
            <w:r>
              <w:rPr>
                <w:rFonts w:ascii="Liberation Sans" w:hAnsi="Liberation Sans"/>
                <w:sz w:val="16"/>
              </w:rPr>
              <w:t>If core-variable missingness is negligible, report complete-case OLS.</w:t>
            </w:r>
          </w:p>
        </w:tc>
        <w:tc>
          <w:tcPr>
            <w:tcW w:type="dxa" w:w="3742"/>
            <w:tcMar>
              <w:top w:w="85" w:type="dxa"/>
              <w:start w:w="110" w:type="dxa"/>
              <w:bottom w:w="85" w:type="dxa"/>
              <w:end w:w="110" w:type="dxa"/>
            </w:tcMar>
            <w:vAlign w:val="top"/>
          </w:tcPr>
          <w:p>
            <w:r>
              <w:rPr>
                <w:rFonts w:ascii="Liberation Sans" w:hAnsi="Liberation Sans"/>
                <w:sz w:val="16"/>
              </w:rPr>
              <w:t>If key predictors have material missingness or complete-case loss is substantial, use MICE and pool coefficient uncertainty.</w:t>
            </w:r>
          </w:p>
        </w:tc>
      </w:tr>
      <w:tr>
        <w:trPr>
          <w:cantSplit/>
        </w:trPr>
        <w:tc>
          <w:tcPr>
            <w:tcW w:type="dxa" w:w="2268"/>
            <w:tcMar>
              <w:top w:w="85" w:type="dxa"/>
              <w:start w:w="110" w:type="dxa"/>
              <w:bottom w:w="85" w:type="dxa"/>
              <w:end w:w="110" w:type="dxa"/>
            </w:tcMar>
            <w:vAlign w:val="top"/>
          </w:tcPr>
          <w:p>
            <w:r>
              <w:rPr>
                <w:rFonts w:ascii="Liberation Sans" w:hAnsi="Liberation Sans"/>
                <w:sz w:val="16"/>
              </w:rPr>
              <w:t>Advanced optional sensitivity</w:t>
            </w:r>
          </w:p>
        </w:tc>
        <w:tc>
          <w:tcPr>
            <w:tcW w:type="dxa" w:w="3855"/>
            <w:tcMar>
              <w:top w:w="85" w:type="dxa"/>
              <w:start w:w="110" w:type="dxa"/>
              <w:bottom w:w="85" w:type="dxa"/>
              <w:end w:w="110" w:type="dxa"/>
            </w:tcMar>
            <w:vAlign w:val="top"/>
          </w:tcPr>
          <w:p>
            <w:r>
              <w:rPr>
                <w:rFonts w:ascii="Liberation Sans" w:hAnsi="Liberation Sans"/>
                <w:sz w:val="16"/>
              </w:rPr>
              <w:t>Not required.</w:t>
            </w:r>
          </w:p>
        </w:tc>
        <w:tc>
          <w:tcPr>
            <w:tcW w:type="dxa" w:w="3742"/>
            <w:tcMar>
              <w:top w:w="85" w:type="dxa"/>
              <w:start w:w="110" w:type="dxa"/>
              <w:bottom w:w="85" w:type="dxa"/>
              <w:end w:w="110" w:type="dxa"/>
            </w:tcMar>
            <w:vAlign w:val="top"/>
          </w:tcPr>
          <w:p>
            <w:r>
              <w:rPr>
                <w:rFonts w:ascii="Liberation Sans" w:hAnsi="Liberation Sans"/>
                <w:sz w:val="16"/>
              </w:rPr>
              <w:t>TabPFN unsupervised imputation may be tested only after the strong thesis is complete; keep it within training folds and document experimental software/model-weight licences.</w:t>
            </w:r>
          </w:p>
        </w:tc>
      </w:tr>
      <w:tr>
        <w:trPr>
          <w:cantSplit/>
        </w:trPr>
        <w:tc>
          <w:tcPr>
            <w:tcW w:type="dxa" w:w="2268"/>
            <w:tcMar>
              <w:top w:w="85" w:type="dxa"/>
              <w:start w:w="110" w:type="dxa"/>
              <w:bottom w:w="85" w:type="dxa"/>
              <w:end w:w="110" w:type="dxa"/>
            </w:tcMar>
            <w:vAlign w:val="top"/>
          </w:tcPr>
          <w:p>
            <w:r>
              <w:rPr>
                <w:rFonts w:ascii="Liberation Sans" w:hAnsi="Liberation Sans"/>
                <w:sz w:val="16"/>
              </w:rPr>
              <w:t>Very high missingness</w:t>
            </w:r>
          </w:p>
        </w:tc>
        <w:tc>
          <w:tcPr>
            <w:tcW w:type="dxa" w:w="3855"/>
            <w:tcMar>
              <w:top w:w="85" w:type="dxa"/>
              <w:start w:w="110" w:type="dxa"/>
              <w:bottom w:w="85" w:type="dxa"/>
              <w:end w:w="110" w:type="dxa"/>
            </w:tcMar>
            <w:vAlign w:val="top"/>
          </w:tcPr>
          <w:p>
            <w:r>
              <w:rPr>
                <w:rFonts w:ascii="Liberation Sans" w:hAnsi="Liberation Sans"/>
                <w:sz w:val="16"/>
              </w:rPr>
              <w:t>Do not automatically impute.</w:t>
            </w:r>
          </w:p>
        </w:tc>
        <w:tc>
          <w:tcPr>
            <w:tcW w:type="dxa" w:w="3742"/>
            <w:tcMar>
              <w:top w:w="85" w:type="dxa"/>
              <w:start w:w="110" w:type="dxa"/>
              <w:bottom w:w="85" w:type="dxa"/>
              <w:end w:w="110" w:type="dxa"/>
            </w:tcMar>
            <w:vAlign w:val="top"/>
          </w:tcPr>
          <w:p>
            <w:r>
              <w:rPr>
                <w:rFonts w:ascii="Liberation Sans" w:hAnsi="Liberation Sans"/>
                <w:sz w:val="16"/>
              </w:rPr>
              <w:t>Reconsider whether the variable belongs in the primary specification.</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Pr>
                <w:rFonts w:ascii="Liberation Sans" w:hAnsi="Liberation Sans"/>
                <w:b/>
                <w:color w:val="17354A"/>
                <w:sz w:val="20"/>
              </w:rPr>
              <w:t>Why TabICLv2 is not the imputer</w:t>
              <w:br/>
            </w:r>
            <w:r>
              <w:rPr>
                <w:rFonts w:ascii="Liberation Sans" w:hAnsi="Liberation Sans"/>
                <w:color w:val="17354A"/>
                <w:sz w:val="19"/>
              </w:rPr>
              <w:t>The current TabICLv2 paper states that missing values are mean-imputed and that missingness-aware improvements are future work. Retain TabICLv2 only as an optional predictive benchmark, not as the advanced-imputation method.</w:t>
            </w:r>
          </w:p>
        </w:tc>
      </w:tr>
    </w:tbl>
    <w:p>
      <w:pPr>
        <w:spacing w:after="0"/>
      </w:pPr>
    </w:p>
    <w:p>
      <w:pPr>
        <w:pStyle w:val="Heading1"/>
      </w:pPr>
      <w:r>
        <w:t>8. Variables and model blocks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757"/>
            <w:shd w:fill="E6EEF2"/>
            <w:tcMar>
              <w:top w:w="85" w:type="dxa"/>
              <w:start w:w="110" w:type="dxa"/>
              <w:bottom w:w="85" w:type="dxa"/>
              <w:end w:w="110" w:type="dxa"/>
            </w:tcMar>
            <w:vAlign w:val="center"/>
          </w:tcPr>
          <w:p>
            <w:r>
              <w:rPr>
                <w:rFonts w:ascii="Liberation Sans" w:hAnsi="Liberation Sans"/>
                <w:b/>
                <w:color w:val="17354A"/>
                <w:sz w:val="16"/>
              </w:rPr>
              <w:t>Block</w:t>
            </w:r>
          </w:p>
        </w:tc>
        <w:tc>
          <w:tcPr>
            <w:tcW w:type="dxa" w:w="4309"/>
            <w:shd w:fill="E6EEF2"/>
            <w:tcMar>
              <w:top w:w="85" w:type="dxa"/>
              <w:start w:w="110" w:type="dxa"/>
              <w:bottom w:w="85" w:type="dxa"/>
              <w:end w:w="110" w:type="dxa"/>
            </w:tcMar>
            <w:vAlign w:val="center"/>
          </w:tcPr>
          <w:p>
            <w:r>
              <w:rPr>
                <w:rFonts w:ascii="Liberation Sans" w:hAnsi="Liberation Sans"/>
                <w:b/>
                <w:color w:val="17354A"/>
                <w:sz w:val="16"/>
              </w:rPr>
              <w:t>Primary variables</w:t>
            </w:r>
          </w:p>
        </w:tc>
        <w:tc>
          <w:tcPr>
            <w:tcW w:type="dxa" w:w="3855"/>
            <w:shd w:fill="E6EEF2"/>
            <w:tcMar>
              <w:top w:w="85" w:type="dxa"/>
              <w:start w:w="110" w:type="dxa"/>
              <w:bottom w:w="85" w:type="dxa"/>
              <w:end w:w="110" w:type="dxa"/>
            </w:tcMar>
            <w:vAlign w:val="center"/>
          </w:tcPr>
          <w:p>
            <w:r>
              <w:rPr>
                <w:rFonts w:ascii="Liberation Sans" w:hAnsi="Liberation Sans"/>
                <w:b/>
                <w:color w:val="17354A"/>
                <w:sz w:val="16"/>
              </w:rPr>
              <w:t>Selection rule</w:t>
            </w:r>
          </w:p>
        </w:tc>
      </w:tr>
      <w:tr>
        <w:trPr>
          <w:cantSplit/>
        </w:trPr>
        <w:tc>
          <w:tcPr>
            <w:tcW w:type="dxa" w:w="1757"/>
            <w:tcMar>
              <w:top w:w="85" w:type="dxa"/>
              <w:start w:w="110" w:type="dxa"/>
              <w:bottom w:w="85" w:type="dxa"/>
              <w:end w:w="110" w:type="dxa"/>
            </w:tcMar>
            <w:vAlign w:val="top"/>
          </w:tcPr>
          <w:p>
            <w:r>
              <w:rPr>
                <w:rFonts w:ascii="Liberation Sans" w:hAnsi="Liberation Sans"/>
                <w:sz w:val="16"/>
              </w:rPr>
              <w:t>Property</w:t>
            </w:r>
          </w:p>
        </w:tc>
        <w:tc>
          <w:tcPr>
            <w:tcW w:type="dxa" w:w="4309"/>
            <w:tcMar>
              <w:top w:w="85" w:type="dxa"/>
              <w:start w:w="110" w:type="dxa"/>
              <w:bottom w:w="85" w:type="dxa"/>
              <w:end w:w="110" w:type="dxa"/>
            </w:tcMar>
            <w:vAlign w:val="top"/>
          </w:tcPr>
          <w:p>
            <w:r>
              <w:rPr>
                <w:rFonts w:ascii="Liberation Sans" w:hAnsi="Liberation Sans"/>
                <w:sz w:val="16"/>
              </w:rPr>
              <w:t>property_type group; accommodates; bedrooms; bathrooms</w:t>
            </w:r>
          </w:p>
        </w:tc>
        <w:tc>
          <w:tcPr>
            <w:tcW w:type="dxa" w:w="3855"/>
            <w:tcMar>
              <w:top w:w="85" w:type="dxa"/>
              <w:start w:w="110" w:type="dxa"/>
              <w:bottom w:w="85" w:type="dxa"/>
              <w:end w:w="110" w:type="dxa"/>
            </w:tcMar>
            <w:vAlign w:val="top"/>
          </w:tcPr>
          <w:p>
            <w:r>
              <w:rPr>
                <w:rFonts w:ascii="Liberation Sans" w:hAnsi="Liberation Sans"/>
                <w:sz w:val="16"/>
              </w:rPr>
              <w:t>Keep interpretable structural variables; inspect redundancy rather than selecting by significance.</w:t>
            </w:r>
          </w:p>
        </w:tc>
      </w:tr>
      <w:tr>
        <w:trPr>
          <w:cantSplit/>
        </w:trPr>
        <w:tc>
          <w:tcPr>
            <w:tcW w:type="dxa" w:w="1757"/>
            <w:tcMar>
              <w:top w:w="85" w:type="dxa"/>
              <w:start w:w="110" w:type="dxa"/>
              <w:bottom w:w="85" w:type="dxa"/>
              <w:end w:w="110" w:type="dxa"/>
            </w:tcMar>
            <w:vAlign w:val="top"/>
          </w:tcPr>
          <w:p>
            <w:r>
              <w:rPr>
                <w:rFonts w:ascii="Liberation Sans" w:hAnsi="Liberation Sans"/>
                <w:sz w:val="16"/>
              </w:rPr>
              <w:t>Internal amenities</w:t>
            </w:r>
          </w:p>
        </w:tc>
        <w:tc>
          <w:tcPr>
            <w:tcW w:type="dxa" w:w="4309"/>
            <w:tcMar>
              <w:top w:w="85" w:type="dxa"/>
              <w:start w:w="110" w:type="dxa"/>
              <w:bottom w:w="85" w:type="dxa"/>
              <w:end w:w="110" w:type="dxa"/>
            </w:tcMar>
            <w:vAlign w:val="top"/>
          </w:tcPr>
          <w:p>
            <w:r>
              <w:rPr>
                <w:rFonts w:ascii="Liberation Sans" w:hAnsi="Liberation Sans"/>
                <w:sz w:val="16"/>
              </w:rPr>
              <w:t>small prespecified set, chosen after prevalence audit</w:t>
            </w:r>
          </w:p>
        </w:tc>
        <w:tc>
          <w:tcPr>
            <w:tcW w:type="dxa" w:w="3855"/>
            <w:tcMar>
              <w:top w:w="85" w:type="dxa"/>
              <w:start w:w="110" w:type="dxa"/>
              <w:bottom w:w="85" w:type="dxa"/>
              <w:end w:w="110" w:type="dxa"/>
            </w:tcMar>
            <w:vAlign w:val="top"/>
          </w:tcPr>
          <w:p>
            <w:r>
              <w:rPr>
                <w:rFonts w:ascii="Liberation Sans" w:hAnsi="Liberation Sans"/>
                <w:sz w:val="16"/>
              </w:rPr>
              <w:t>Candidate must have a clear accommodation function and useful prevalence (e.g. roughly 5–95%); selection cannot depend on price significance.</w:t>
            </w:r>
          </w:p>
        </w:tc>
      </w:tr>
      <w:tr>
        <w:trPr>
          <w:cantSplit/>
        </w:trPr>
        <w:tc>
          <w:tcPr>
            <w:tcW w:type="dxa" w:w="1757"/>
            <w:tcMar>
              <w:top w:w="85" w:type="dxa"/>
              <w:start w:w="110" w:type="dxa"/>
              <w:bottom w:w="85" w:type="dxa"/>
              <w:end w:w="110" w:type="dxa"/>
            </w:tcMar>
            <w:vAlign w:val="top"/>
          </w:tcPr>
          <w:p>
            <w:r>
              <w:rPr>
                <w:rFonts w:ascii="Liberation Sans" w:hAnsi="Liberation Sans"/>
                <w:sz w:val="16"/>
              </w:rPr>
              <w:t>Rental / host</w:t>
            </w:r>
          </w:p>
        </w:tc>
        <w:tc>
          <w:tcPr>
            <w:tcW w:type="dxa" w:w="4309"/>
            <w:tcMar>
              <w:top w:w="85" w:type="dxa"/>
              <w:start w:w="110" w:type="dxa"/>
              <w:bottom w:w="85" w:type="dxa"/>
              <w:end w:w="110" w:type="dxa"/>
            </w:tcMar>
            <w:vAlign w:val="top"/>
          </w:tcPr>
          <w:p>
            <w:r>
              <w:rPr>
                <w:rFonts w:ascii="Liberation Sans" w:hAnsi="Liberation Sans"/>
                <w:sz w:val="16"/>
              </w:rPr>
              <w:t>log(1+minimum_nights); instant_bookable; log(1+host_listings_count); superhost</w:t>
            </w:r>
          </w:p>
        </w:tc>
        <w:tc>
          <w:tcPr>
            <w:tcW w:type="dxa" w:w="3855"/>
            <w:tcMar>
              <w:top w:w="85" w:type="dxa"/>
              <w:start w:w="110" w:type="dxa"/>
              <w:bottom w:w="85" w:type="dxa"/>
              <w:end w:w="110" w:type="dxa"/>
            </w:tcMar>
            <w:vAlign w:val="top"/>
          </w:tcPr>
          <w:p>
            <w:r>
              <w:rPr>
                <w:rFonts w:ascii="Liberation Sans" w:hAnsi="Liberation Sans"/>
                <w:sz w:val="16"/>
              </w:rPr>
              <w:t>Use clearly measured fields; portfolio count preferred to an arbitrary professional-host cutoff.</w:t>
            </w:r>
          </w:p>
        </w:tc>
      </w:tr>
      <w:tr>
        <w:trPr>
          <w:cantSplit/>
        </w:trPr>
        <w:tc>
          <w:tcPr>
            <w:tcW w:type="dxa" w:w="1757"/>
            <w:tcMar>
              <w:top w:w="85" w:type="dxa"/>
              <w:start w:w="110" w:type="dxa"/>
              <w:bottom w:w="85" w:type="dxa"/>
              <w:end w:w="110" w:type="dxa"/>
            </w:tcMar>
            <w:vAlign w:val="top"/>
          </w:tcPr>
          <w:p>
            <w:r>
              <w:t>Analysis-area context — core</w:t>
            </w:r>
          </w:p>
        </w:tc>
        <w:tc>
          <w:tcPr>
            <w:tcW w:type="dxa" w:w="4309"/>
            <w:tcMar>
              <w:top w:w="85" w:type="dxa"/>
              <w:start w:w="110" w:type="dxa"/>
              <w:bottom w:w="85" w:type="dxa"/>
              <w:end w:w="110" w:type="dxa"/>
            </w:tcMar>
            <w:vAlign w:val="top"/>
          </w:tcPr>
          <w:p>
            <w:r>
              <w:t>log(population density); harmonised income, assigned at the 11-analysis-area level</w:t>
            </w:r>
          </w:p>
        </w:tc>
        <w:tc>
          <w:tcPr>
            <w:tcW w:type="dxa" w:w="3855"/>
            <w:tcMar>
              <w:top w:w="85" w:type="dxa"/>
              <w:start w:w="110" w:type="dxa"/>
              <w:bottom w:w="85" w:type="dxa"/>
              <w:end w:w="110" w:type="dxa"/>
            </w:tcMar>
            <w:vAlign w:val="top"/>
          </w:tcPr>
          <w:p>
            <w:r>
              <w:t>Core in M0 and every accessibility model. Use the same definitions/reference period across all 11 areas. The area identifier is used for grouping/validation, not as a primary predictor.</w:t>
            </w:r>
          </w:p>
        </w:tc>
      </w:tr>
      <w:tr>
        <w:trPr>
          <w:cantSplit/>
        </w:trPr>
        <w:tc>
          <w:tcPr>
            <w:tcW w:type="dxa" w:w="1757"/>
            <w:tcMar>
              <w:top w:w="85" w:type="dxa"/>
              <w:start w:w="110" w:type="dxa"/>
              <w:bottom w:w="85" w:type="dxa"/>
              <w:end w:w="110" w:type="dxa"/>
            </w:tcMar>
            <w:vAlign w:val="top"/>
          </w:tcPr>
          <w:p>
            <w:r>
              <w:rPr>
                <w:rFonts w:ascii="Liberation Sans" w:hAnsi="Liberation Sans"/>
                <w:sz w:val="16"/>
              </w:rPr>
              <w:t>Conventional centrality</w:t>
            </w:r>
          </w:p>
        </w:tc>
        <w:tc>
          <w:tcPr>
            <w:tcW w:type="dxa" w:w="4309"/>
            <w:tcMar>
              <w:top w:w="85" w:type="dxa"/>
              <w:start w:w="110" w:type="dxa"/>
              <w:bottom w:w="85" w:type="dxa"/>
              <w:end w:w="110" w:type="dxa"/>
            </w:tcMar>
            <w:vAlign w:val="top"/>
          </w:tcPr>
          <w:p>
            <w:r>
              <w:rPr>
                <w:rFonts w:ascii="Liberation Sans" w:hAnsi="Liberation Sans"/>
                <w:sz w:val="16"/>
              </w:rPr>
              <w:t>distance to Copenhagen City Hall / Radhuspladsen</w:t>
            </w:r>
          </w:p>
        </w:tc>
        <w:tc>
          <w:tcPr>
            <w:tcW w:type="dxa" w:w="3855"/>
            <w:tcMar>
              <w:top w:w="85" w:type="dxa"/>
              <w:start w:w="110" w:type="dxa"/>
              <w:bottom w:w="85" w:type="dxa"/>
              <w:end w:w="110" w:type="dxa"/>
            </w:tcMar>
            <w:vAlign w:val="top"/>
          </w:tcPr>
          <w:p>
            <w:r>
              <w:rPr>
                <w:rFonts w:ascii="Liberation Sans" w:hAnsi="Liberation Sans"/>
                <w:sz w:val="16"/>
              </w:rPr>
              <w:t>Pre-specified benchmark; do not move the centre after seeing prices.</w:t>
            </w:r>
          </w:p>
        </w:tc>
      </w:tr>
      <w:tr>
        <w:trPr>
          <w:cantSplit/>
        </w:trPr>
        <w:tc>
          <w:tcPr>
            <w:tcW w:type="dxa" w:w="1757"/>
            <w:tcMar>
              <w:top w:w="85" w:type="dxa"/>
              <w:start w:w="110" w:type="dxa"/>
              <w:bottom w:w="85" w:type="dxa"/>
              <w:end w:w="110" w:type="dxa"/>
            </w:tcMar>
            <w:vAlign w:val="top"/>
          </w:tcPr>
          <w:p>
            <w:r>
              <w:rPr>
                <w:rFonts w:ascii="Liberation Sans" w:hAnsi="Liberation Sans"/>
                <w:sz w:val="16"/>
              </w:rPr>
              <w:t>Reviews — robustness only</w:t>
            </w:r>
          </w:p>
        </w:tc>
        <w:tc>
          <w:tcPr>
            <w:tcW w:type="dxa" w:w="4309"/>
            <w:tcMar>
              <w:top w:w="85" w:type="dxa"/>
              <w:start w:w="110" w:type="dxa"/>
              <w:bottom w:w="85" w:type="dxa"/>
              <w:end w:w="110" w:type="dxa"/>
            </w:tcMar>
            <w:vAlign w:val="top"/>
          </w:tcPr>
          <w:p>
            <w:r>
              <w:rPr>
                <w:rFonts w:ascii="Liberation Sans" w:hAnsi="Liberation Sans"/>
                <w:sz w:val="16"/>
              </w:rPr>
              <w:t>review count / reviews per month; overall rating where defensible</w:t>
            </w:r>
          </w:p>
        </w:tc>
        <w:tc>
          <w:tcPr>
            <w:tcW w:type="dxa" w:w="3855"/>
            <w:tcMar>
              <w:top w:w="85" w:type="dxa"/>
              <w:start w:w="110" w:type="dxa"/>
              <w:bottom w:w="85" w:type="dxa"/>
              <w:end w:w="110" w:type="dxa"/>
            </w:tcMar>
            <w:vAlign w:val="top"/>
          </w:tcPr>
          <w:p>
            <w:r>
              <w:rPr>
                <w:rFonts w:ascii="Liberation Sans" w:hAnsi="Liberation Sans"/>
                <w:sz w:val="16"/>
              </w:rPr>
              <w:t>Excluded from primary specification because they are post-market reputation signals and may overlap with location/value perceptions.</w:t>
            </w:r>
          </w:p>
        </w:tc>
      </w:tr>
    </w:tbl>
    <w:p>
      <w:pPr>
        <w:spacing w:after="0"/>
      </w:pPr>
    </w:p>
    <w:p>
      <w:pPr>
        <w:pStyle w:val="Heading1"/>
      </w:pPr>
      <w:r>
        <w:t>9. Accessibility measurement</w:t>
      </w:r>
    </w:p>
    <w:p>
      <w:pPr>
        <w:pStyle w:val="Heading2"/>
      </w:pPr>
      <w:r>
        <w:t>9.1 Matched simple versus network representations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Concept</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Straight-line benchmark</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Walking-network measure</w:t>
            </w:r>
          </w:p>
        </w:tc>
      </w:tr>
      <w:tr>
        <w:trPr>
          <w:cantSplit/>
        </w:trPr>
        <w:tc>
          <w:tcPr>
            <w:tcW w:type="dxa" w:w="2268"/>
            <w:tcMar>
              <w:top w:w="85" w:type="dxa"/>
              <w:start w:w="110" w:type="dxa"/>
              <w:bottom w:w="85" w:type="dxa"/>
              <w:end w:w="110" w:type="dxa"/>
            </w:tcMar>
            <w:vAlign w:val="top"/>
          </w:tcPr>
          <w:p>
            <w:r>
              <w:t>Rail/metro/S-train access</w:t>
            </w:r>
          </w:p>
        </w:tc>
        <w:tc>
          <w:tcPr>
            <w:tcW w:type="dxa" w:w="3742"/>
            <w:tcMar>
              <w:top w:w="85" w:type="dxa"/>
              <w:start w:w="110" w:type="dxa"/>
              <w:bottom w:w="85" w:type="dxa"/>
              <w:end w:w="110" w:type="dxa"/>
            </w:tcMar>
            <w:vAlign w:val="top"/>
          </w:tcPr>
          <w:p>
            <w:r>
              <w:t>Euclidean distance to nearest eligible rail/metro/S-train station</w:t>
            </w:r>
          </w:p>
        </w:tc>
        <w:tc>
          <w:tcPr>
            <w:tcW w:type="dxa" w:w="3742"/>
            <w:tcMar>
              <w:top w:w="85" w:type="dxa"/>
              <w:start w:w="110" w:type="dxa"/>
              <w:bottom w:w="85" w:type="dxa"/>
              <w:end w:w="110" w:type="dxa"/>
            </w:tcMar>
            <w:vAlign w:val="top"/>
          </w:tcPr>
          <w:p>
            <w:r>
              <w:t>Network walking minutes to the same station set</w:t>
            </w:r>
          </w:p>
        </w:tc>
      </w:tr>
      <w:tr>
        <w:trPr>
          <w:cantSplit/>
        </w:trPr>
        <w:tc>
          <w:tcPr>
            <w:tcW w:type="dxa" w:w="2268"/>
            <w:tcMar>
              <w:top w:w="85" w:type="dxa"/>
              <w:start w:w="110" w:type="dxa"/>
              <w:bottom w:w="85" w:type="dxa"/>
              <w:end w:w="110" w:type="dxa"/>
            </w:tcMar>
            <w:vAlign w:val="top"/>
          </w:tcPr>
          <w:p>
            <w:r>
              <w:t>Bus-stop access</w:t>
            </w:r>
          </w:p>
        </w:tc>
        <w:tc>
          <w:tcPr>
            <w:tcW w:type="dxa" w:w="3742"/>
            <w:tcMar>
              <w:top w:w="85" w:type="dxa"/>
              <w:start w:w="110" w:type="dxa"/>
              <w:bottom w:w="85" w:type="dxa"/>
              <w:end w:w="110" w:type="dxa"/>
            </w:tcMar>
            <w:vAlign w:val="top"/>
          </w:tcPr>
          <w:p>
            <w:r>
              <w:t>Euclidean distance to nearest eligible deduplicated bus stop</w:t>
            </w:r>
          </w:p>
        </w:tc>
        <w:tc>
          <w:tcPr>
            <w:tcW w:type="dxa" w:w="3742"/>
            <w:tcMar>
              <w:top w:w="85" w:type="dxa"/>
              <w:start w:w="110" w:type="dxa"/>
              <w:bottom w:w="85" w:type="dxa"/>
              <w:end w:w="110" w:type="dxa"/>
            </w:tcMar>
            <w:vAlign w:val="top"/>
          </w:tcPr>
          <w:p>
            <w:r>
              <w:t>Network walking minutes to the same bus-stop set</w:t>
            </w:r>
          </w:p>
        </w:tc>
      </w:tr>
      <w:tr>
        <w:trPr>
          <w:cantSplit/>
        </w:trPr>
        <w:tc>
          <w:tcPr>
            <w:tcW w:type="dxa" w:w="2268"/>
            <w:tcMar>
              <w:top w:w="85" w:type="dxa"/>
              <w:start w:w="110" w:type="dxa"/>
              <w:bottom w:w="85" w:type="dxa"/>
              <w:end w:w="110" w:type="dxa"/>
            </w:tcMar>
            <w:vAlign w:val="top"/>
          </w:tcPr>
          <w:p>
            <w:r>
              <w:t>Food/social opportunities</w:t>
            </w:r>
          </w:p>
        </w:tc>
        <w:tc>
          <w:tcPr>
            <w:tcW w:type="dxa" w:w="3742"/>
            <w:tcMar>
              <w:top w:w="85" w:type="dxa"/>
              <w:start w:w="110" w:type="dxa"/>
              <w:bottom w:w="85" w:type="dxa"/>
              <w:end w:w="110" w:type="dxa"/>
            </w:tcMar>
            <w:vAlign w:val="top"/>
          </w:tcPr>
          <w:p>
            <w:r>
              <w:t>Count of matched POIs within 833 m</w:t>
            </w:r>
          </w:p>
        </w:tc>
        <w:tc>
          <w:tcPr>
            <w:tcW w:type="dxa" w:w="3742"/>
            <w:tcMar>
              <w:top w:w="85" w:type="dxa"/>
              <w:start w:w="110" w:type="dxa"/>
              <w:bottom w:w="85" w:type="dxa"/>
              <w:end w:w="110" w:type="dxa"/>
            </w:tcMar>
            <w:vAlign w:val="top"/>
          </w:tcPr>
          <w:p>
            <w:r>
              <w:t>Count of the same POIs reachable within 10 walking minutes</w:t>
            </w:r>
          </w:p>
        </w:tc>
      </w:tr>
      <w:tr>
        <w:trPr>
          <w:cantSplit/>
        </w:trPr>
        <w:tc>
          <w:tcPr>
            <w:tcW w:type="dxa" w:w="3286"/>
          </w:tcPr>
          <w:p>
            <w:r>
              <w:t>Cultural/tourist opportunities</w:t>
            </w:r>
          </w:p>
        </w:tc>
        <w:tc>
          <w:tcPr>
            <w:tcW w:type="dxa" w:w="3286"/>
          </w:tcPr>
          <w:p>
            <w:r>
              <w:t>Count of matched POIs within 833 m</w:t>
            </w:r>
          </w:p>
        </w:tc>
        <w:tc>
          <w:tcPr>
            <w:tcW w:type="dxa" w:w="3286"/>
          </w:tcPr>
          <w:p>
            <w:r>
              <w:t>Count of the same POIs reachable within 10 walking minutes</w:t>
            </w:r>
          </w:p>
        </w:tc>
      </w:tr>
    </w:tbl>
    <w:p>
      <w:pPr>
        <w:spacing w:after="0"/>
      </w:pPr>
    </w:p>
    <w:p>
      <w:pPr>
        <w:spacing w:after="50"/>
        <w:ind w:left="397" w:hanging="142"/>
      </w:pPr>
      <w:r>
        <w:t>• Walking speed: 5.0 km/h (1.39 m/s; 83.3 m/min) baseline. This is locally grounded in Djurhuus et al. (2016), whose Capital Region of Denmark multimodal-accessibility model used 5 km/h for access and transfer walking and linked that value to average walking speed in the Danish National Travel Survey. The baseline is a modelling convention, not a claim about every traveller.</w:t>
      </w:r>
    </w:p>
    <w:p>
      <w:pPr>
        <w:spacing w:after="50"/>
        <w:ind w:left="397" w:hanging="142"/>
      </w:pPr>
      <w:r>
        <w:t>• Primary budget: 10 minutes. At 5.0 km/h this corresponds to 0.833 km (833 m) for the matched straight-line proxy.</w:t>
      </w:r>
    </w:p>
    <w:p>
      <w:pPr>
        <w:spacing w:after="50"/>
        <w:ind w:left="397" w:hanging="142"/>
      </w:pPr>
      <w:r>
        <w:t>• Threshold sensitivity: 15 and 20 minutes, corresponding to matched straight-line radii of 1.250 km and 1.667 km under the same 5.0 km/h baseline.</w:t>
      </w:r>
    </w:p>
    <w:p>
      <w:pPr/>
      <w:r>
        <w:t>• Walking-speed sensitivity: rerun the primary 10-minute matched accessibility measures at 4.0 km/h (1.11 m/s; 667 m straight-line analogue) and 5.4 km/h (1.50 m/s; 900 m analogue). Keep the 10-minute budget fixed so this sensitivity isolates the speed assumption; do not choose a speed based on predictive performance.</w:t>
      </w:r>
    </w:p>
    <w:p>
      <w:pPr>
        <w:spacing w:after="50"/>
        <w:ind w:left="397" w:hanging="142"/>
      </w:pPr>
      <w:r>
        <w:rPr>
          <w:rFonts w:ascii="Liberation Sans" w:hAnsi="Liberation Sans"/>
        </w:rPr>
        <w:t xml:space="preserve">• </w:t>
      </w:r>
      <w:r>
        <w:rPr>
          <w:rFonts w:ascii="Liberation Sans" w:hAnsi="Liberation Sans"/>
          <w:b/>
        </w:rPr>
        <w:t xml:space="preserve">POI fairness: </w:t>
      </w:r>
      <w:r>
        <w:rPr>
          <w:rFonts w:ascii="Liberation Sans" w:hAnsi="Liberation Sans"/>
        </w:rPr>
        <w:t>Euclidean and network comparisons use the same destination set and category definitions; do not confound better routing with more destinations.</w:t>
      </w:r>
    </w:p>
    <w:p>
      <w:pPr>
        <w:spacing w:after="50"/>
        <w:ind w:left="397" w:hanging="142"/>
      </w:pPr>
      <w:r>
        <w:t>• Taxonomy freeze: Freeze OSM tags for rail/metro/S-train stations, bus stops and POIs before modelling. The core bus-stop set includes highway=bus_stop and bus-tagged public_transport platform/stop_position objects, consolidated to physical stop locations so platform/stop-position duplicates do not create multiple stops.</w:t>
      </w:r>
    </w:p>
    <w:p>
      <w:pPr>
        <w:spacing w:after="50"/>
        <w:ind w:left="397" w:hanging="142"/>
      </w:pPr>
      <w:r>
        <w:t>• Coordinate/snap uncertainty: Use continuous station/stop walking time and threshold sensitivities; audit listing-to-network and destination-to-network snapping; avoid fine claims near exact cutoffs.</w:t>
      </w:r>
    </w:p>
    <w:p>
      <w:pPr>
        <w:pStyle w:val="Heading2"/>
      </w:pPr>
      <w:r>
        <w:t>9.2 Continuous distance-decay robustness</w:t>
      </w:r>
    </w:p>
    <w:p>
      <w:pPr>
        <w:pStyle w:val="Equation"/>
      </w:pPr>
      <w:r>
        <w:t>G_ic = sum_j exp(-lambda * t_ij)   for destinations j in category c</w:t>
      </w:r>
    </w:p>
    <w:p>
      <w:r>
        <w:t>This avoids a hard 10-minute discontinuity but introduces a decay-parameter choice. It is a pre-specified core robustness check, not a replacement for the frozen 10-minute primary definition. Freeze a 10-minute half-life: lambda = ln(2)/10 per minute. For the Euclidean analogue, convert distance to straight-line minutes at the 5.0 km/h baseline (83.3 m/min) before applying the same decay; walking-network decay uses routed walking minutes at the same baseline speed. The destination sets remain identical. The 4.0/5.4 km/h speed sensitivity is evaluated separately from the decay-form sensitivity.</w:t>
      </w:r>
    </w:p>
    <w:p>
      <w:pPr>
        <w:pStyle w:val="Heading2"/>
      </w:pPr>
      <w:r>
        <w:t>9.3 Optional GTFS block</w:t>
      </w:r>
    </w:p>
    <w:p>
      <w:pPr>
        <w:pStyle w:val="Equation"/>
      </w:pPr>
      <w:r>
        <w:t>T_i = scheduled-transit accessibility from listing i, conditional on a declared departure window and routing assumptions</w:t>
      </w:r>
    </w:p>
    <w:p>
      <w:r>
        <w:t>If Rejseplanen access arrives early, add scheduled waiting/transfers and destination reachability as an incremental block. Do not replace the core walking analysis.</w:t>
      </w:r>
    </w:p>
    <w:p>
      <w:pPr>
        <w:pStyle w:val="Heading1"/>
      </w:pPr>
      <w:r>
        <w:t>10. Mathematical model specification</w:t>
      </w:r>
    </w:p>
    <w:p>
      <w:pPr/>
      <w:r>
        <w:t>Core baseline definition: X_i contains property, prespecified amenities, host/rental variables, analysis-area context [log population density and harmonised income], and centre distance. The 11-area identifier is used for grouping/validation; it is not a primary predictive feature.</w:t>
      </w:r>
    </w:p>
    <w:p>
      <w:pPr>
        <w:pStyle w:val="Equation"/>
      </w:pPr>
      <w:r>
        <w:t>M0:  ln(P_i) = alpha + X_i beta + e_i</w:t>
      </w:r>
    </w:p>
    <w:p>
      <w:pPr>
        <w:pStyle w:val="Equation"/>
      </w:pPr>
      <w:r>
        <w:t>ME:  ln(P_i) = alpha + X_i beta + A_i^E theta + e_i</w:t>
      </w:r>
    </w:p>
    <w:p>
      <w:pPr>
        <w:pStyle w:val="Equation"/>
      </w:pPr>
      <w:r>
        <w:t>MW:  ln(P_i) = alpha + X_i beta + A_i^W gamma + e_i</w:t>
      </w:r>
    </w:p>
    <w:p>
      <w:pPr>
        <w:pStyle w:val="Equation"/>
      </w:pPr>
      <w:r>
        <w:t>MEW: ln(P_i) = alpha + X_i beta + A_i^E theta + A_i^W gamma + e_i</w:t>
      </w:r>
    </w:p>
    <w:p>
      <w:pPr>
        <w:pStyle w:val="Equation"/>
      </w:pPr>
      <w:r>
        <w:t>MT (optional): ln(P_i) = alpha + X_i beta + A_i^E theta + A_i^W gamma + T_i eta + e_i</w:t>
      </w:r>
    </w:p>
    <w:p>
      <w:pPr>
        <w:spacing w:after="50"/>
        <w:ind w:left="397" w:hanging="142"/>
      </w:pPr>
      <w:r>
        <w:t>• OLS role: interpretable conditional associations. Report HC3 uncertainty as the transparent listing-level baseline and add wild-cluster bootstrap-t inference by the 11 analysis areas (9,999 replications) as an inferential sensitivity because core area-context variables are shared within areas. Coefficient magnitude and stability matter more than significance stars.</w:t>
      </w:r>
    </w:p>
    <w:p>
      <w:pPr>
        <w:spacing w:after="50"/>
        <w:ind w:left="397" w:hanging="142"/>
      </w:pPr>
      <w:r>
        <w:t>• XGBoost role: flexible nonlinear prediction using the same feature blocks. Use a broader, decoupled, pre-frozen hyperparameter candidate set and the identical tuning budget for M0/ME/MW/MEW; all tuning and preprocessing remain strictly inside training data.</w:t>
      </w:r>
    </w:p>
    <w:p>
      <w:pPr/>
      <w:r>
        <w:t>• Main tuning freeze: generate and save one fixed 30-candidate hyperparameter set before rerun, using a fixed random seed and the Cartesian pool max_depth {2,3,4,5,6}; n_estimators {180,250,350,500,700}; learning_rate {0.02,0.04,0.06,0.10}; min_child_weight {3,5,7,10,15}; subsample {0.70,0.85,1.00}; colsample_bytree {0.70,0.85,1.00}; reg_alpha {0,0.1,0.5,1.0}; reg_lambda {5,15,25,50}. Reuse the identical 30 candidates and inner grouped/spatial folds for every outer fold and feature block; record selected parameters and boundary hits.</w:t>
      </w:r>
    </w:p>
    <w:p>
      <w:pPr>
        <w:spacing w:after="50"/>
        <w:ind w:left="397" w:hanging="142"/>
      </w:pPr>
      <w:r>
        <w:rPr>
          <w:rFonts w:ascii="Liberation Sans" w:hAnsi="Liberation Sans"/>
        </w:rPr>
        <w:t xml:space="preserve">• </w:t>
      </w:r>
      <w:r>
        <w:rPr>
          <w:rFonts w:ascii="Liberation Sans" w:hAnsi="Liberation Sans"/>
          <w:b/>
        </w:rPr>
        <w:t xml:space="preserve">Combined MEW role: </w:t>
      </w:r>
      <w:r>
        <w:rPr>
          <w:rFonts w:ascii="Liberation Sans" w:hAnsi="Liberation Sans"/>
        </w:rPr>
        <w:t>primarily test incremental predictive information because Euclidean and network features can be highly correlated.</w:t>
      </w:r>
    </w:p>
    <w:p>
      <w:pPr>
        <w:spacing w:after="50"/>
        <w:ind w:left="397" w:hanging="142"/>
      </w:pPr>
      <w:r>
        <w:rPr>
          <w:rFonts w:ascii="Liberation Sans" w:hAnsi="Liberation Sans"/>
        </w:rPr>
        <w:t xml:space="preserve">• </w:t>
      </w:r>
      <w:r>
        <w:rPr>
          <w:rFonts w:ascii="Liberation Sans" w:hAnsi="Liberation Sans"/>
          <w:b/>
        </w:rPr>
        <w:t xml:space="preserve">Spatial-error robustness: </w:t>
      </w:r>
      <w:r>
        <w:rPr>
          <w:rFonts w:ascii="Liberation Sans" w:hAnsi="Liberation Sans"/>
        </w:rPr>
        <w:t>fit one SEM only if residual spatial diagnostics justify it; W defines neighbouring listings and is distinct from the pedestrian network.</w:t>
      </w:r>
    </w:p>
    <w:p>
      <w:pPr>
        <w:spacing w:after="50"/>
        <w:ind w:left="397" w:hanging="142"/>
      </w:pPr>
      <w:r>
        <w:rPr>
          <w:rFonts w:ascii="Liberation Sans" w:hAnsi="Liberation Sans"/>
        </w:rPr>
        <w:t xml:space="preserve">• </w:t>
      </w:r>
      <w:r>
        <w:rPr>
          <w:rFonts w:ascii="Liberation Sans" w:hAnsi="Liberation Sans"/>
          <w:b/>
        </w:rPr>
        <w:t xml:space="preserve">Naive benchmark: </w:t>
      </w:r>
      <w:r>
        <w:rPr>
          <w:rFonts w:ascii="Liberation Sans" w:hAnsi="Liberation Sans"/>
        </w:rPr>
        <w:t>training-fold mean of log price for predictive comparison.</w:t>
      </w:r>
    </w:p>
    <w:p>
      <w:pPr>
        <w:spacing w:after="50"/>
        <w:ind w:left="397" w:hanging="142"/>
      </w:pPr>
      <w:r>
        <w:rPr>
          <w:rFonts w:ascii="Liberation Sans" w:hAnsi="Liberation Sans"/>
        </w:rPr>
        <w:t xml:space="preserve">• </w:t>
      </w:r>
      <w:r>
        <w:rPr>
          <w:rFonts w:ascii="Liberation Sans" w:hAnsi="Liberation Sans"/>
          <w:b/>
        </w:rPr>
        <w:t xml:space="preserve">TabICLv2: </w:t>
      </w:r>
      <w:r>
        <w:rPr>
          <w:rFonts w:ascii="Liberation Sans" w:hAnsi="Liberation Sans"/>
        </w:rPr>
        <w:t>optional predictive benchmark after strong-version analysis is complete; use identical outer folds and feature blocks.</w:t>
      </w:r>
    </w:p>
    <w:p>
      <w:pPr>
        <w:pStyle w:val="Heading1"/>
      </w:pPr>
      <w:r>
        <w:t>11. Spatial diagnostics and validation</w:t>
      </w:r>
    </w:p>
    <w:p>
      <w:pPr>
        <w:pStyle w:val="Heading2"/>
      </w:pPr>
      <w:r>
        <w:t>11.1 Diagnostics</w:t>
      </w:r>
    </w:p>
    <w:p>
      <w:pPr>
        <w:spacing w:after="50"/>
        <w:ind w:left="397" w:hanging="142"/>
      </w:pPr>
      <w:r>
        <w:rPr>
          <w:rFonts w:ascii="Liberation Sans" w:hAnsi="Liberation Sans"/>
        </w:rPr>
        <w:t xml:space="preserve">• </w:t>
      </w:r>
      <w:r>
        <w:rPr>
          <w:rFonts w:ascii="Liberation Sans" w:hAnsi="Liberation Sans"/>
        </w:rPr>
        <w:t>Map price and major accessibility variables; calculate Moran's I for log price and selected model residuals.</w:t>
      </w:r>
    </w:p>
    <w:p>
      <w:pPr>
        <w:spacing w:after="50"/>
        <w:ind w:left="397" w:hanging="142"/>
      </w:pPr>
      <w:r>
        <w:rPr>
          <w:rFonts w:ascii="Liberation Sans" w:hAnsi="Liberation Sans"/>
        </w:rPr>
        <w:t xml:space="preserve">• </w:t>
      </w:r>
      <w:r>
        <w:rPr>
          <w:rFonts w:ascii="Liberation Sans" w:hAnsi="Liberation Sans"/>
        </w:rPr>
        <w:t>Inspect Euclidean-versus-network correlations and scatterplots.</w:t>
      </w:r>
    </w:p>
    <w:p>
      <w:pPr>
        <w:spacing w:after="50"/>
        <w:ind w:left="397" w:hanging="142"/>
      </w:pPr>
      <w:r>
        <w:rPr>
          <w:rFonts w:ascii="Liberation Sans" w:hAnsi="Liberation Sans"/>
        </w:rPr>
        <w:t xml:space="preserve">• </w:t>
      </w:r>
      <w:r>
        <w:rPr>
          <w:rFonts w:ascii="Liberation Sans" w:hAnsi="Liberation Sans"/>
        </w:rPr>
        <w:t>Check covariate support in every held-out area to distinguish geographic separation from extreme predictor extrapolation.</w:t>
      </w:r>
    </w:p>
    <w:p>
      <w:pPr>
        <w:pStyle w:val="Heading2"/>
      </w:pPr>
      <w:r>
        <w:t>11.2 Primary validation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438"/>
            <w:shd w:fill="E6EEF2"/>
            <w:tcMar>
              <w:top w:w="85" w:type="dxa"/>
              <w:start w:w="110" w:type="dxa"/>
              <w:bottom w:w="85" w:type="dxa"/>
              <w:end w:w="110" w:type="dxa"/>
            </w:tcMar>
            <w:vAlign w:val="center"/>
          </w:tcPr>
          <w:p>
            <w:r>
              <w:rPr>
                <w:rFonts w:ascii="Liberation Sans" w:hAnsi="Liberation Sans"/>
                <w:b/>
                <w:color w:val="17354A"/>
                <w:sz w:val="16"/>
              </w:rPr>
              <w:t>Evaluation</w:t>
            </w:r>
          </w:p>
        </w:tc>
        <w:tc>
          <w:tcPr>
            <w:tcW w:type="dxa" w:w="3969"/>
            <w:shd w:fill="E6EEF2"/>
            <w:tcMar>
              <w:top w:w="85" w:type="dxa"/>
              <w:start w:w="110" w:type="dxa"/>
              <w:bottom w:w="85" w:type="dxa"/>
              <w:end w:w="110" w:type="dxa"/>
            </w:tcMar>
            <w:vAlign w:val="center"/>
          </w:tcPr>
          <w:p>
            <w:r>
              <w:rPr>
                <w:rFonts w:ascii="Liberation Sans" w:hAnsi="Liberation Sans"/>
                <w:b/>
                <w:color w:val="17354A"/>
                <w:sz w:val="16"/>
              </w:rPr>
              <w:t>Design</w:t>
            </w:r>
          </w:p>
        </w:tc>
        <w:tc>
          <w:tcPr>
            <w:tcW w:type="dxa" w:w="3458"/>
            <w:shd w:fill="E6EEF2"/>
            <w:tcMar>
              <w:top w:w="85" w:type="dxa"/>
              <w:start w:w="110" w:type="dxa"/>
              <w:bottom w:w="85" w:type="dxa"/>
              <w:end w:w="110" w:type="dxa"/>
            </w:tcMar>
            <w:vAlign w:val="center"/>
          </w:tcPr>
          <w:p>
            <w:r>
              <w:rPr>
                <w:rFonts w:ascii="Liberation Sans" w:hAnsi="Liberation Sans"/>
                <w:b/>
                <w:color w:val="17354A"/>
                <w:sz w:val="16"/>
              </w:rPr>
              <w:t>Question</w:t>
            </w:r>
          </w:p>
        </w:tc>
      </w:tr>
      <w:tr>
        <w:trPr>
          <w:cantSplit/>
        </w:trPr>
        <w:tc>
          <w:tcPr>
            <w:tcW w:type="dxa" w:w="2438"/>
            <w:tcMar>
              <w:top w:w="85" w:type="dxa"/>
              <w:start w:w="110" w:type="dxa"/>
              <w:bottom w:w="85" w:type="dxa"/>
              <w:end w:w="110" w:type="dxa"/>
            </w:tcMar>
            <w:vAlign w:val="top"/>
          </w:tcPr>
          <w:p>
            <w:r>
              <w:rPr>
                <w:rFonts w:ascii="Liberation Sans" w:hAnsi="Liberation Sans"/>
                <w:sz w:val="16"/>
              </w:rPr>
              <w:t>Random benchmark</w:t>
            </w:r>
          </w:p>
        </w:tc>
        <w:tc>
          <w:tcPr>
            <w:tcW w:type="dxa" w:w="3969"/>
            <w:tcMar>
              <w:top w:w="85" w:type="dxa"/>
              <w:start w:w="110" w:type="dxa"/>
              <w:bottom w:w="85" w:type="dxa"/>
              <w:end w:w="110" w:type="dxa"/>
            </w:tcMar>
            <w:vAlign w:val="top"/>
          </w:tcPr>
          <w:p>
            <w:r>
              <w:rPr>
                <w:rFonts w:ascii="Liberation Sans" w:hAnsi="Liberation Sans"/>
                <w:sz w:val="16"/>
              </w:rPr>
              <w:t>5-fold random CV</w:t>
            </w:r>
          </w:p>
        </w:tc>
        <w:tc>
          <w:tcPr>
            <w:tcW w:type="dxa" w:w="3458"/>
            <w:tcMar>
              <w:top w:w="85" w:type="dxa"/>
              <w:start w:w="110" w:type="dxa"/>
              <w:bottom w:w="85" w:type="dxa"/>
              <w:end w:w="110" w:type="dxa"/>
            </w:tcMar>
            <w:vAlign w:val="top"/>
          </w:tcPr>
          <w:p>
            <w:r>
              <w:rPr>
                <w:rFonts w:ascii="Liberation Sans" w:hAnsi="Liberation Sans"/>
                <w:sz w:val="16"/>
              </w:rPr>
              <w:t>How well does the model predict spatially interspersed listings from the same market?</w:t>
            </w:r>
          </w:p>
        </w:tc>
      </w:tr>
      <w:tr>
        <w:trPr>
          <w:cantSplit/>
        </w:trPr>
        <w:tc>
          <w:tcPr>
            <w:tcW w:type="dxa" w:w="2438"/>
            <w:tcMar>
              <w:top w:w="85" w:type="dxa"/>
              <w:start w:w="110" w:type="dxa"/>
              <w:bottom w:w="85" w:type="dxa"/>
              <w:end w:w="110" w:type="dxa"/>
            </w:tcMar>
            <w:vAlign w:val="top"/>
          </w:tcPr>
          <w:p>
            <w:r>
              <w:rPr>
                <w:rFonts w:ascii="Liberation Sans" w:hAnsi="Liberation Sans"/>
                <w:sz w:val="16"/>
              </w:rPr>
              <w:t>Primary geographic test</w:t>
            </w:r>
          </w:p>
        </w:tc>
        <w:tc>
          <w:tcPr>
            <w:tcW w:type="dxa" w:w="3969"/>
            <w:tcMar>
              <w:top w:w="85" w:type="dxa"/>
              <w:start w:w="110" w:type="dxa"/>
              <w:bottom w:w="85" w:type="dxa"/>
              <w:end w:w="110" w:type="dxa"/>
            </w:tcMar>
            <w:vAlign w:val="top"/>
          </w:tcPr>
          <w:p>
            <w:r>
              <w:t>Leave-one-analysis-area-out across the 11 peer analysis areas: 10 Copenhagen city districts + Frederiksberg, contingent on eligible N and compatible boundaries.</w:t>
            </w:r>
          </w:p>
        </w:tc>
        <w:tc>
          <w:tcPr>
            <w:tcW w:type="dxa" w:w="3458"/>
            <w:tcMar>
              <w:top w:w="85" w:type="dxa"/>
              <w:start w:w="110" w:type="dxa"/>
              <w:bottom w:w="85" w:type="dxa"/>
              <w:end w:w="110" w:type="dxa"/>
            </w:tcMar>
            <w:vAlign w:val="top"/>
          </w:tcPr>
          <w:p>
            <w:r>
              <w:t>Can a model trained on the other 10 analysis areas predict an urban analysis area it did not see?</w:t>
            </w:r>
          </w:p>
        </w:tc>
      </w:tr>
      <w:tr>
        <w:trPr>
          <w:cantSplit/>
        </w:trPr>
        <w:tc>
          <w:tcPr>
            <w:tcW w:type="dxa" w:w="2438"/>
            <w:tcMar>
              <w:top w:w="85" w:type="dxa"/>
              <w:start w:w="110" w:type="dxa"/>
              <w:bottom w:w="85" w:type="dxa"/>
              <w:end w:w="110" w:type="dxa"/>
            </w:tcMar>
            <w:vAlign w:val="top"/>
          </w:tcPr>
          <w:p>
            <w:r>
              <w:rPr>
                <w:rFonts w:ascii="Liberation Sans" w:hAnsi="Liberation Sans"/>
                <w:sz w:val="16"/>
              </w:rPr>
              <w:t>Fold reporting</w:t>
            </w:r>
          </w:p>
        </w:tc>
        <w:tc>
          <w:tcPr>
            <w:tcW w:type="dxa" w:w="3969"/>
            <w:tcMar>
              <w:top w:w="85" w:type="dxa"/>
              <w:start w:w="110" w:type="dxa"/>
              <w:bottom w:w="85" w:type="dxa"/>
              <w:end w:w="110" w:type="dxa"/>
            </w:tcMar>
            <w:vAlign w:val="top"/>
          </w:tcPr>
          <w:p>
            <w:r>
              <w:t>Per-area N, RMSE, MAE, R² and ΔRMSE/ΔMAE versus M0; pooled RMSE/MAE; median/IQR across areas; save listing-level out-of-fold predictions and losses.</w:t>
            </w:r>
          </w:p>
        </w:tc>
        <w:tc>
          <w:tcPr>
            <w:tcW w:type="dxa" w:w="3458"/>
            <w:tcMar>
              <w:top w:w="85" w:type="dxa"/>
              <w:start w:w="110" w:type="dxa"/>
              <w:bottom w:w="85" w:type="dxa"/>
              <w:end w:w="110" w:type="dxa"/>
            </w:tcMar>
            <w:vAlign w:val="top"/>
          </w:tcPr>
          <w:p>
            <w:r>
              <w:rPr>
                <w:rFonts w:ascii="Liberation Sans" w:hAnsi="Liberation Sans"/>
                <w:sz w:val="16"/>
              </w:rPr>
              <w:t>Where does the model generalize well or poorly?</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
              <w:rPr>
                <w:b/>
              </w:rPr>
              <w:t>Use 11 peer analysis-area folds</w:t>
            </w:r>
            <w:r>
              <w:br/>
              <w:t>The primary geographic split is the 11-area research geography: 10 official Copenhagen city districts plus Frederiksberg as one peer analysis area. This operational convention is fixed before rerun. It should not be described as 11 Copenhagen neighbourhoods, and it should not be repeatedly qualified in model tables; the administrative distinction is explained once in the case-study section.</w:t>
            </w:r>
          </w:p>
        </w:tc>
      </w:tr>
    </w:tbl>
    <w:p>
      <w:pPr>
        <w:spacing w:after="0"/>
      </w:pPr>
    </w:p>
    <w:p>
      <w:pPr>
        <w:pStyle w:val="Heading2"/>
      </w:pPr>
      <w:r>
        <w:t>11.3 Validation robustness</w:t>
      </w:r>
    </w:p>
    <w:p>
      <w:pPr>
        <w:spacing w:after="50"/>
        <w:ind w:left="397" w:hanging="142"/>
      </w:pPr>
      <w:r>
        <w:rPr>
          <w:rFonts w:ascii="Liberation Sans" w:hAnsi="Liberation Sans"/>
        </w:rPr>
        <w:t xml:space="preserve">• </w:t>
      </w:r>
      <w:r>
        <w:rPr>
          <w:rFonts w:ascii="Liberation Sans" w:hAnsi="Liberation Sans"/>
        </w:rPr>
        <w:t>Leave-one-area-out plus a geographic buffer whose width is informed by spatial autocorrelation and feasibility.</w:t>
      </w:r>
    </w:p>
    <w:p>
      <w:pPr>
        <w:spacing w:after="50"/>
        <w:ind w:left="397" w:hanging="142"/>
      </w:pPr>
      <w:r>
        <w:t>• Geometric 5-fold spatial-block CV with multiple predeclared grid origins (including half-block shifts east/north/both) to test dependence on arbitrary grid alignment and administrative boundaries.</w:t>
      </w:r>
    </w:p>
    <w:p>
      <w:pPr>
        <w:spacing w:after="50"/>
        <w:ind w:left="397" w:hanging="142"/>
      </w:pPr>
      <w:r>
        <w:t>• Alternative block/buffer sizes with fixed model/feature definitions; never choose a block origin/size because it produces a preferred result.</w:t>
      </w:r>
    </w:p>
    <w:p>
      <w:pPr>
        <w:spacing w:after="50"/>
        <w:ind w:left="397" w:hanging="142"/>
      </w:pPr>
      <w:r>
        <w:rPr>
          <w:rFonts w:ascii="Liberation Sans" w:hAnsi="Liberation Sans"/>
        </w:rPr>
        <w:t xml:space="preserve">• </w:t>
      </w:r>
      <w:r>
        <w:rPr>
          <w:rFonts w:ascii="Liberation Sans" w:hAnsi="Liberation Sans"/>
        </w:rPr>
        <w:t>For XGBoost and any TFM, use inner training-only tuning; outer held-out areas cannot influence preprocessing, imputation, feature selection or hyperparameters.</w:t>
      </w:r>
    </w:p>
    <w:p>
      <w:pPr/>
      <w:r>
        <w:t>• Prediction-difference uncertainty: retain paired outer-fold predictions for all feature blocks. For the primary geographic comparison, report per-area ΔRMSE/ΔMAE, median/IQR across the 11 areas, and a paired analysis-area bootstrap interval based on 2,000 resamples of the 11 held-out areas. Treat this as stability/uncertainty evidence rather than a causal significance test.</w:t>
      </w:r>
    </w:p>
    <w:p>
      <w:pPr>
        <w:pStyle w:val="Heading1"/>
      </w:pPr>
      <w:r>
        <w:t>12. Robustness and optional extensions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Check</w:t>
            </w:r>
          </w:p>
        </w:tc>
        <w:tc>
          <w:tcPr>
            <w:tcW w:type="dxa" w:w="5102"/>
            <w:shd w:fill="E6EEF2"/>
            <w:tcMar>
              <w:top w:w="85" w:type="dxa"/>
              <w:start w:w="110" w:type="dxa"/>
              <w:bottom w:w="85" w:type="dxa"/>
              <w:end w:w="110" w:type="dxa"/>
            </w:tcMar>
            <w:vAlign w:val="center"/>
          </w:tcPr>
          <w:p>
            <w:r>
              <w:rPr>
                <w:rFonts w:ascii="Liberation Sans" w:hAnsi="Liberation Sans"/>
                <w:b/>
                <w:color w:val="17354A"/>
                <w:sz w:val="16"/>
              </w:rPr>
              <w:t>Purpose</w:t>
            </w:r>
          </w:p>
        </w:tc>
        <w:tc>
          <w:tcPr>
            <w:tcW w:type="dxa" w:w="2438"/>
            <w:shd w:fill="E6EEF2"/>
            <w:tcMar>
              <w:top w:w="85" w:type="dxa"/>
              <w:start w:w="110" w:type="dxa"/>
              <w:bottom w:w="85" w:type="dxa"/>
              <w:end w:w="110" w:type="dxa"/>
            </w:tcMar>
            <w:vAlign w:val="center"/>
          </w:tcPr>
          <w:p>
            <w:r>
              <w:rPr>
                <w:rFonts w:ascii="Liberation Sans" w:hAnsi="Liberation Sans"/>
                <w:b/>
                <w:color w:val="17354A"/>
                <w:sz w:val="16"/>
              </w:rPr>
              <w:t>Core or optional</w:t>
            </w:r>
          </w:p>
        </w:tc>
      </w:tr>
      <w:tr>
        <w:trPr>
          <w:cantSplit/>
        </w:trPr>
        <w:tc>
          <w:tcPr>
            <w:tcW w:type="dxa" w:w="2268"/>
            <w:tcMar>
              <w:top w:w="85" w:type="dxa"/>
              <w:start w:w="110" w:type="dxa"/>
              <w:bottom w:w="85" w:type="dxa"/>
              <w:end w:w="110" w:type="dxa"/>
            </w:tcMar>
            <w:vAlign w:val="top"/>
          </w:tcPr>
          <w:p>
            <w:r>
              <w:t>Apartment/condo only</w:t>
            </w:r>
          </w:p>
        </w:tc>
        <w:tc>
          <w:tcPr>
            <w:tcW w:type="dxa" w:w="5102"/>
            <w:tcMar>
              <w:top w:w="85" w:type="dxa"/>
              <w:start w:w="110" w:type="dxa"/>
              <w:bottom w:w="85" w:type="dxa"/>
              <w:end w:w="110" w:type="dxa"/>
            </w:tcMar>
            <w:vAlign w:val="top"/>
          </w:tcPr>
          <w:p>
            <w:r>
              <w:t>Product-homogeneity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All room types + controls</w:t>
            </w:r>
          </w:p>
        </w:tc>
        <w:tc>
          <w:tcPr>
            <w:tcW w:type="dxa" w:w="5102"/>
            <w:tcMar>
              <w:top w:w="85" w:type="dxa"/>
              <w:start w:w="110" w:type="dxa"/>
              <w:bottom w:w="85" w:type="dxa"/>
              <w:end w:w="110" w:type="dxa"/>
            </w:tcMar>
            <w:vAlign w:val="top"/>
          </w:tcPr>
          <w:p>
            <w:r>
              <w:t>Broader-market sensitivity</w:t>
            </w:r>
          </w:p>
        </w:tc>
        <w:tc>
          <w:tcPr>
            <w:tcW w:type="dxa" w:w="2438"/>
            <w:tcMar>
              <w:top w:w="85" w:type="dxa"/>
              <w:start w:w="110" w:type="dxa"/>
              <w:bottom w:w="85" w:type="dxa"/>
              <w:end w:w="110" w:type="dxa"/>
            </w:tcMar>
            <w:vAlign w:val="top"/>
          </w:tcPr>
          <w:p>
            <w:r>
              <w:t>Optional</w:t>
            </w:r>
          </w:p>
        </w:tc>
      </w:tr>
      <w:tr>
        <w:trPr>
          <w:cantSplit/>
        </w:trPr>
        <w:tc>
          <w:tcPr>
            <w:tcW w:type="dxa" w:w="2268"/>
            <w:tcMar>
              <w:top w:w="85" w:type="dxa"/>
              <w:start w:w="110" w:type="dxa"/>
              <w:bottom w:w="85" w:type="dxa"/>
              <w:end w:w="110" w:type="dxa"/>
            </w:tcMar>
            <w:vAlign w:val="top"/>
          </w:tcPr>
          <w:p>
            <w:r>
              <w:t>At least one review</w:t>
            </w:r>
          </w:p>
        </w:tc>
        <w:tc>
          <w:tcPr>
            <w:tcW w:type="dxa" w:w="5102"/>
            <w:tcMar>
              <w:top w:w="85" w:type="dxa"/>
              <w:start w:w="110" w:type="dxa"/>
              <w:bottom w:w="85" w:type="dxa"/>
              <w:end w:w="110" w:type="dxa"/>
            </w:tcMar>
            <w:vAlign w:val="top"/>
          </w:tcPr>
          <w:p>
            <w:r>
              <w:t>Compare with reviewed-listing literature restrictions</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Review/reputation controls</w:t>
            </w:r>
          </w:p>
        </w:tc>
        <w:tc>
          <w:tcPr>
            <w:tcW w:type="dxa" w:w="5102"/>
            <w:tcMar>
              <w:top w:w="85" w:type="dxa"/>
              <w:start w:w="110" w:type="dxa"/>
              <w:bottom w:w="85" w:type="dxa"/>
              <w:end w:w="110" w:type="dxa"/>
            </w:tcMar>
            <w:vAlign w:val="top"/>
          </w:tcPr>
          <w:p>
            <w:r>
              <w:t>Does objective accessibility add information beyond established reputation?</w:t>
            </w:r>
          </w:p>
        </w:tc>
        <w:tc>
          <w:tcPr>
            <w:tcW w:type="dxa" w:w="2438"/>
            <w:tcMar>
              <w:top w:w="85" w:type="dxa"/>
              <w:start w:w="110" w:type="dxa"/>
              <w:bottom w:w="85" w:type="dxa"/>
              <w:end w:w="110" w:type="dxa"/>
            </w:tcMar>
            <w:vAlign w:val="top"/>
          </w:tcPr>
          <w:p>
            <w:r>
              <w:t>Core robustness if coverage adequate</w:t>
            </w:r>
          </w:p>
        </w:tc>
      </w:tr>
      <w:tr>
        <w:trPr>
          <w:cantSplit/>
        </w:trPr>
        <w:tc>
          <w:tcPr>
            <w:tcW w:type="dxa" w:w="2268"/>
            <w:tcMar>
              <w:top w:w="85" w:type="dxa"/>
              <w:start w:w="110" w:type="dxa"/>
              <w:bottom w:w="85" w:type="dxa"/>
              <w:end w:w="110" w:type="dxa"/>
            </w:tcMar>
            <w:vAlign w:val="top"/>
          </w:tcPr>
          <w:p>
            <w:r>
              <w:t>10 vs 15 vs 20 min</w:t>
            </w:r>
          </w:p>
        </w:tc>
        <w:tc>
          <w:tcPr>
            <w:tcW w:type="dxa" w:w="5102"/>
            <w:tcMar>
              <w:top w:w="85" w:type="dxa"/>
              <w:start w:w="110" w:type="dxa"/>
              <w:bottom w:w="85" w:type="dxa"/>
              <w:end w:w="110" w:type="dxa"/>
            </w:tcMar>
            <w:vAlign w:val="top"/>
          </w:tcPr>
          <w:p>
            <w:r>
              <w:t>Cumulative-opportunity threshold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4.0 vs 5.0 vs 5.4 km/h</w:t>
            </w:r>
          </w:p>
        </w:tc>
        <w:tc>
          <w:tcPr>
            <w:tcW w:type="dxa" w:w="5102"/>
            <w:tcMar>
              <w:top w:w="85" w:type="dxa"/>
              <w:start w:w="110" w:type="dxa"/>
              <w:bottom w:w="85" w:type="dxa"/>
              <w:end w:w="110" w:type="dxa"/>
            </w:tcMar>
            <w:vAlign w:val="top"/>
          </w:tcPr>
          <w:p>
            <w:r>
              <w:t>Walking-speed assumption sensitivity at the fixed 10-minute budget with matched Euclidean radii 667/833/900 m</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Continuous distance decay</w:t>
            </w:r>
          </w:p>
        </w:tc>
        <w:tc>
          <w:tcPr>
            <w:tcW w:type="dxa" w:w="5102"/>
            <w:tcMar>
              <w:top w:w="85" w:type="dxa"/>
              <w:start w:w="110" w:type="dxa"/>
              <w:bottom w:w="85" w:type="dxa"/>
              <w:end w:w="110" w:type="dxa"/>
            </w:tcMar>
            <w:vAlign w:val="top"/>
          </w:tcPr>
          <w:p>
            <w:r>
              <w:t>Test whether findings depend on a hard cumulative cutoff</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Price 1st/99th trimming</w:t>
            </w:r>
          </w:p>
        </w:tc>
        <w:tc>
          <w:tcPr>
            <w:tcW w:type="dxa" w:w="5102"/>
            <w:tcMar>
              <w:top w:w="85" w:type="dxa"/>
              <w:start w:w="110" w:type="dxa"/>
              <w:bottom w:w="85" w:type="dxa"/>
              <w:end w:w="110" w:type="dxa"/>
            </w:tcMar>
            <w:vAlign w:val="top"/>
          </w:tcPr>
          <w:p>
            <w:r>
              <w:t>Extreme-price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Analysis-area fixed effects</w:t>
            </w:r>
          </w:p>
        </w:tc>
        <w:tc>
          <w:tcPr>
            <w:tcW w:type="dxa" w:w="5102"/>
            <w:tcMar>
              <w:top w:w="85" w:type="dxa"/>
              <w:start w:w="110" w:type="dxa"/>
              <w:bottom w:w="85" w:type="dxa"/>
              <w:end w:w="110" w:type="dxa"/>
            </w:tcMar>
            <w:vAlign w:val="top"/>
          </w:tcPr>
          <w:p>
            <w:r>
              <w:t>Within-area OLS association sensitivity; not a geographic prediction feature</w:t>
            </w:r>
          </w:p>
        </w:tc>
        <w:tc>
          <w:tcPr>
            <w:tcW w:type="dxa" w:w="2438"/>
            <w:tcMar>
              <w:top w:w="85" w:type="dxa"/>
              <w:start w:w="110" w:type="dxa"/>
              <w:bottom w:w="85" w:type="dxa"/>
              <w:end w:w="110" w:type="dxa"/>
            </w:tcMar>
            <w:vAlign w:val="top"/>
          </w:tcPr>
          <w:p>
            <w:r>
              <w:t>Optional association robustness</w:t>
            </w:r>
          </w:p>
        </w:tc>
      </w:tr>
      <w:tr>
        <w:trPr>
          <w:cantSplit/>
        </w:trPr>
        <w:tc>
          <w:tcPr>
            <w:tcW w:type="dxa" w:w="2268"/>
            <w:tcMar>
              <w:top w:w="85" w:type="dxa"/>
              <w:start w:w="110" w:type="dxa"/>
              <w:bottom w:w="85" w:type="dxa"/>
              <w:end w:w="110" w:type="dxa"/>
            </w:tcMar>
            <w:vAlign w:val="top"/>
          </w:tcPr>
          <w:p>
            <w:r>
              <w:t>Area-aware OLS inference</w:t>
            </w:r>
          </w:p>
        </w:tc>
        <w:tc>
          <w:tcPr>
            <w:tcW w:type="dxa" w:w="5102"/>
            <w:tcMar>
              <w:top w:w="85" w:type="dxa"/>
              <w:start w:w="110" w:type="dxa"/>
              <w:bottom w:w="85" w:type="dxa"/>
              <w:end w:w="110" w:type="dxa"/>
            </w:tcMar>
            <w:vAlign w:val="top"/>
          </w:tcPr>
          <w:p>
            <w:r>
              <w:t>Check HC3 conclusions with a small-cluster/wild-bootstrap sensitivity across the 11 areas</w:t>
            </w:r>
          </w:p>
        </w:tc>
        <w:tc>
          <w:tcPr>
            <w:tcW w:type="dxa" w:w="2438"/>
            <w:tcMar>
              <w:top w:w="85" w:type="dxa"/>
              <w:start w:w="110" w:type="dxa"/>
              <w:bottom w:w="85" w:type="dxa"/>
              <w:end w:w="110" w:type="dxa"/>
            </w:tcMar>
            <w:vAlign w:val="top"/>
          </w:tcPr>
          <w:p>
            <w:r>
              <w:t>Core inferential robustness</w:t>
            </w:r>
          </w:p>
        </w:tc>
      </w:tr>
      <w:tr>
        <w:trPr>
          <w:cantSplit/>
        </w:trPr>
        <w:tc>
          <w:tcPr>
            <w:tcW w:type="dxa" w:w="2268"/>
            <w:tcMar>
              <w:top w:w="85" w:type="dxa"/>
              <w:start w:w="110" w:type="dxa"/>
              <w:bottom w:w="85" w:type="dxa"/>
              <w:end w:w="110" w:type="dxa"/>
            </w:tcMar>
            <w:vAlign w:val="top"/>
          </w:tcPr>
          <w:p>
            <w:r>
              <w:t>SEM</w:t>
            </w:r>
          </w:p>
        </w:tc>
        <w:tc>
          <w:tcPr>
            <w:tcW w:type="dxa" w:w="5102"/>
            <w:tcMar>
              <w:top w:w="85" w:type="dxa"/>
              <w:start w:w="110" w:type="dxa"/>
              <w:bottom w:w="85" w:type="dxa"/>
              <w:end w:w="110" w:type="dxa"/>
            </w:tcMar>
            <w:vAlign w:val="top"/>
          </w:tcPr>
          <w:p>
            <w:r>
              <w:t>Residual-spatial-dependence sensitivity</w:t>
            </w:r>
          </w:p>
        </w:tc>
        <w:tc>
          <w:tcPr>
            <w:tcW w:type="dxa" w:w="2438"/>
            <w:tcMar>
              <w:top w:w="85" w:type="dxa"/>
              <w:start w:w="110" w:type="dxa"/>
              <w:bottom w:w="85" w:type="dxa"/>
              <w:end w:w="110" w:type="dxa"/>
            </w:tcMar>
            <w:vAlign w:val="top"/>
          </w:tcPr>
          <w:p>
            <w:r>
              <w:t>Core only if justified</w:t>
            </w:r>
          </w:p>
        </w:tc>
      </w:tr>
      <w:tr>
        <w:trPr>
          <w:cantSplit/>
        </w:trPr>
        <w:tc>
          <w:tcPr>
            <w:tcW w:type="dxa" w:w="2268"/>
            <w:tcMar>
              <w:top w:w="85" w:type="dxa"/>
              <w:start w:w="110" w:type="dxa"/>
              <w:bottom w:w="85" w:type="dxa"/>
              <w:end w:w="110" w:type="dxa"/>
            </w:tcMar>
            <w:vAlign w:val="top"/>
          </w:tcPr>
          <w:p>
            <w:r>
              <w:t>Buffered + shifted geometric blocks</w:t>
            </w:r>
          </w:p>
        </w:tc>
        <w:tc>
          <w:tcPr>
            <w:tcW w:type="dxa" w:w="5102"/>
            <w:tcMar>
              <w:top w:w="85" w:type="dxa"/>
              <w:start w:w="110" w:type="dxa"/>
              <w:bottom w:w="85" w:type="dxa"/>
              <w:end w:w="110" w:type="dxa"/>
            </w:tcMar>
            <w:vAlign w:val="top"/>
          </w:tcPr>
          <w:p>
            <w:r>
              <w:t>Validation-design, grid-origin and short-range-dependence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Alternative block sizes</w:t>
            </w:r>
          </w:p>
        </w:tc>
        <w:tc>
          <w:tcPr>
            <w:tcW w:type="dxa" w:w="5102"/>
            <w:tcMar>
              <w:top w:w="85" w:type="dxa"/>
              <w:start w:w="110" w:type="dxa"/>
              <w:bottom w:w="85" w:type="dxa"/>
              <w:end w:w="110" w:type="dxa"/>
            </w:tcMar>
            <w:vAlign w:val="top"/>
          </w:tcPr>
          <w:p>
            <w:r>
              <w:t>Check dependence on the chosen spatial separation scale</w:t>
            </w:r>
          </w:p>
        </w:tc>
        <w:tc>
          <w:tcPr>
            <w:tcW w:type="dxa" w:w="2438"/>
            <w:tcMar>
              <w:top w:w="85" w:type="dxa"/>
              <w:start w:w="110" w:type="dxa"/>
              <w:bottom w:w="85" w:type="dxa"/>
              <w:end w:w="110" w:type="dxa"/>
            </w:tcMar>
            <w:vAlign w:val="top"/>
          </w:tcPr>
          <w:p>
            <w:r>
              <w:t>Core robustness</w:t>
            </w:r>
          </w:p>
        </w:tc>
      </w:tr>
      <w:tr>
        <w:trPr>
          <w:cantSplit/>
        </w:trPr>
        <w:tc>
          <w:tcPr>
            <w:tcW w:type="dxa" w:w="3286"/>
          </w:tcPr>
          <w:p>
            <w:r>
              <w:t>GTFS</w:t>
            </w:r>
          </w:p>
        </w:tc>
        <w:tc>
          <w:tcPr>
            <w:tcW w:type="dxa" w:w="3286"/>
          </w:tcPr>
          <w:p>
            <w:r>
              <w:t>Scheduled-transit accessibility</w:t>
            </w:r>
          </w:p>
        </w:tc>
        <w:tc>
          <w:tcPr>
            <w:tcW w:type="dxa" w:w="3286"/>
          </w:tcPr>
          <w:p>
            <w:r>
              <w:t>Stretch</w:t>
            </w:r>
          </w:p>
        </w:tc>
      </w:tr>
      <w:tr>
        <w:trPr>
          <w:cantSplit/>
        </w:trPr>
        <w:tc>
          <w:tcPr>
            <w:tcW w:type="dxa" w:w="3286"/>
          </w:tcPr>
          <w:p>
            <w:r>
              <w:t>TabPFN / TabICLv2</w:t>
            </w:r>
          </w:p>
        </w:tc>
        <w:tc>
          <w:tcPr>
            <w:tcW w:type="dxa" w:w="3286"/>
          </w:tcPr>
          <w:p>
            <w:r>
              <w:t>Advanced imputation or predictive benchmark</w:t>
            </w:r>
          </w:p>
        </w:tc>
        <w:tc>
          <w:tcPr>
            <w:tcW w:type="dxa" w:w="3286"/>
          </w:tcPr>
          <w:p>
            <w:r>
              <w:t>Stretch</w:t>
            </w:r>
          </w:p>
        </w:tc>
      </w:tr>
      <w:tr>
        <w:trPr>
          <w:cantSplit/>
        </w:trPr>
        <w:tc>
          <w:tcPr>
            <w:tcW w:type="dxa" w:w="3286"/>
          </w:tcPr>
          <w:p>
            <w:r>
              <w:t>Second Airbnb snapshot</w:t>
            </w:r>
          </w:p>
        </w:tc>
        <w:tc>
          <w:tcPr>
            <w:tcW w:type="dxa" w:w="3286"/>
          </w:tcPr>
          <w:p>
            <w:r>
              <w:t>Temporal sensitivity</w:t>
            </w:r>
          </w:p>
        </w:tc>
        <w:tc>
          <w:tcPr>
            <w:tcW w:type="dxa" w:w="3286"/>
          </w:tcPr>
          <w:p>
            <w:r>
              <w:t>Stretch only after strong draft</w:t>
            </w:r>
          </w:p>
        </w:tc>
      </w:tr>
    </w:tbl>
    <w:p>
      <w:pPr>
        <w:spacing w:after="0"/>
      </w:pPr>
    </w:p>
    <w:p>
      <w:pPr>
        <w:pStyle w:val="Heading1"/>
      </w:pPr>
      <w:r>
        <w:t>13. Tables and figures to produce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3515"/>
            <w:shd w:fill="E6EEF2"/>
            <w:tcMar>
              <w:top w:w="85" w:type="dxa"/>
              <w:start w:w="110" w:type="dxa"/>
              <w:bottom w:w="85" w:type="dxa"/>
              <w:end w:w="110" w:type="dxa"/>
            </w:tcMar>
            <w:vAlign w:val="center"/>
          </w:tcPr>
          <w:p>
            <w:r>
              <w:rPr>
                <w:rFonts w:ascii="Liberation Sans" w:hAnsi="Liberation Sans"/>
                <w:b/>
                <w:color w:val="17354A"/>
                <w:sz w:val="16"/>
              </w:rPr>
              <w:t>Main-text item</w:t>
            </w:r>
          </w:p>
        </w:tc>
        <w:tc>
          <w:tcPr>
            <w:tcW w:type="dxa" w:w="6350"/>
            <w:shd w:fill="E6EEF2"/>
            <w:tcMar>
              <w:top w:w="85" w:type="dxa"/>
              <w:start w:w="110" w:type="dxa"/>
              <w:bottom w:w="85" w:type="dxa"/>
              <w:end w:w="110" w:type="dxa"/>
            </w:tcMar>
            <w:vAlign w:val="center"/>
          </w:tcPr>
          <w:p>
            <w:r>
              <w:rPr>
                <w:rFonts w:ascii="Liberation Sans" w:hAnsi="Liberation Sans"/>
                <w:b/>
                <w:color w:val="17354A"/>
                <w:sz w:val="16"/>
              </w:rPr>
              <w:t>Purpose</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1 — Sample construction</w:t>
            </w:r>
          </w:p>
        </w:tc>
        <w:tc>
          <w:tcPr>
            <w:tcW w:type="dxa" w:w="6350"/>
            <w:tcMar>
              <w:top w:w="85" w:type="dxa"/>
              <w:start w:w="110" w:type="dxa"/>
              <w:bottom w:w="85" w:type="dxa"/>
              <w:end w:w="110" w:type="dxa"/>
            </w:tcMar>
            <w:vAlign w:val="top"/>
          </w:tcPr>
          <w:p>
            <w:r>
              <w:rPr>
                <w:rFonts w:ascii="Liberation Sans" w:hAnsi="Liberation Sans"/>
                <w:sz w:val="16"/>
              </w:rPr>
              <w:t>Raw extract -&gt; geography -&gt; entire home/apt -&gt; conventional dwellings -&gt; valid price/coordinates -&gt; final N.</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2 — Variable specification</w:t>
            </w:r>
          </w:p>
        </w:tc>
        <w:tc>
          <w:tcPr>
            <w:tcW w:type="dxa" w:w="6350"/>
            <w:tcMar>
              <w:top w:w="85" w:type="dxa"/>
              <w:start w:w="110" w:type="dxa"/>
              <w:bottom w:w="85" w:type="dxa"/>
              <w:end w:w="110" w:type="dxa"/>
            </w:tcMar>
            <w:vAlign w:val="top"/>
          </w:tcPr>
          <w:p>
            <w:r>
              <w:rPr>
                <w:rFonts w:ascii="Liberation Sans" w:hAnsi="Liberation Sans"/>
                <w:sz w:val="16"/>
              </w:rPr>
              <w:t>Concept, raw field, symbol, definition, transformation, source, model role and missingness rule.</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3 — Descriptive statistics</w:t>
            </w:r>
          </w:p>
        </w:tc>
        <w:tc>
          <w:tcPr>
            <w:tcW w:type="dxa" w:w="6350"/>
            <w:tcMar>
              <w:top w:w="85" w:type="dxa"/>
              <w:start w:w="110" w:type="dxa"/>
              <w:bottom w:w="85" w:type="dxa"/>
              <w:end w:w="110" w:type="dxa"/>
            </w:tcMar>
            <w:vAlign w:val="top"/>
          </w:tcPr>
          <w:p>
            <w:r>
              <w:t>Price, property/host controls, core analysis-area context and accessibility, including rail/metro/S-train and bus-stop access.</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4 — Accessibility definitions</w:t>
            </w:r>
          </w:p>
        </w:tc>
        <w:tc>
          <w:tcPr>
            <w:tcW w:type="dxa" w:w="6350"/>
            <w:tcMar>
              <w:top w:w="85" w:type="dxa"/>
              <w:start w:w="110" w:type="dxa"/>
              <w:bottom w:w="85" w:type="dxa"/>
              <w:end w:w="110" w:type="dxa"/>
            </w:tcMar>
            <w:vAlign w:val="top"/>
          </w:tcPr>
          <w:p>
            <w:r>
              <w:t>Straight-line vs network operationalization for rail/metro/S-train, bus stops and opportunity measures; 5.0 km/h baseline; 10-minute/833 m primary definition; threshold and walking-speed sensitivities.</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5 — Hedonic model ladder</w:t>
            </w:r>
          </w:p>
        </w:tc>
        <w:tc>
          <w:tcPr>
            <w:tcW w:type="dxa" w:w="6350"/>
            <w:tcMar>
              <w:top w:w="85" w:type="dxa"/>
              <w:start w:w="110" w:type="dxa"/>
              <w:bottom w:w="85" w:type="dxa"/>
              <w:end w:w="110" w:type="dxa"/>
            </w:tcMar>
            <w:vAlign w:val="top"/>
          </w:tcPr>
          <w:p>
            <w:r>
              <w:rPr>
                <w:rFonts w:ascii="Liberation Sans" w:hAnsi="Liberation Sans"/>
                <w:sz w:val="16"/>
              </w:rPr>
              <w:t>M0, ME, MW, MEW; focus on accessibility coefficients and model fit.</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6 — Predictive performance</w:t>
            </w:r>
          </w:p>
        </w:tc>
        <w:tc>
          <w:tcPr>
            <w:tcW w:type="dxa" w:w="6350"/>
            <w:tcMar>
              <w:top w:w="85" w:type="dxa"/>
              <w:start w:w="110" w:type="dxa"/>
              <w:bottom w:w="85" w:type="dxa"/>
              <w:end w:w="110" w:type="dxa"/>
            </w:tcMar>
            <w:vAlign w:val="top"/>
          </w:tcPr>
          <w:p>
            <w:r>
              <w:t>Naive/OLS/XGBoost x feature set x random/geographic validation, using the expanded frozen XGBoost tuning protocol.</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7 — Incremental accessibility value</w:t>
            </w:r>
          </w:p>
        </w:tc>
        <w:tc>
          <w:tcPr>
            <w:tcW w:type="dxa" w:w="6350"/>
            <w:tcMar>
              <w:top w:w="85" w:type="dxa"/>
              <w:start w:w="110" w:type="dxa"/>
              <w:bottom w:w="85" w:type="dxa"/>
              <w:end w:w="110" w:type="dxa"/>
            </w:tcMar>
            <w:vAlign w:val="top"/>
          </w:tcPr>
          <w:p>
            <w:r>
              <w:t>Delta RMSE/MAE relative to M0 and Euclidean specification, with per-analysis-area differences and uncertainty/stability summary.</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8 — Robustness summary</w:t>
            </w:r>
          </w:p>
        </w:tc>
        <w:tc>
          <w:tcPr>
            <w:tcW w:type="dxa" w:w="6350"/>
            <w:tcMar>
              <w:top w:w="85" w:type="dxa"/>
              <w:start w:w="110" w:type="dxa"/>
              <w:bottom w:w="85" w:type="dxa"/>
              <w:end w:w="110" w:type="dxa"/>
            </w:tcMar>
            <w:vAlign w:val="top"/>
          </w:tcPr>
          <w:p>
            <w:r>
              <w:t>Sample, threshold, walking-speed, distance-decay, area-aware inference, SEM and alternative spatial-split sensitivities.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1 — Research workflow</w:t>
            </w:r>
          </w:p>
        </w:tc>
        <w:tc>
          <w:tcPr>
            <w:tcW w:type="dxa" w:w="6350"/>
            <w:tcMar>
              <w:top w:w="85" w:type="dxa"/>
              <w:start w:w="110" w:type="dxa"/>
              <w:bottom w:w="85" w:type="dxa"/>
              <w:end w:w="110" w:type="dxa"/>
            </w:tcMar>
            <w:vAlign w:val="top"/>
          </w:tcPr>
          <w:p>
            <w:r>
              <w:rPr>
                <w:rFonts w:ascii="Liberation Sans" w:hAnsi="Liberation Sans"/>
                <w:sz w:val="16"/>
              </w:rPr>
              <w:t>Data -&gt; accessibility -&gt; models -&gt; validation.</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2 — Study area / listings</w:t>
            </w:r>
          </w:p>
        </w:tc>
        <w:tc>
          <w:tcPr>
            <w:tcW w:type="dxa" w:w="6350"/>
            <w:tcMar>
              <w:top w:w="85" w:type="dxa"/>
              <w:start w:w="110" w:type="dxa"/>
              <w:bottom w:w="85" w:type="dxa"/>
              <w:end w:w="110" w:type="dxa"/>
            </w:tcMar>
            <w:vAlign w:val="top"/>
          </w:tcPr>
          <w:p>
            <w:r>
              <w:t>11 analysis areas, retained listings, rail/metro/S-train stations and bus stops.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3 — Price distribution / spatial pattern</w:t>
            </w:r>
          </w:p>
        </w:tc>
        <w:tc>
          <w:tcPr>
            <w:tcW w:type="dxa" w:w="6350"/>
            <w:tcMar>
              <w:top w:w="85" w:type="dxa"/>
              <w:start w:w="110" w:type="dxa"/>
              <w:bottom w:w="85" w:type="dxa"/>
              <w:end w:w="110" w:type="dxa"/>
            </w:tcMar>
            <w:vAlign w:val="top"/>
          </w:tcPr>
          <w:p>
            <w:r>
              <w:rPr>
                <w:rFonts w:ascii="Liberation Sans" w:hAnsi="Liberation Sans"/>
                <w:sz w:val="16"/>
              </w:rPr>
              <w:t>Histogram of price/log price plus aggregated map.</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4 — Euclidean vs network example</w:t>
            </w:r>
          </w:p>
        </w:tc>
        <w:tc>
          <w:tcPr>
            <w:tcW w:type="dxa" w:w="6350"/>
            <w:tcMar>
              <w:top w:w="85" w:type="dxa"/>
              <w:start w:w="110" w:type="dxa"/>
              <w:bottom w:w="85" w:type="dxa"/>
              <w:end w:w="110" w:type="dxa"/>
            </w:tcMar>
            <w:vAlign w:val="top"/>
          </w:tcPr>
          <w:p>
            <w:r>
              <w:rPr>
                <w:rFonts w:ascii="Liberation Sans" w:hAnsi="Liberation Sans"/>
                <w:sz w:val="16"/>
              </w:rPr>
              <w:t>Why the measurement choices differ spatially.</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5 — Measure comparison</w:t>
            </w:r>
          </w:p>
        </w:tc>
        <w:tc>
          <w:tcPr>
            <w:tcW w:type="dxa" w:w="6350"/>
            <w:tcMar>
              <w:top w:w="85" w:type="dxa"/>
              <w:start w:w="110" w:type="dxa"/>
              <w:bottom w:w="85" w:type="dxa"/>
              <w:end w:w="110" w:type="dxa"/>
            </w:tcMar>
            <w:vAlign w:val="top"/>
          </w:tcPr>
          <w:p>
            <w:r>
              <w:rPr>
                <w:rFonts w:ascii="Liberation Sans" w:hAnsi="Liberation Sans"/>
                <w:sz w:val="16"/>
              </w:rPr>
              <w:t>Euclidean vs network scatter/correlation across listings.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6 — Accessibility-price interpretation</w:t>
            </w:r>
          </w:p>
        </w:tc>
        <w:tc>
          <w:tcPr>
            <w:tcW w:type="dxa" w:w="6350"/>
            <w:tcMar>
              <w:top w:w="85" w:type="dxa"/>
              <w:start w:w="110" w:type="dxa"/>
              <w:bottom w:w="85" w:type="dxa"/>
              <w:end w:w="110" w:type="dxa"/>
            </w:tcMar>
            <w:vAlign w:val="top"/>
          </w:tcPr>
          <w:p>
            <w:r>
              <w:t>Outer-fold/held-out SHAP or dependence summaries for focal accessibility features; avoid interpreting full-sample SHAP as causal.</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7 — Random vs geographic performance</w:t>
            </w:r>
          </w:p>
        </w:tc>
        <w:tc>
          <w:tcPr>
            <w:tcW w:type="dxa" w:w="6350"/>
            <w:tcMar>
              <w:top w:w="85" w:type="dxa"/>
              <w:start w:w="110" w:type="dxa"/>
              <w:bottom w:w="85" w:type="dxa"/>
              <w:end w:w="110" w:type="dxa"/>
            </w:tcMar>
            <w:vAlign w:val="top"/>
          </w:tcPr>
          <w:p>
            <w:r>
              <w:rPr>
                <w:rFonts w:ascii="Liberation Sans" w:hAnsi="Liberation Sans"/>
                <w:sz w:val="16"/>
              </w:rPr>
              <w:t>Core results figure.</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8 — Outer CV geography</w:t>
            </w:r>
          </w:p>
        </w:tc>
        <w:tc>
          <w:tcPr>
            <w:tcW w:type="dxa" w:w="6350"/>
            <w:tcMar>
              <w:top w:w="85" w:type="dxa"/>
              <w:start w:w="110" w:type="dxa"/>
              <w:bottom w:w="85" w:type="dxa"/>
              <w:end w:w="110" w:type="dxa"/>
            </w:tcMar>
            <w:vAlign w:val="top"/>
          </w:tcPr>
          <w:p>
            <w:r>
              <w:t>11 leave-one-analysis-area-out folds plus buffer/geometric/shifted-grid sensitivity.</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9 — Residual spatial pattern, if material</w:t>
            </w:r>
          </w:p>
        </w:tc>
        <w:tc>
          <w:tcPr>
            <w:tcW w:type="dxa" w:w="6350"/>
            <w:tcMar>
              <w:top w:w="85" w:type="dxa"/>
              <w:start w:w="110" w:type="dxa"/>
              <w:bottom w:w="85" w:type="dxa"/>
              <w:end w:w="110" w:type="dxa"/>
            </w:tcMar>
            <w:vAlign w:val="top"/>
          </w:tcPr>
          <w:p>
            <w:r>
              <w:rPr>
                <w:rFonts w:ascii="Liberation Sans" w:hAnsi="Liberation Sans"/>
                <w:sz w:val="16"/>
              </w:rPr>
              <w:t>Map / Moran diagnostic for remaining error structure.</w:t>
            </w:r>
          </w:p>
        </w:tc>
      </w:tr>
    </w:tbl>
    <w:p>
      <w:pPr>
        <w:spacing w:after="0"/>
      </w:pPr>
    </w:p>
    <w:p>
      <w:pPr>
        <w:pStyle w:val="Heading1"/>
      </w:pPr>
      <w:r>
        <w:t>14. Technical pipeline and reproducibility</w:t>
      </w:r>
    </w:p>
    <w:p>
      <w:pPr>
        <w:spacing w:after="60"/>
        <w:ind w:left="408" w:hanging="312"/>
      </w:pPr>
      <w:r>
        <w:rPr>
          <w:rFonts w:ascii="Liberation Sans" w:hAnsi="Liberation Sans"/>
          <w:b/>
        </w:rPr>
        <w:t xml:space="preserve">1.  </w:t>
      </w:r>
      <w:r>
        <w:rPr>
          <w:rFonts w:ascii="Liberation Sans" w:hAnsi="Liberation Sans"/>
        </w:rPr>
        <w:t>Freeze raw snapshot(s); record source URL, download date, licence and checksum. Raw files are immutable.</w:t>
      </w:r>
    </w:p>
    <w:p>
      <w:pPr>
        <w:spacing w:after="60"/>
        <w:ind w:left="408" w:hanging="312"/>
      </w:pPr>
      <w:r>
        <w:t>2.  Create PostGIS schema for listings, 11 analysis-area boundaries/context, OSM walking network, rail/metro/S-train stations, bus stops, OSM POIs and engineered listing features.</w:t>
      </w:r>
    </w:p>
    <w:p>
      <w:pPr>
        <w:spacing w:after="60"/>
        <w:ind w:left="408" w:hanging="312"/>
      </w:pPr>
      <w:r>
        <w:rPr>
          <w:rFonts w:ascii="Liberation Sans" w:hAnsi="Liberation Sans"/>
          <w:b/>
        </w:rPr>
        <w:t xml:space="preserve">3.  </w:t>
      </w:r>
      <w:r>
        <w:rPr>
          <w:rFonts w:ascii="Liberation Sans" w:hAnsi="Liberation Sans"/>
        </w:rPr>
        <w:t>Project spatial data to a metric CRS suitable for Copenhagen/Frederiksberg; keep original WGS84 coordinates separately.</w:t>
      </w:r>
    </w:p>
    <w:p>
      <w:pPr>
        <w:spacing w:after="60"/>
        <w:ind w:left="408" w:hanging="312"/>
      </w:pPr>
      <w:r>
        <w:t>4.  Freeze sample eligibility, analysis-area assignment, area-context definitions, station/bus-stop taxonomy and POI taxonomy before estimating price relationships.</w:t>
      </w:r>
    </w:p>
    <w:p>
      <w:pPr>
        <w:spacing w:after="60"/>
        <w:ind w:left="408" w:hanging="312"/>
      </w:pPr>
      <w:r>
        <w:t>5.  Cache the pedestrian network, listing/network snaps, rail/metro/S-train layer, deduplicated bus-stop layer, POI layers and all accessibility calculations.</w:t>
      </w:r>
    </w:p>
    <w:p>
      <w:pPr>
        <w:spacing w:after="60"/>
        <w:ind w:left="408" w:hanging="312"/>
      </w:pPr>
      <w:r>
        <w:t>6.  Create a single Version 3 analytical table with a version/hash and data dictionary. Area context is already core at this stage; there is no later context-only add-on model family.</w:t>
      </w:r>
    </w:p>
    <w:p>
      <w:pPr>
        <w:spacing w:after="60"/>
        <w:ind w:left="408" w:hanging="312"/>
      </w:pPr>
      <w:r>
        <w:t>7.  Create and save reproducible outer random folds and the 11 leave-one-analysis-area-out folds before tuning. Pre-generate and save the fixed 30-candidate XGBoost tuning set and inner grouped/spatial folds; reuse them across feature sets.</w:t>
      </w:r>
    </w:p>
    <w:p>
      <w:pPr>
        <w:spacing w:after="60"/>
        <w:ind w:left="408" w:hanging="312"/>
      </w:pPr>
      <w:r>
        <w:t>8.  Fit preprocessing, imputation and XGBoost tuning inside training folds only. Never use held-out outcomes/areas to choose transformations, accessibility definitions, hyperparameters or spatial split settings.</w:t>
      </w:r>
    </w:p>
    <w:p>
      <w:pPr>
        <w:spacing w:after="60"/>
        <w:ind w:left="408" w:hanging="312"/>
      </w:pPr>
      <w:r>
        <w:t>9.  Save outer-fold predictions, residuals, per-listing losses, selected hyperparameters and held-out SHAP values before aggregation. Export every final table/figure directly from scripts; no manual spreadsheet edits to model results.</w:t>
      </w:r>
    </w:p>
    <w:p>
      <w:pPr>
        <w:pStyle w:val="Equation"/>
      </w:pPr>
      <w:r>
        <w:t>project/</w:t>
        <w:br/>
        <w:t xml:space="preserve">  data/raw | interim | processed</w:t>
        <w:br/>
        <w:t xml:space="preserve">  sql/</w:t>
        <w:br/>
        <w:t xml:space="preserve">  src/ingestion | spatial | modelling | validation</w:t>
        <w:br/>
        <w:t xml:space="preserve">  outputs/tables | figures</w:t>
        <w:br/>
        <w:t xml:space="preserve">  docs/data_dictionary | decision_log | reproducibility</w:t>
      </w:r>
    </w:p>
    <w:p>
      <w:pPr>
        <w:pStyle w:val="Heading1"/>
      </w:pPr>
      <w:r>
        <w:t>15. Week-by-week execution plan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020"/>
            <w:shd w:fill="E6EEF2"/>
            <w:tcMar>
              <w:top w:w="85" w:type="dxa"/>
              <w:start w:w="110" w:type="dxa"/>
              <w:bottom w:w="85" w:type="dxa"/>
              <w:end w:w="110" w:type="dxa"/>
            </w:tcMar>
            <w:vAlign w:val="center"/>
          </w:tcPr>
          <w:p>
            <w:r>
              <w:rPr>
                <w:rFonts w:ascii="Liberation Sans" w:hAnsi="Liberation Sans"/>
                <w:b/>
                <w:color w:val="17354A"/>
                <w:sz w:val="15"/>
              </w:rPr>
              <w:t>Week</w:t>
            </w:r>
          </w:p>
        </w:tc>
        <w:tc>
          <w:tcPr>
            <w:tcW w:type="dxa" w:w="4762"/>
            <w:shd w:fill="E6EEF2"/>
            <w:tcMar>
              <w:top w:w="85" w:type="dxa"/>
              <w:start w:w="110" w:type="dxa"/>
              <w:bottom w:w="85" w:type="dxa"/>
              <w:end w:w="110" w:type="dxa"/>
            </w:tcMar>
            <w:vAlign w:val="center"/>
          </w:tcPr>
          <w:p>
            <w:r>
              <w:rPr>
                <w:rFonts w:ascii="Liberation Sans" w:hAnsi="Liberation Sans"/>
                <w:b/>
                <w:color w:val="17354A"/>
                <w:sz w:val="15"/>
              </w:rPr>
              <w:t>Primary work</w:t>
            </w:r>
          </w:p>
        </w:tc>
        <w:tc>
          <w:tcPr>
            <w:tcW w:type="dxa" w:w="3969"/>
            <w:shd w:fill="E6EEF2"/>
            <w:tcMar>
              <w:top w:w="85" w:type="dxa"/>
              <w:start w:w="110" w:type="dxa"/>
              <w:bottom w:w="85" w:type="dxa"/>
              <w:end w:w="110" w:type="dxa"/>
            </w:tcMar>
            <w:vAlign w:val="center"/>
          </w:tcPr>
          <w:p>
            <w:r>
              <w:rPr>
                <w:rFonts w:ascii="Liberation Sans" w:hAnsi="Liberation Sans"/>
                <w:b/>
                <w:color w:val="17354A"/>
                <w:sz w:val="15"/>
              </w:rPr>
              <w:t>Definition of done</w:t>
            </w:r>
          </w:p>
        </w:tc>
      </w:tr>
      <w:tr>
        <w:trPr>
          <w:cantSplit/>
        </w:trPr>
        <w:tc>
          <w:tcPr>
            <w:tcW w:type="dxa" w:w="1020"/>
            <w:tcMar>
              <w:top w:w="85" w:type="dxa"/>
              <w:start w:w="110" w:type="dxa"/>
              <w:bottom w:w="85" w:type="dxa"/>
              <w:end w:w="110" w:type="dxa"/>
            </w:tcMar>
            <w:vAlign w:val="top"/>
          </w:tcPr>
          <w:p>
            <w:r>
              <w:rPr>
                <w:rFonts w:ascii="Liberation Sans" w:hAnsi="Liberation Sans"/>
                <w:sz w:val="15"/>
              </w:rPr>
              <w:t>0 — now</w:t>
            </w:r>
          </w:p>
        </w:tc>
        <w:tc>
          <w:tcPr>
            <w:tcW w:type="dxa" w:w="4762"/>
            <w:tcMar>
              <w:top w:w="85" w:type="dxa"/>
              <w:start w:w="110" w:type="dxa"/>
              <w:bottom w:w="85" w:type="dxa"/>
              <w:end w:w="110" w:type="dxa"/>
            </w:tcMar>
            <w:vAlign w:val="top"/>
          </w:tcPr>
          <w:p>
            <w:r>
              <w:t>Archive Version 2 code/results; freeze Version 3 re-analysis protocol; confirm raw snapshot/checksums; create rerun manifest.</w:t>
            </w:r>
          </w:p>
        </w:tc>
        <w:tc>
          <w:tcPr>
            <w:tcW w:type="dxa" w:w="3969"/>
            <w:tcMar>
              <w:top w:w="85" w:type="dxa"/>
              <w:start w:w="110" w:type="dxa"/>
              <w:bottom w:w="85" w:type="dxa"/>
              <w:end w:w="110" w:type="dxa"/>
            </w:tcMar>
            <w:vAlign w:val="top"/>
          </w:tcPr>
          <w:p>
            <w:r>
              <w:t>Version 2 retained as audit archive; Version 3 methods frozen before rerun.</w:t>
            </w:r>
          </w:p>
        </w:tc>
      </w:tr>
      <w:tr>
        <w:trPr>
          <w:cantSplit/>
        </w:trPr>
        <w:tc>
          <w:tcPr>
            <w:tcW w:type="dxa" w:w="1020"/>
            <w:tcMar>
              <w:top w:w="85" w:type="dxa"/>
              <w:start w:w="110" w:type="dxa"/>
              <w:bottom w:w="85" w:type="dxa"/>
              <w:end w:w="110" w:type="dxa"/>
            </w:tcMar>
            <w:vAlign w:val="top"/>
          </w:tcPr>
          <w:p>
            <w:r>
              <w:rPr>
                <w:rFonts w:ascii="Liberation Sans" w:hAnsi="Liberation Sans"/>
                <w:sz w:val="15"/>
              </w:rPr>
              <w:t>1</w:t>
            </w:r>
          </w:p>
        </w:tc>
        <w:tc>
          <w:tcPr>
            <w:tcW w:type="dxa" w:w="4762"/>
            <w:tcMar>
              <w:top w:w="85" w:type="dxa"/>
              <w:start w:w="110" w:type="dxa"/>
              <w:bottom w:w="85" w:type="dxa"/>
              <w:end w:w="110" w:type="dxa"/>
            </w:tcMar>
            <w:vAlign w:val="top"/>
          </w:tcPr>
          <w:p>
            <w:r>
              <w:t>Confirm 11 analysis-area polygons and Copenhagen/Frederiksberg coverage; harmonisation plan for area income/density; finalize RQs.</w:t>
            </w:r>
          </w:p>
        </w:tc>
        <w:tc>
          <w:tcPr>
            <w:tcW w:type="dxa" w:w="3969"/>
            <w:tcMar>
              <w:top w:w="85" w:type="dxa"/>
              <w:start w:w="110" w:type="dxa"/>
              <w:bottom w:w="85" w:type="dxa"/>
              <w:end w:w="110" w:type="dxa"/>
            </w:tcMar>
            <w:vAlign w:val="top"/>
          </w:tcPr>
          <w:p>
            <w:r>
              <w:t>11-area map and crosswalk; case-study note explaining Frederiksberg administrative distinction once.</w:t>
            </w:r>
          </w:p>
        </w:tc>
      </w:tr>
      <w:tr>
        <w:trPr>
          <w:cantSplit/>
        </w:trPr>
        <w:tc>
          <w:tcPr>
            <w:tcW w:type="dxa" w:w="1020"/>
            <w:tcMar>
              <w:top w:w="85" w:type="dxa"/>
              <w:start w:w="110" w:type="dxa"/>
              <w:bottom w:w="85" w:type="dxa"/>
              <w:end w:w="110" w:type="dxa"/>
            </w:tcMar>
            <w:vAlign w:val="top"/>
          </w:tcPr>
          <w:p>
            <w:r>
              <w:rPr>
                <w:rFonts w:ascii="Liberation Sans" w:hAnsi="Liberation Sans"/>
                <w:sz w:val="15"/>
              </w:rPr>
              <w:t>2</w:t>
            </w:r>
          </w:p>
        </w:tc>
        <w:tc>
          <w:tcPr>
            <w:tcW w:type="dxa" w:w="4762"/>
            <w:tcMar>
              <w:top w:w="85" w:type="dxa"/>
              <w:start w:w="110" w:type="dxa"/>
              <w:bottom w:w="85" w:type="dxa"/>
              <w:end w:w="110" w:type="dxa"/>
            </w:tcMar>
            <w:vAlign w:val="top"/>
          </w:tcPr>
          <w:p>
            <w:r>
              <w:rPr>
                <w:rFonts w:ascii="Liberation Sans" w:hAnsi="Liberation Sans"/>
                <w:sz w:val="15"/>
              </w:rPr>
              <w:t>Airbnb cleaning, sample rules, property-type grouping, price parsing and missingness audit.</w:t>
            </w:r>
          </w:p>
        </w:tc>
        <w:tc>
          <w:tcPr>
            <w:tcW w:type="dxa" w:w="3969"/>
            <w:tcMar>
              <w:top w:w="85" w:type="dxa"/>
              <w:start w:w="110" w:type="dxa"/>
              <w:bottom w:w="85" w:type="dxa"/>
              <w:end w:w="110" w:type="dxa"/>
            </w:tcMar>
            <w:vAlign w:val="top"/>
          </w:tcPr>
          <w:p>
            <w:r>
              <w:rPr>
                <w:rFonts w:ascii="Liberation Sans" w:hAnsi="Liberation Sans"/>
                <w:sz w:val="15"/>
              </w:rPr>
              <w:t>Sample-construction table draft; outcome/missingness report.</w:t>
            </w:r>
          </w:p>
        </w:tc>
      </w:tr>
      <w:tr>
        <w:trPr>
          <w:cantSplit/>
        </w:trPr>
        <w:tc>
          <w:tcPr>
            <w:tcW w:type="dxa" w:w="1020"/>
            <w:tcMar>
              <w:top w:w="85" w:type="dxa"/>
              <w:start w:w="110" w:type="dxa"/>
              <w:bottom w:w="85" w:type="dxa"/>
              <w:end w:w="110" w:type="dxa"/>
            </w:tcMar>
            <w:vAlign w:val="top"/>
          </w:tcPr>
          <w:p>
            <w:r>
              <w:rPr>
                <w:rFonts w:ascii="Liberation Sans" w:hAnsi="Liberation Sans"/>
                <w:sz w:val="15"/>
              </w:rPr>
              <w:t>3</w:t>
            </w:r>
          </w:p>
        </w:tc>
        <w:tc>
          <w:tcPr>
            <w:tcW w:type="dxa" w:w="4762"/>
            <w:tcMar>
              <w:top w:w="85" w:type="dxa"/>
              <w:start w:w="110" w:type="dxa"/>
              <w:bottom w:w="85" w:type="dxa"/>
              <w:end w:w="110" w:type="dxa"/>
            </w:tcMar>
            <w:vAlign w:val="top"/>
          </w:tcPr>
          <w:p>
            <w:r>
              <w:t>Rebuild OSM walking network + rail/metro/S-train layer + core bus-stop layer + POI taxonomy/deduplication.</w:t>
            </w:r>
          </w:p>
        </w:tc>
        <w:tc>
          <w:tcPr>
            <w:tcW w:type="dxa" w:w="3969"/>
            <w:tcMar>
              <w:top w:w="85" w:type="dxa"/>
              <w:start w:w="110" w:type="dxa"/>
              <w:bottom w:w="85" w:type="dxa"/>
              <w:end w:w="110" w:type="dxa"/>
            </w:tcMar>
            <w:vAlign w:val="top"/>
          </w:tcPr>
          <w:p>
            <w:r>
              <w:t>Cached network; frozen transport/POI tags; bus-stop deduplication and coverage audit.</w:t>
            </w:r>
          </w:p>
        </w:tc>
      </w:tr>
      <w:tr>
        <w:trPr>
          <w:cantSplit/>
        </w:trPr>
        <w:tc>
          <w:tcPr>
            <w:tcW w:type="dxa" w:w="1020"/>
            <w:tcMar>
              <w:top w:w="85" w:type="dxa"/>
              <w:start w:w="110" w:type="dxa"/>
              <w:bottom w:w="85" w:type="dxa"/>
              <w:end w:w="110" w:type="dxa"/>
            </w:tcMar>
            <w:vAlign w:val="top"/>
          </w:tcPr>
          <w:p>
            <w:r>
              <w:rPr>
                <w:rFonts w:ascii="Liberation Sans" w:hAnsi="Liberation Sans"/>
                <w:sz w:val="15"/>
              </w:rPr>
              <w:t>4</w:t>
            </w:r>
          </w:p>
        </w:tc>
        <w:tc>
          <w:tcPr>
            <w:tcW w:type="dxa" w:w="4762"/>
            <w:tcMar>
              <w:top w:w="85" w:type="dxa"/>
              <w:start w:w="110" w:type="dxa"/>
              <w:bottom w:w="85" w:type="dxa"/>
              <w:end w:w="110" w:type="dxa"/>
            </w:tcMar>
            <w:vAlign w:val="top"/>
          </w:tcPr>
          <w:p>
            <w:r>
              <w:t>Construct Euclidean rail/metro/S-train, bus-stop, food/social and culture/tourism measures; descriptive maps.</w:t>
            </w:r>
          </w:p>
        </w:tc>
        <w:tc>
          <w:tcPr>
            <w:tcW w:type="dxa" w:w="3969"/>
            <w:tcMar>
              <w:top w:w="85" w:type="dxa"/>
              <w:start w:w="110" w:type="dxa"/>
              <w:bottom w:w="85" w:type="dxa"/>
              <w:end w:w="110" w:type="dxa"/>
            </w:tcMar>
            <w:vAlign w:val="top"/>
          </w:tcPr>
          <w:p>
            <w:r>
              <w:t>ME feature block complete with both rail and bus access.</w:t>
            </w:r>
          </w:p>
        </w:tc>
      </w:tr>
      <w:tr>
        <w:trPr>
          <w:cantSplit/>
        </w:trPr>
        <w:tc>
          <w:tcPr>
            <w:tcW w:type="dxa" w:w="1020"/>
            <w:tcMar>
              <w:top w:w="85" w:type="dxa"/>
              <w:start w:w="110" w:type="dxa"/>
              <w:bottom w:w="85" w:type="dxa"/>
              <w:end w:w="110" w:type="dxa"/>
            </w:tcMar>
            <w:vAlign w:val="top"/>
          </w:tcPr>
          <w:p>
            <w:r>
              <w:rPr>
                <w:rFonts w:ascii="Liberation Sans" w:hAnsi="Liberation Sans"/>
                <w:sz w:val="15"/>
              </w:rPr>
              <w:t>5</w:t>
            </w:r>
          </w:p>
        </w:tc>
        <w:tc>
          <w:tcPr>
            <w:tcW w:type="dxa" w:w="4762"/>
            <w:tcMar>
              <w:top w:w="85" w:type="dxa"/>
              <w:start w:w="110" w:type="dxa"/>
              <w:bottom w:w="85" w:type="dxa"/>
              <w:end w:w="110" w:type="dxa"/>
            </w:tcMar>
            <w:vAlign w:val="top"/>
          </w:tcPr>
          <w:p>
            <w:r>
              <w:t>Construct network walking times to rail/metro/S-train and bus stops plus 10-minute opportunities at 5.0 km/h; generate 15/20-minute, 4.0/5.4 km/h walking-speed, and distance-decay robustness features.</w:t>
            </w:r>
          </w:p>
        </w:tc>
        <w:tc>
          <w:tcPr>
            <w:tcW w:type="dxa" w:w="3969"/>
            <w:tcMar>
              <w:top w:w="85" w:type="dxa"/>
              <w:start w:w="110" w:type="dxa"/>
              <w:bottom w:w="85" w:type="dxa"/>
              <w:end w:w="110" w:type="dxa"/>
            </w:tcMar>
            <w:vAlign w:val="top"/>
          </w:tcPr>
          <w:p>
            <w:r>
              <w:t>MW + decay features complete; edge effects and snapping audited.</w:t>
            </w:r>
          </w:p>
        </w:tc>
      </w:tr>
      <w:tr>
        <w:trPr>
          <w:cantSplit/>
        </w:trPr>
        <w:tc>
          <w:tcPr>
            <w:tcW w:type="dxa" w:w="1020"/>
            <w:tcMar>
              <w:top w:w="85" w:type="dxa"/>
              <w:start w:w="110" w:type="dxa"/>
              <w:bottom w:w="85" w:type="dxa"/>
              <w:end w:w="110" w:type="dxa"/>
            </w:tcMar>
            <w:vAlign w:val="top"/>
          </w:tcPr>
          <w:p>
            <w:r>
              <w:rPr>
                <w:rFonts w:ascii="Liberation Sans" w:hAnsi="Liberation Sans"/>
                <w:sz w:val="15"/>
              </w:rPr>
              <w:t>6</w:t>
            </w:r>
          </w:p>
        </w:tc>
        <w:tc>
          <w:tcPr>
            <w:tcW w:type="dxa" w:w="4762"/>
            <w:tcMar>
              <w:top w:w="85" w:type="dxa"/>
              <w:start w:w="110" w:type="dxa"/>
              <w:bottom w:w="85" w:type="dxa"/>
              <w:end w:w="110" w:type="dxa"/>
            </w:tcMar>
            <w:vAlign w:val="top"/>
          </w:tcPr>
          <w:p>
            <w:r>
              <w:t>Harmonise log population density and income to the 11 analysis areas and join as core baseline context.</w:t>
            </w:r>
          </w:p>
        </w:tc>
        <w:tc>
          <w:tcPr>
            <w:tcW w:type="dxa" w:w="3969"/>
            <w:tcMar>
              <w:top w:w="85" w:type="dxa"/>
              <w:start w:w="110" w:type="dxa"/>
              <w:bottom w:w="85" w:type="dxa"/>
              <w:end w:w="110" w:type="dxa"/>
            </w:tcMar>
            <w:vAlign w:val="top"/>
          </w:tcPr>
          <w:p>
            <w:r>
              <w:t>Core area-context block complete; no Frederiksberg-specific primary predictor.</w:t>
            </w:r>
          </w:p>
        </w:tc>
      </w:tr>
      <w:tr>
        <w:trPr>
          <w:cantSplit/>
        </w:trPr>
        <w:tc>
          <w:tcPr>
            <w:tcW w:type="dxa" w:w="1020"/>
            <w:tcMar>
              <w:top w:w="85" w:type="dxa"/>
              <w:start w:w="110" w:type="dxa"/>
              <w:bottom w:w="85" w:type="dxa"/>
              <w:end w:w="110" w:type="dxa"/>
            </w:tcMar>
            <w:vAlign w:val="top"/>
          </w:tcPr>
          <w:p>
            <w:r>
              <w:rPr>
                <w:rFonts w:ascii="Liberation Sans" w:hAnsi="Liberation Sans"/>
                <w:sz w:val="15"/>
              </w:rPr>
              <w:t>7</w:t>
            </w:r>
          </w:p>
        </w:tc>
        <w:tc>
          <w:tcPr>
            <w:tcW w:type="dxa" w:w="4762"/>
            <w:tcMar>
              <w:top w:w="85" w:type="dxa"/>
              <w:start w:w="110" w:type="dxa"/>
              <w:bottom w:w="85" w:type="dxa"/>
              <w:end w:w="110" w:type="dxa"/>
            </w:tcMar>
            <w:vAlign w:val="top"/>
          </w:tcPr>
          <w:p>
            <w:r>
              <w:t>Freeze analytical dataset Version 3; descriptive statistics; Moran diagnostics; save outer folds, inner folds and fixed XGBoost candidate set.</w:t>
            </w:r>
          </w:p>
        </w:tc>
        <w:tc>
          <w:tcPr>
            <w:tcW w:type="dxa" w:w="3969"/>
            <w:tcMar>
              <w:top w:w="85" w:type="dxa"/>
              <w:start w:w="110" w:type="dxa"/>
              <w:bottom w:w="85" w:type="dxa"/>
              <w:end w:w="110" w:type="dxa"/>
            </w:tcMar>
            <w:vAlign w:val="top"/>
          </w:tcPr>
          <w:p>
            <w:r>
              <w:t>Dataset/fold/tuning hashes; Tables 1–4 draft.</w:t>
            </w:r>
          </w:p>
        </w:tc>
      </w:tr>
      <w:tr>
        <w:trPr>
          <w:cantSplit/>
        </w:trPr>
        <w:tc>
          <w:tcPr>
            <w:tcW w:type="dxa" w:w="1020"/>
            <w:tcMar>
              <w:top w:w="85" w:type="dxa"/>
              <w:start w:w="110" w:type="dxa"/>
              <w:bottom w:w="85" w:type="dxa"/>
              <w:end w:w="110" w:type="dxa"/>
            </w:tcMar>
            <w:vAlign w:val="top"/>
          </w:tcPr>
          <w:p>
            <w:r>
              <w:rPr>
                <w:rFonts w:ascii="Liberation Sans" w:hAnsi="Liberation Sans"/>
                <w:sz w:val="15"/>
              </w:rPr>
              <w:t>8</w:t>
            </w:r>
          </w:p>
        </w:tc>
        <w:tc>
          <w:tcPr>
            <w:tcW w:type="dxa" w:w="4762"/>
            <w:tcMar>
              <w:top w:w="85" w:type="dxa"/>
              <w:start w:w="110" w:type="dxa"/>
              <w:bottom w:w="85" w:type="dxa"/>
              <w:end w:w="110" w:type="dxa"/>
            </w:tcMar>
            <w:vAlign w:val="top"/>
          </w:tcPr>
          <w:p>
            <w:r>
              <w:t>Estimate OLS M0/ME/MW/MEW with core area context; missing-data gate; HC3 plus area-aware inferential sensitivity; residual diagnostics.</w:t>
            </w:r>
          </w:p>
        </w:tc>
        <w:tc>
          <w:tcPr>
            <w:tcW w:type="dxa" w:w="3969"/>
            <w:tcMar>
              <w:top w:w="85" w:type="dxa"/>
              <w:start w:w="110" w:type="dxa"/>
              <w:bottom w:w="85" w:type="dxa"/>
              <w:end w:w="110" w:type="dxa"/>
            </w:tcMar>
            <w:vAlign w:val="top"/>
          </w:tcPr>
          <w:p>
            <w:r>
              <w:t>Main coefficient table + inference/diagnostic memo.</w:t>
            </w:r>
          </w:p>
        </w:tc>
      </w:tr>
      <w:tr>
        <w:trPr>
          <w:cantSplit/>
        </w:trPr>
        <w:tc>
          <w:tcPr>
            <w:tcW w:type="dxa" w:w="1020"/>
            <w:tcMar>
              <w:top w:w="85" w:type="dxa"/>
              <w:start w:w="110" w:type="dxa"/>
              <w:bottom w:w="85" w:type="dxa"/>
              <w:end w:w="110" w:type="dxa"/>
            </w:tcMar>
            <w:vAlign w:val="top"/>
          </w:tcPr>
          <w:p>
            <w:r>
              <w:rPr>
                <w:rFonts w:ascii="Liberation Sans" w:hAnsi="Liberation Sans"/>
                <w:sz w:val="15"/>
              </w:rPr>
              <w:t>9</w:t>
            </w:r>
          </w:p>
        </w:tc>
        <w:tc>
          <w:tcPr>
            <w:tcW w:type="dxa" w:w="4762"/>
            <w:tcMar>
              <w:top w:w="85" w:type="dxa"/>
              <w:start w:w="110" w:type="dxa"/>
              <w:bottom w:w="85" w:type="dxa"/>
              <w:end w:w="110" w:type="dxa"/>
            </w:tcMar>
            <w:vAlign w:val="top"/>
          </w:tcPr>
          <w:p>
            <w:r>
              <w:t>Rerun XGBoost random-CV benchmark with expanded frozen nested tuning; naive benchmark; save selected hyperparameters and held-out SHAP.</w:t>
            </w:r>
          </w:p>
        </w:tc>
        <w:tc>
          <w:tcPr>
            <w:tcW w:type="dxa" w:w="3969"/>
            <w:tcMar>
              <w:top w:w="85" w:type="dxa"/>
              <w:start w:w="110" w:type="dxa"/>
              <w:bottom w:w="85" w:type="dxa"/>
              <w:end w:w="110" w:type="dxa"/>
            </w:tcMar>
            <w:vAlign w:val="top"/>
          </w:tcPr>
          <w:p>
            <w:r>
              <w:t>Random-CV table + tuning-boundary audit.</w:t>
            </w:r>
          </w:p>
        </w:tc>
      </w:tr>
      <w:tr>
        <w:trPr>
          <w:cantSplit/>
        </w:trPr>
        <w:tc>
          <w:tcPr>
            <w:tcW w:type="dxa" w:w="1020"/>
            <w:tcMar>
              <w:top w:w="85" w:type="dxa"/>
              <w:start w:w="110" w:type="dxa"/>
              <w:bottom w:w="85" w:type="dxa"/>
              <w:end w:w="110" w:type="dxa"/>
            </w:tcMar>
            <w:vAlign w:val="top"/>
          </w:tcPr>
          <w:p>
            <w:r>
              <w:rPr>
                <w:rFonts w:ascii="Liberation Sans" w:hAnsi="Liberation Sans"/>
                <w:sz w:val="15"/>
              </w:rPr>
              <w:t>10</w:t>
            </w:r>
          </w:p>
        </w:tc>
        <w:tc>
          <w:tcPr>
            <w:tcW w:type="dxa" w:w="4762"/>
            <w:tcMar>
              <w:top w:w="85" w:type="dxa"/>
              <w:start w:w="110" w:type="dxa"/>
              <w:bottom w:w="85" w:type="dxa"/>
              <w:end w:w="110" w:type="dxa"/>
            </w:tcMar>
            <w:vAlign w:val="top"/>
          </w:tcPr>
          <w:p>
            <w:r>
              <w:t>Rerun 11-area leave-one-area-out evaluation; per-area metrics, predictor support, error map and paired M0/ME/MW/MEW losses.</w:t>
            </w:r>
          </w:p>
        </w:tc>
        <w:tc>
          <w:tcPr>
            <w:tcW w:type="dxa" w:w="3969"/>
            <w:tcMar>
              <w:top w:w="85" w:type="dxa"/>
              <w:start w:w="110" w:type="dxa"/>
              <w:bottom w:w="85" w:type="dxa"/>
              <w:end w:w="110" w:type="dxa"/>
            </w:tcMar>
            <w:vAlign w:val="top"/>
          </w:tcPr>
          <w:p>
            <w:r>
              <w:t>Primary RQ3 result + incremental-performance uncertainty complete.</w:t>
            </w:r>
          </w:p>
        </w:tc>
      </w:tr>
      <w:tr>
        <w:trPr>
          <w:cantSplit/>
        </w:trPr>
        <w:tc>
          <w:tcPr>
            <w:tcW w:type="dxa" w:w="1020"/>
            <w:tcMar>
              <w:top w:w="85" w:type="dxa"/>
              <w:start w:w="110" w:type="dxa"/>
              <w:bottom w:w="85" w:type="dxa"/>
              <w:end w:w="110" w:type="dxa"/>
            </w:tcMar>
            <w:vAlign w:val="top"/>
          </w:tcPr>
          <w:p>
            <w:r>
              <w:rPr>
                <w:rFonts w:ascii="Liberation Sans" w:hAnsi="Liberation Sans"/>
                <w:sz w:val="15"/>
              </w:rPr>
              <w:t>11</w:t>
            </w:r>
          </w:p>
        </w:tc>
        <w:tc>
          <w:tcPr>
            <w:tcW w:type="dxa" w:w="4762"/>
            <w:tcMar>
              <w:top w:w="85" w:type="dxa"/>
              <w:start w:w="110" w:type="dxa"/>
              <w:bottom w:w="85" w:type="dxa"/>
              <w:end w:w="110" w:type="dxa"/>
            </w:tcMar>
            <w:vAlign w:val="top"/>
          </w:tcPr>
          <w:p>
            <w:r>
              <w:t>Run buffer/geometric/shifted-grid sensitivity; 10/15/20-minute, 4.0/5.4 km/h walking-speed and distance-decay robustness; apartment-only; SEM if justified.</w:t>
            </w:r>
          </w:p>
        </w:tc>
        <w:tc>
          <w:tcPr>
            <w:tcW w:type="dxa" w:w="3969"/>
            <w:tcMar>
              <w:top w:w="85" w:type="dxa"/>
              <w:start w:w="110" w:type="dxa"/>
              <w:bottom w:w="85" w:type="dxa"/>
              <w:end w:w="110" w:type="dxa"/>
            </w:tcMar>
            <w:vAlign w:val="top"/>
          </w:tcPr>
          <w:p>
            <w:r>
              <w:t>Strong-version robustness matrix complete.</w:t>
            </w:r>
          </w:p>
        </w:tc>
      </w:tr>
      <w:tr>
        <w:trPr>
          <w:cantSplit/>
        </w:trPr>
        <w:tc>
          <w:tcPr>
            <w:tcW w:type="dxa" w:w="1020"/>
            <w:tcMar>
              <w:top w:w="85" w:type="dxa"/>
              <w:start w:w="110" w:type="dxa"/>
              <w:bottom w:w="85" w:type="dxa"/>
              <w:end w:w="110" w:type="dxa"/>
            </w:tcMar>
            <w:vAlign w:val="top"/>
          </w:tcPr>
          <w:p>
            <w:r>
              <w:rPr>
                <w:rFonts w:ascii="Liberation Sans" w:hAnsi="Liberation Sans"/>
                <w:sz w:val="15"/>
              </w:rPr>
              <w:t>12</w:t>
            </w:r>
          </w:p>
        </w:tc>
        <w:tc>
          <w:tcPr>
            <w:tcW w:type="dxa" w:w="4762"/>
            <w:tcMar>
              <w:top w:w="85" w:type="dxa"/>
              <w:start w:w="110" w:type="dxa"/>
              <w:bottom w:w="85" w:type="dxa"/>
              <w:end w:w="110" w:type="dxa"/>
            </w:tcMar>
            <w:vAlign w:val="top"/>
          </w:tcPr>
          <w:p>
            <w:r>
              <w:rPr>
                <w:rFonts w:ascii="Liberation Sans" w:hAnsi="Liberation Sans"/>
                <w:sz w:val="15"/>
              </w:rPr>
              <w:t>Missing-data robustness: MICE if required by the audit; reviewed-listings and review-control sensitivity.</w:t>
            </w:r>
          </w:p>
        </w:tc>
        <w:tc>
          <w:tcPr>
            <w:tcW w:type="dxa" w:w="3969"/>
            <w:tcMar>
              <w:top w:w="85" w:type="dxa"/>
              <w:start w:w="110" w:type="dxa"/>
              <w:bottom w:w="85" w:type="dxa"/>
              <w:end w:w="110" w:type="dxa"/>
            </w:tcMar>
            <w:vAlign w:val="top"/>
          </w:tcPr>
          <w:p>
            <w:r>
              <w:rPr>
                <w:rFonts w:ascii="Liberation Sans" w:hAnsi="Liberation Sans"/>
                <w:sz w:val="15"/>
              </w:rPr>
              <w:t>Missing-data section closed.</w:t>
            </w:r>
          </w:p>
        </w:tc>
      </w:tr>
      <w:tr>
        <w:trPr>
          <w:cantSplit/>
        </w:trPr>
        <w:tc>
          <w:tcPr>
            <w:tcW w:type="dxa" w:w="1020"/>
            <w:tcMar>
              <w:top w:w="85" w:type="dxa"/>
              <w:start w:w="110" w:type="dxa"/>
              <w:bottom w:w="85" w:type="dxa"/>
              <w:end w:w="110" w:type="dxa"/>
            </w:tcMar>
            <w:vAlign w:val="top"/>
          </w:tcPr>
          <w:p>
            <w:r>
              <w:rPr>
                <w:rFonts w:ascii="Liberation Sans" w:hAnsi="Liberation Sans"/>
                <w:sz w:val="15"/>
              </w:rPr>
              <w:t>13</w:t>
            </w:r>
          </w:p>
        </w:tc>
        <w:tc>
          <w:tcPr>
            <w:tcW w:type="dxa" w:w="4762"/>
            <w:tcMar>
              <w:top w:w="85" w:type="dxa"/>
              <w:start w:w="110" w:type="dxa"/>
              <w:bottom w:w="85" w:type="dxa"/>
              <w:end w:w="110" w:type="dxa"/>
            </w:tcMar>
            <w:vAlign w:val="top"/>
          </w:tcPr>
          <w:p>
            <w:r>
              <w:rPr>
                <w:rFonts w:ascii="Liberation Sans" w:hAnsi="Liberation Sans"/>
                <w:sz w:val="15"/>
              </w:rPr>
              <w:t>Optional extension gate: GTFS if stable and available; otherwise one TFM extension only if the strong results are complete.</w:t>
            </w:r>
          </w:p>
        </w:tc>
        <w:tc>
          <w:tcPr>
            <w:tcW w:type="dxa" w:w="3969"/>
            <w:tcMar>
              <w:top w:w="85" w:type="dxa"/>
              <w:start w:w="110" w:type="dxa"/>
              <w:bottom w:w="85" w:type="dxa"/>
              <w:end w:w="110" w:type="dxa"/>
            </w:tcMar>
            <w:vAlign w:val="top"/>
          </w:tcPr>
          <w:p>
            <w:r>
              <w:rPr>
                <w:rFonts w:ascii="Liberation Sans" w:hAnsi="Liberation Sans"/>
                <w:sz w:val="15"/>
              </w:rPr>
              <w:t>No new method unless full strong results already exist.</w:t>
            </w:r>
          </w:p>
        </w:tc>
      </w:tr>
      <w:tr>
        <w:trPr>
          <w:cantSplit/>
        </w:trPr>
        <w:tc>
          <w:tcPr>
            <w:tcW w:type="dxa" w:w="1020"/>
            <w:tcMar>
              <w:top w:w="85" w:type="dxa"/>
              <w:start w:w="110" w:type="dxa"/>
              <w:bottom w:w="85" w:type="dxa"/>
              <w:end w:w="110" w:type="dxa"/>
            </w:tcMar>
            <w:vAlign w:val="top"/>
          </w:tcPr>
          <w:p>
            <w:r>
              <w:rPr>
                <w:rFonts w:ascii="Liberation Sans" w:hAnsi="Liberation Sans"/>
                <w:sz w:val="15"/>
              </w:rPr>
              <w:t>14</w:t>
            </w:r>
          </w:p>
        </w:tc>
        <w:tc>
          <w:tcPr>
            <w:tcW w:type="dxa" w:w="4762"/>
            <w:tcMar>
              <w:top w:w="85" w:type="dxa"/>
              <w:start w:w="110" w:type="dxa"/>
              <w:bottom w:w="85" w:type="dxa"/>
              <w:end w:w="110" w:type="dxa"/>
            </w:tcMar>
            <w:vAlign w:val="top"/>
          </w:tcPr>
          <w:p>
            <w:r>
              <w:rPr>
                <w:rFonts w:ascii="Liberation Sans" w:hAnsi="Liberation Sans"/>
                <w:sz w:val="15"/>
              </w:rPr>
              <w:t>Write results/discussion; finalize methods/data sections and main visuals.</w:t>
            </w:r>
          </w:p>
        </w:tc>
        <w:tc>
          <w:tcPr>
            <w:tcW w:type="dxa" w:w="3969"/>
            <w:tcMar>
              <w:top w:w="85" w:type="dxa"/>
              <w:start w:w="110" w:type="dxa"/>
              <w:bottom w:w="85" w:type="dxa"/>
              <w:end w:w="110" w:type="dxa"/>
            </w:tcMar>
            <w:vAlign w:val="top"/>
          </w:tcPr>
          <w:p>
            <w:r>
              <w:rPr>
                <w:rFonts w:ascii="Liberation Sans" w:hAnsi="Liberation Sans"/>
                <w:sz w:val="15"/>
              </w:rPr>
              <w:t>Complete thesis draft.</w:t>
            </w:r>
          </w:p>
        </w:tc>
      </w:tr>
      <w:tr>
        <w:trPr>
          <w:cantSplit/>
        </w:trPr>
        <w:tc>
          <w:tcPr>
            <w:tcW w:type="dxa" w:w="1020"/>
            <w:tcMar>
              <w:top w:w="85" w:type="dxa"/>
              <w:start w:w="110" w:type="dxa"/>
              <w:bottom w:w="85" w:type="dxa"/>
              <w:end w:w="110" w:type="dxa"/>
            </w:tcMar>
            <w:vAlign w:val="top"/>
          </w:tcPr>
          <w:p>
            <w:r>
              <w:rPr>
                <w:rFonts w:ascii="Liberation Sans" w:hAnsi="Liberation Sans"/>
                <w:sz w:val="15"/>
              </w:rPr>
              <w:t>15</w:t>
            </w:r>
          </w:p>
        </w:tc>
        <w:tc>
          <w:tcPr>
            <w:tcW w:type="dxa" w:w="4762"/>
            <w:tcMar>
              <w:top w:w="85" w:type="dxa"/>
              <w:start w:w="110" w:type="dxa"/>
              <w:bottom w:w="85" w:type="dxa"/>
              <w:end w:w="110" w:type="dxa"/>
            </w:tcMar>
            <w:vAlign w:val="top"/>
          </w:tcPr>
          <w:p>
            <w:r>
              <w:rPr>
                <w:rFonts w:ascii="Liberation Sans" w:hAnsi="Liberation Sans"/>
                <w:sz w:val="15"/>
              </w:rPr>
              <w:t>Revise literature/theory, limitations, introduction/conclusion; clean reproducibility run.</w:t>
            </w:r>
          </w:p>
        </w:tc>
        <w:tc>
          <w:tcPr>
            <w:tcW w:type="dxa" w:w="3969"/>
            <w:tcMar>
              <w:top w:w="85" w:type="dxa"/>
              <w:start w:w="110" w:type="dxa"/>
              <w:bottom w:w="85" w:type="dxa"/>
              <w:end w:w="110" w:type="dxa"/>
            </w:tcMar>
            <w:vAlign w:val="top"/>
          </w:tcPr>
          <w:p>
            <w:r>
              <w:rPr>
                <w:rFonts w:ascii="Liberation Sans" w:hAnsi="Liberation Sans"/>
                <w:sz w:val="15"/>
              </w:rPr>
              <w:t>Submission candidate + regenerated outputs.</w:t>
            </w:r>
          </w:p>
        </w:tc>
      </w:tr>
      <w:tr>
        <w:trPr>
          <w:cantSplit/>
        </w:trPr>
        <w:tc>
          <w:tcPr>
            <w:tcW w:type="dxa" w:w="1020"/>
            <w:tcMar>
              <w:top w:w="85" w:type="dxa"/>
              <w:start w:w="110" w:type="dxa"/>
              <w:bottom w:w="85" w:type="dxa"/>
              <w:end w:w="110" w:type="dxa"/>
            </w:tcMar>
            <w:vAlign w:val="top"/>
          </w:tcPr>
          <w:p>
            <w:r>
              <w:rPr>
                <w:rFonts w:ascii="Liberation Sans" w:hAnsi="Liberation Sans"/>
                <w:sz w:val="15"/>
              </w:rPr>
              <w:t>16</w:t>
            </w:r>
          </w:p>
        </w:tc>
        <w:tc>
          <w:tcPr>
            <w:tcW w:type="dxa" w:w="4762"/>
            <w:tcMar>
              <w:top w:w="85" w:type="dxa"/>
              <w:start w:w="110" w:type="dxa"/>
              <w:bottom w:w="85" w:type="dxa"/>
              <w:end w:w="110" w:type="dxa"/>
            </w:tcMar>
            <w:vAlign w:val="top"/>
          </w:tcPr>
          <w:p>
            <w:r>
              <w:rPr>
                <w:rFonts w:ascii="Liberation Sans" w:hAnsi="Liberation Sans"/>
                <w:sz w:val="15"/>
              </w:rPr>
              <w:t>Supervisor revisions, proofing, appendix and portfolio README.</w:t>
            </w:r>
          </w:p>
        </w:tc>
        <w:tc>
          <w:tcPr>
            <w:tcW w:type="dxa" w:w="3969"/>
            <w:tcMar>
              <w:top w:w="85" w:type="dxa"/>
              <w:start w:w="110" w:type="dxa"/>
              <w:bottom w:w="85" w:type="dxa"/>
              <w:end w:w="110" w:type="dxa"/>
            </w:tcMar>
            <w:vAlign w:val="top"/>
          </w:tcPr>
          <w:p>
            <w:r>
              <w:rPr>
                <w:rFonts w:ascii="Liberation Sans" w:hAnsi="Liberation Sans"/>
                <w:sz w:val="15"/>
              </w:rPr>
              <w:t>Final thesis and public-safe repository.</w:t>
            </w:r>
          </w:p>
        </w:tc>
      </w:tr>
    </w:tbl>
    <w:p>
      <w:pPr>
        <w:spacing w:after="0"/>
      </w:pPr>
    </w:p>
    <w:p>
      <w:pPr>
        <w:pStyle w:val="Heading1"/>
      </w:pPr>
      <w:r>
        <w:t>16. Decision gates and risk register</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Gate / risk</w:t>
            </w:r>
          </w:p>
        </w:tc>
        <w:tc>
          <w:tcPr>
            <w:tcW w:type="dxa" w:w="7427"/>
            <w:shd w:fill="E6EEF2"/>
            <w:tcMar>
              <w:top w:w="85" w:type="dxa"/>
              <w:start w:w="110" w:type="dxa"/>
              <w:bottom w:w="85" w:type="dxa"/>
              <w:end w:w="110" w:type="dxa"/>
            </w:tcMar>
            <w:vAlign w:val="center"/>
          </w:tcPr>
          <w:p>
            <w:r>
              <w:rPr>
                <w:rFonts w:ascii="Liberation Sans" w:hAnsi="Liberation Sans"/>
                <w:b/>
                <w:color w:val="17354A"/>
                <w:sz w:val="16"/>
              </w:rPr>
              <w:t>Decision rule</w:t>
            </w:r>
          </w:p>
        </w:tc>
      </w:tr>
      <w:tr>
        <w:trPr>
          <w:cantSplit/>
        </w:trPr>
        <w:tc>
          <w:tcPr>
            <w:tcW w:type="dxa" w:w="2381"/>
            <w:tcMar>
              <w:top w:w="85" w:type="dxa"/>
              <w:start w:w="110" w:type="dxa"/>
              <w:bottom w:w="85" w:type="dxa"/>
              <w:end w:w="110" w:type="dxa"/>
            </w:tcMar>
            <w:vAlign w:val="top"/>
          </w:tcPr>
          <w:p>
            <w:r>
              <w:rPr>
                <w:rFonts w:ascii="Liberation Sans" w:hAnsi="Liberation Sans"/>
                <w:sz w:val="16"/>
              </w:rPr>
              <w:t>GTFS access</w:t>
            </w:r>
          </w:p>
        </w:tc>
        <w:tc>
          <w:tcPr>
            <w:tcW w:type="dxa" w:w="7427"/>
            <w:tcMar>
              <w:top w:w="85" w:type="dxa"/>
              <w:start w:w="110" w:type="dxa"/>
              <w:bottom w:w="85" w:type="dxa"/>
              <w:end w:w="110" w:type="dxa"/>
            </w:tcMar>
            <w:vAlign w:val="top"/>
          </w:tcPr>
          <w:p>
            <w:r>
              <w:rPr>
                <w:rFonts w:ascii="Liberation Sans" w:hAnsi="Liberation Sans"/>
                <w:sz w:val="16"/>
              </w:rPr>
              <w:t>Never delay core work. Add GTFS only if approved early enough to build, validate and write the feature block without displacing strong-version tasks.</w:t>
            </w:r>
          </w:p>
        </w:tc>
      </w:tr>
      <w:tr>
        <w:trPr>
          <w:cantSplit/>
        </w:trPr>
        <w:tc>
          <w:tcPr>
            <w:tcW w:type="dxa" w:w="2381"/>
            <w:tcMar>
              <w:top w:w="85" w:type="dxa"/>
              <w:start w:w="110" w:type="dxa"/>
              <w:bottom w:w="85" w:type="dxa"/>
              <w:end w:w="110" w:type="dxa"/>
            </w:tcMar>
            <w:vAlign w:val="top"/>
          </w:tcPr>
          <w:p>
            <w:r>
              <w:rPr>
                <w:rFonts w:ascii="Liberation Sans" w:hAnsi="Liberation Sans"/>
                <w:sz w:val="16"/>
              </w:rPr>
              <w:t>Copenhagen/Frederiksberg coverage</w:t>
            </w:r>
          </w:p>
        </w:tc>
        <w:tc>
          <w:tcPr>
            <w:tcW w:type="dxa" w:w="7427"/>
            <w:tcMar>
              <w:top w:w="85" w:type="dxa"/>
              <w:start w:w="110" w:type="dxa"/>
              <w:bottom w:w="85" w:type="dxa"/>
              <w:end w:w="110" w:type="dxa"/>
            </w:tcMar>
            <w:vAlign w:val="top"/>
          </w:tcPr>
          <w:p>
            <w:r>
              <w:rPr>
                <w:rFonts w:ascii="Liberation Sans" w:hAnsi="Liberation Sans"/>
                <w:sz w:val="16"/>
              </w:rPr>
              <w:t>If the Airbnb extract does not contain both, define the study area from observed coverage and do not invent missing listings.</w:t>
            </w:r>
          </w:p>
        </w:tc>
      </w:tr>
      <w:tr>
        <w:trPr>
          <w:cantSplit/>
        </w:trPr>
        <w:tc>
          <w:tcPr>
            <w:tcW w:type="dxa" w:w="2381"/>
            <w:tcMar>
              <w:top w:w="85" w:type="dxa"/>
              <w:start w:w="110" w:type="dxa"/>
              <w:bottom w:w="85" w:type="dxa"/>
              <w:end w:w="110" w:type="dxa"/>
            </w:tcMar>
            <w:vAlign w:val="top"/>
          </w:tcPr>
          <w:p>
            <w:r>
              <w:t>11-area fold adequacy</w:t>
            </w:r>
          </w:p>
        </w:tc>
        <w:tc>
          <w:tcPr>
            <w:tcW w:type="dxa" w:w="7427"/>
            <w:tcMar>
              <w:top w:w="85" w:type="dxa"/>
              <w:start w:w="110" w:type="dxa"/>
              <w:bottom w:w="85" w:type="dxa"/>
              <w:end w:w="110" w:type="dxa"/>
            </w:tcMar>
            <w:vAlign w:val="top"/>
          </w:tcPr>
          <w:p>
            <w:r>
              <w:t>Treat all 11 areas, including Frederiksberg, by the same eligibility and reporting rules. If any area is genuinely too small for stable evaluation, document the issue before model comparison and use the predeclared geometric-block fallback rather than ad hoc special-casing.</w:t>
            </w:r>
          </w:p>
        </w:tc>
      </w:tr>
      <w:tr>
        <w:trPr>
          <w:cantSplit/>
        </w:trPr>
        <w:tc>
          <w:tcPr>
            <w:tcW w:type="dxa" w:w="2381"/>
            <w:tcMar>
              <w:top w:w="85" w:type="dxa"/>
              <w:start w:w="110" w:type="dxa"/>
              <w:bottom w:w="85" w:type="dxa"/>
              <w:end w:w="110" w:type="dxa"/>
            </w:tcMar>
            <w:vAlign w:val="top"/>
          </w:tcPr>
          <w:p>
            <w:r>
              <w:t>Analysis-area context comparability</w:t>
            </w:r>
          </w:p>
        </w:tc>
        <w:tc>
          <w:tcPr>
            <w:tcW w:type="dxa" w:w="7427"/>
            <w:tcMar>
              <w:top w:w="85" w:type="dxa"/>
              <w:start w:w="110" w:type="dxa"/>
              <w:bottom w:w="85" w:type="dxa"/>
              <w:end w:w="110" w:type="dxa"/>
            </w:tcMar>
            <w:vAlign w:val="top"/>
          </w:tcPr>
          <w:p>
            <w:r>
              <w:t>Population density and income are core only if definitions/reference periods can be harmonised across all 11 areas. Prefer a reduced common variable set over municipality-specific definitions; do not add a Frederiksberg dummy to patch incompatibility.</w:t>
            </w:r>
          </w:p>
        </w:tc>
      </w:tr>
      <w:tr>
        <w:trPr>
          <w:cantSplit/>
        </w:trPr>
        <w:tc>
          <w:tcPr>
            <w:tcW w:type="dxa" w:w="2381"/>
            <w:tcMar>
              <w:top w:w="85" w:type="dxa"/>
              <w:start w:w="110" w:type="dxa"/>
              <w:bottom w:w="85" w:type="dxa"/>
              <w:end w:w="110" w:type="dxa"/>
            </w:tcMar>
            <w:vAlign w:val="top"/>
          </w:tcPr>
          <w:p>
            <w:r>
              <w:rPr>
                <w:rFonts w:ascii="Liberation Sans" w:hAnsi="Liberation Sans"/>
                <w:sz w:val="16"/>
              </w:rPr>
              <w:t>Missing predictors</w:t>
            </w:r>
          </w:p>
        </w:tc>
        <w:tc>
          <w:tcPr>
            <w:tcW w:type="dxa" w:w="7427"/>
            <w:tcMar>
              <w:top w:w="85" w:type="dxa"/>
              <w:start w:w="110" w:type="dxa"/>
              <w:bottom w:w="85" w:type="dxa"/>
              <w:end w:w="110" w:type="dxa"/>
            </w:tcMar>
            <w:vAlign w:val="top"/>
          </w:tcPr>
          <w:p>
            <w:r>
              <w:rPr>
                <w:rFonts w:ascii="Liberation Sans" w:hAnsi="Liberation Sans"/>
                <w:sz w:val="16"/>
              </w:rPr>
              <w:t>Escalate from simple handling to MICE only if missingness materially affects the OLS sample/inference.</w:t>
            </w:r>
          </w:p>
        </w:tc>
      </w:tr>
      <w:tr>
        <w:trPr>
          <w:cantSplit/>
        </w:trPr>
        <w:tc>
          <w:tcPr>
            <w:tcW w:type="dxa" w:w="2381"/>
            <w:tcMar>
              <w:top w:w="85" w:type="dxa"/>
              <w:start w:w="110" w:type="dxa"/>
              <w:bottom w:w="85" w:type="dxa"/>
              <w:end w:w="110" w:type="dxa"/>
            </w:tcMar>
            <w:vAlign w:val="top"/>
          </w:tcPr>
          <w:p>
            <w:r>
              <w:rPr>
                <w:rFonts w:ascii="Liberation Sans" w:hAnsi="Liberation Sans"/>
                <w:sz w:val="16"/>
              </w:rPr>
              <w:t>Missing price</w:t>
            </w:r>
          </w:p>
        </w:tc>
        <w:tc>
          <w:tcPr>
            <w:tcW w:type="dxa" w:w="7427"/>
            <w:tcMar>
              <w:top w:w="85" w:type="dxa"/>
              <w:start w:w="110" w:type="dxa"/>
              <w:bottom w:w="85" w:type="dxa"/>
              <w:end w:w="110" w:type="dxa"/>
            </w:tcMar>
            <w:vAlign w:val="top"/>
          </w:tcPr>
          <w:p>
            <w:r>
              <w:rPr>
                <w:rFonts w:ascii="Liberation Sans" w:hAnsi="Liberation Sans"/>
                <w:sz w:val="16"/>
              </w:rPr>
              <w:t>Do not impute. Exclude after attempting legitimate source recovery; report missing-outcome selection.</w:t>
            </w:r>
          </w:p>
        </w:tc>
      </w:tr>
      <w:tr>
        <w:trPr>
          <w:cantSplit/>
        </w:trPr>
        <w:tc>
          <w:tcPr>
            <w:tcW w:type="dxa" w:w="2381"/>
            <w:tcMar>
              <w:top w:w="85" w:type="dxa"/>
              <w:start w:w="110" w:type="dxa"/>
              <w:bottom w:w="85" w:type="dxa"/>
              <w:end w:w="110" w:type="dxa"/>
            </w:tcMar>
            <w:vAlign w:val="top"/>
          </w:tcPr>
          <w:p>
            <w:r>
              <w:t>Bus-stop data quality</w:t>
            </w:r>
          </w:p>
        </w:tc>
        <w:tc>
          <w:tcPr>
            <w:tcW w:type="dxa" w:w="7427"/>
            <w:tcMar>
              <w:top w:w="85" w:type="dxa"/>
              <w:start w:w="110" w:type="dxa"/>
              <w:bottom w:w="85" w:type="dxa"/>
              <w:end w:w="110" w:type="dxa"/>
            </w:tcMar>
            <w:vAlign w:val="top"/>
          </w:tcPr>
          <w:p>
            <w:r>
              <w:t>Bus-stop access is core. Freeze and audit the OSM stop taxonomy/deduplication before rerun. If a documented coverage problem requires a different open/reference stop layer, replace it consistently for the whole study before price modelling; do not drop bus access because of model performance.</w:t>
            </w:r>
          </w:p>
        </w:tc>
      </w:tr>
      <w:tr>
        <w:trPr>
          <w:cantSplit/>
        </w:trPr>
        <w:tc>
          <w:tcPr>
            <w:tcW w:type="dxa" w:w="2381"/>
            <w:tcMar>
              <w:top w:w="85" w:type="dxa"/>
              <w:start w:w="110" w:type="dxa"/>
              <w:bottom w:w="85" w:type="dxa"/>
              <w:end w:w="110" w:type="dxa"/>
            </w:tcMar>
            <w:vAlign w:val="top"/>
          </w:tcPr>
          <w:p>
            <w:r>
              <w:t>POI explosion</w:t>
            </w:r>
          </w:p>
        </w:tc>
        <w:tc>
          <w:tcPr>
            <w:tcW w:type="dxa" w:w="7427"/>
            <w:tcMar>
              <w:top w:w="85" w:type="dxa"/>
              <w:start w:w="110" w:type="dxa"/>
              <w:bottom w:w="85" w:type="dxa"/>
              <w:end w:w="110" w:type="dxa"/>
            </w:tcMar>
            <w:vAlign w:val="top"/>
          </w:tcPr>
          <w:p>
            <w:r>
              <w:t>Freeze categories/tags; do not add POIs because they improve test RMSE.</w:t>
            </w:r>
          </w:p>
        </w:tc>
      </w:tr>
      <w:tr>
        <w:trPr>
          <w:cantSplit/>
        </w:trPr>
        <w:tc>
          <w:tcPr>
            <w:tcW w:type="dxa" w:w="2381"/>
            <w:tcMar>
              <w:top w:w="85" w:type="dxa"/>
              <w:start w:w="110" w:type="dxa"/>
              <w:bottom w:w="85" w:type="dxa"/>
              <w:end w:w="110" w:type="dxa"/>
            </w:tcMar>
            <w:vAlign w:val="top"/>
          </w:tcPr>
          <w:p>
            <w:r>
              <w:t>XGBoost tuning freeze</w:t>
            </w:r>
          </w:p>
        </w:tc>
        <w:tc>
          <w:tcPr>
            <w:tcW w:type="dxa" w:w="7427"/>
            <w:tcMar>
              <w:top w:w="85" w:type="dxa"/>
              <w:start w:w="110" w:type="dxa"/>
              <w:bottom w:w="85" w:type="dxa"/>
              <w:end w:w="110" w:type="dxa"/>
            </w:tcMar>
            <w:vAlign w:val="top"/>
          </w:tcPr>
          <w:p>
            <w:r>
              <w:t>Generate the Version 3 candidate set before rerun and reuse it everywhere. If selected values hit a search boundary, report that diagnostic; do not expand again after seeing outer-test performance.</w:t>
            </w:r>
          </w:p>
        </w:tc>
      </w:tr>
      <w:tr>
        <w:trPr>
          <w:cantSplit/>
        </w:trPr>
        <w:tc>
          <w:tcPr>
            <w:tcW w:type="dxa" w:w="2381"/>
            <w:tcMar>
              <w:top w:w="85" w:type="dxa"/>
              <w:start w:w="110" w:type="dxa"/>
              <w:bottom w:w="85" w:type="dxa"/>
              <w:end w:w="110" w:type="dxa"/>
            </w:tcMar>
            <w:vAlign w:val="top"/>
          </w:tcPr>
          <w:p>
            <w:r>
              <w:t>TFM scope creep</w:t>
            </w:r>
          </w:p>
        </w:tc>
        <w:tc>
          <w:tcPr>
            <w:tcW w:type="dxa" w:w="7427"/>
            <w:tcMar>
              <w:top w:w="85" w:type="dxa"/>
              <w:start w:w="110" w:type="dxa"/>
              <w:bottom w:w="85" w:type="dxa"/>
              <w:end w:w="110" w:type="dxa"/>
            </w:tcMar>
            <w:vAlign w:val="top"/>
          </w:tcPr>
          <w:p>
            <w:r>
              <w:t>TabPFN/TabICLv2 are stretch methods. They cannot delay the core rerun or replace the main OLS/XGBoost comparison.</w:t>
            </w:r>
          </w:p>
        </w:tc>
      </w:tr>
      <w:tr>
        <w:trPr>
          <w:cantSplit/>
        </w:trPr>
        <w:tc>
          <w:tcPr>
            <w:tcW w:type="dxa" w:w="2381"/>
            <w:tcMar>
              <w:top w:w="85" w:type="dxa"/>
              <w:start w:w="110" w:type="dxa"/>
              <w:bottom w:w="85" w:type="dxa"/>
              <w:end w:w="110" w:type="dxa"/>
            </w:tcMar>
            <w:vAlign w:val="top"/>
          </w:tcPr>
          <w:p>
            <w:r>
              <w:t>Model proliferation</w:t>
            </w:r>
          </w:p>
        </w:tc>
        <w:tc>
          <w:tcPr>
            <w:tcW w:type="dxa" w:w="7427"/>
            <w:tcMar>
              <w:top w:w="85" w:type="dxa"/>
              <w:start w:w="110" w:type="dxa"/>
              <w:bottom w:w="85" w:type="dxa"/>
              <w:end w:w="110" w:type="dxa"/>
            </w:tcMar>
            <w:vAlign w:val="top"/>
          </w:tcPr>
          <w:p>
            <w:r>
              <w:t>No full model tournament. Add one method only if it answers a distinct predeclared research or robustness question.</w:t>
            </w:r>
          </w:p>
        </w:tc>
      </w:tr>
      <w:tr>
        <w:trPr>
          <w:cantSplit/>
        </w:trPr>
        <w:tc>
          <w:tcPr>
            <w:tcW w:type="dxa" w:w="4929"/>
          </w:tcPr>
          <w:p>
            <w:r>
              <w:t>Data freeze</w:t>
            </w:r>
          </w:p>
        </w:tc>
        <w:tc>
          <w:tcPr>
            <w:tcW w:type="dxa" w:w="4929"/>
          </w:tcPr>
          <w:p>
            <w:r>
              <w:t>After the Version 3 analytical dataset is hashed, no new data source unless it corrects a documented data-quality problem; retain the change log.</w:t>
            </w:r>
          </w:p>
        </w:tc>
      </w:tr>
      <w:tr>
        <w:trPr>
          <w:cantSplit/>
        </w:trPr>
        <w:tc>
          <w:tcPr>
            <w:tcW w:type="dxa" w:w="4929"/>
          </w:tcPr>
          <w:p>
            <w:r>
              <w:t>Analysis freeze</w:t>
            </w:r>
          </w:p>
        </w:tc>
        <w:tc>
          <w:tcPr>
            <w:tcW w:type="dxa" w:w="4929"/>
          </w:tcPr>
          <w:p>
            <w:r>
              <w:t>After the Version 3 rerun begins, no result-driven changes to feature definitions, fold geometry, tuning budget or primary models. Only prelisted robustness checks and transparent bug fixes are allowed.</w:t>
            </w:r>
          </w:p>
        </w:tc>
      </w:tr>
    </w:tbl>
    <w:p>
      <w:pPr>
        <w:spacing w:after="0"/>
      </w:pPr>
    </w:p>
    <w:p>
      <w:pPr>
        <w:pStyle w:val="Heading1"/>
      </w:pPr>
      <w:r>
        <w:t>17. Writing and submission workflow</w:t>
      </w:r>
    </w:p>
    <w:p>
      <w:pPr>
        <w:spacing w:after="50"/>
        <w:ind w:left="397" w:hanging="142"/>
      </w:pPr>
      <w:r>
        <w:t>• Version 3 methods, sample rules, 11-area convention, area-context variables, bus-stop definition, accessibility measures, tuning protocol and validation design are written/frozen before the rerun.</w:t>
      </w:r>
    </w:p>
    <w:p>
      <w:pPr>
        <w:spacing w:after="50"/>
        <w:ind w:left="397" w:hanging="142"/>
      </w:pPr>
      <w:r>
        <w:rPr>
          <w:rFonts w:ascii="Liberation Sans" w:hAnsi="Liberation Sans"/>
        </w:rPr>
        <w:t xml:space="preserve">• </w:t>
      </w:r>
      <w:r>
        <w:rPr>
          <w:rFonts w:ascii="Liberation Sans" w:hAnsi="Liberation Sans"/>
        </w:rPr>
        <w:t>Organize the Results section by RQ1 -&gt; RQ2 -&gt; RQ3, not by software package.</w:t>
      </w:r>
    </w:p>
    <w:p>
      <w:pPr>
        <w:spacing w:after="50"/>
        <w:ind w:left="397" w:hanging="142"/>
      </w:pPr>
      <w:r>
        <w:rPr>
          <w:rFonts w:ascii="Liberation Sans" w:hAnsi="Liberation Sans"/>
        </w:rPr>
        <w:t xml:space="preserve">• </w:t>
      </w:r>
      <w:r>
        <w:rPr>
          <w:rFonts w:ascii="Liberation Sans" w:hAnsi="Liberation Sans"/>
        </w:rPr>
        <w:t>Use “associated with” and “predictive information,” not causal language.</w:t>
      </w:r>
    </w:p>
    <w:p>
      <w:pPr>
        <w:spacing w:after="50"/>
        <w:ind w:left="397" w:hanging="142"/>
      </w:pPr>
      <w:r>
        <w:rPr>
          <w:rFonts w:ascii="Liberation Sans" w:hAnsi="Liberation Sans"/>
        </w:rPr>
        <w:t xml:space="preserve">• </w:t>
      </w:r>
      <w:r>
        <w:rPr>
          <w:rFonts w:ascii="Liberation Sans" w:hAnsi="Liberation Sans"/>
        </w:rPr>
        <w:t>Report both performance gains and added complexity; a null incremental value of network features is still a legitimate result.</w:t>
      </w:r>
    </w:p>
    <w:p>
      <w:pPr>
        <w:spacing w:after="50"/>
        <w:ind w:left="397" w:hanging="142"/>
      </w:pPr>
      <w:r>
        <w:t>• Keep full coefficient matrices, VIFs, XGBoost candidate ranges/selected hyperparameters, tuning-boundary diagnostics, fold-level metrics, per-area ΔRMSE/ΔMAE, area-aware inference, MICE diagnostics and alternative block maps in the appendix.</w:t>
      </w:r>
    </w:p>
    <w:p>
      <w:pPr>
        <w:spacing w:after="50"/>
        <w:ind w:left="397" w:hanging="142"/>
      </w:pPr>
      <w:r>
        <w:rPr>
          <w:rFonts w:ascii="Liberation Sans" w:hAnsi="Liberation Sans"/>
        </w:rPr>
        <w:t xml:space="preserve">• </w:t>
      </w:r>
      <w:r>
        <w:rPr>
          <w:rFonts w:ascii="Liberation Sans" w:hAnsi="Liberation Sans"/>
        </w:rPr>
        <w:t>Public repository contains code, data-source instructions and aggregated outputs, not redistributed raw/private platform data unless permitted.</w:t>
      </w:r>
    </w:p>
    <w:p>
      <w:r>
        <w:br w:type="page"/>
      </w:r>
    </w:p>
    <w:p>
      <w:pPr>
        <w:pStyle w:val="Heading1"/>
      </w:pPr>
      <w:r>
        <w:t>Appendix A. GTFS access request</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Pr>
                <w:rFonts w:ascii="Liberation Sans" w:hAnsi="Liberation Sans"/>
                <w:b/>
                <w:color w:val="17354A"/>
                <w:sz w:val="20"/>
              </w:rPr>
              <w:t>Copy-ready text</w:t>
              <w:br/>
            </w:r>
            <w:r>
              <w:rPr>
                <w:rFonts w:ascii="Liberation Sans" w:hAnsi="Liberation Sans"/>
                <w:color w:val="17354A"/>
                <w:sz w:val="19"/>
              </w:rPr>
              <w:t>I am a master’s student in Social Data Science at the University of Copenhagen preparing a non-commercial thesis on urban accessibility and short-term rental market outcomes in Copenhagen. I would like to request access to Rejseplanen Labs GTFS Schedule/Static data (and static stop/station data if available). The GTFS data would be used as an optional extension to construct scheduled public-transport accessibility measures and would be combined with public OpenStreetMap, Inside Airbnb and aggregated neighbourhood statistics. The research is for academic and educational use only. I will follow the applicable Rejseplanen Labs access, licence and attribution conditions and will not redistribute the original feed.</w:t>
            </w:r>
          </w:p>
        </w:tc>
      </w:tr>
    </w:tbl>
    <w:p>
      <w:pPr>
        <w:spacing w:after="0"/>
      </w:pPr>
    </w:p>
    <w:p>
      <w:r>
        <w:rPr>
          <w:rFonts w:ascii="Liberation Sans" w:hAnsi="Liberation Sans"/>
          <w:b/>
        </w:rPr>
        <w:t xml:space="preserve">Current official status checked 29 September 2026: </w:t>
      </w:r>
      <w:r>
        <w:t>Rejseplanen Labs lists GTFS Schedule/Static as free after request, updated approximately every 14 days, with historical data since 15 December 2025.</w:t>
      </w:r>
    </w:p>
    <w:p>
      <w:pPr>
        <w:pStyle w:val="Heading1"/>
      </w:pPr>
      <w:r>
        <w:t>Appendix B. Pre-analysis freeze checklist</w:t>
      </w:r>
    </w:p>
    <w:p>
      <w:pPr>
        <w:spacing w:after="50"/>
        <w:ind w:left="397" w:hanging="142"/>
      </w:pPr>
      <w:r>
        <w:t>• Version 2 results/code archived; Version 3 rerun manifest created; frozen snapshot date, checksums and study boundary recorded.</w:t>
      </w:r>
    </w:p>
    <w:p>
      <w:pPr>
        <w:spacing w:after="50"/>
        <w:ind w:left="397" w:hanging="142"/>
      </w:pPr>
      <w:r>
        <w:t>• 11 peer analysis areas frozen: 10 Copenhagen city districts + Frederiksberg. Use “analysis area” in methods/results; case-study text explains the administrative distinction once.</w:t>
      </w:r>
    </w:p>
    <w:p>
      <w:pPr>
        <w:spacing w:after="50"/>
        <w:ind w:left="397" w:hanging="142"/>
      </w:pPr>
      <w:r>
        <w:rPr>
          <w:rFonts w:ascii="Liberation Sans" w:hAnsi="Liberation Sans"/>
        </w:rPr>
        <w:t xml:space="preserve">• </w:t>
      </w:r>
      <w:r>
        <w:rPr>
          <w:rFonts w:ascii="Liberation Sans" w:hAnsi="Liberation Sans"/>
        </w:rPr>
        <w:t>Primary population and property-type mapping finalized before price modelling.</w:t>
      </w:r>
    </w:p>
    <w:p>
      <w:pPr>
        <w:spacing w:after="50"/>
        <w:ind w:left="397" w:hanging="142"/>
      </w:pPr>
      <w:r>
        <w:rPr>
          <w:rFonts w:ascii="Liberation Sans" w:hAnsi="Liberation Sans"/>
        </w:rPr>
        <w:t xml:space="preserve">• </w:t>
      </w:r>
      <w:r>
        <w:rPr>
          <w:rFonts w:ascii="Liberation Sans" w:hAnsi="Liberation Sans"/>
        </w:rPr>
        <w:t>Primary outcome definition fixed; missing price never statistically imputed.</w:t>
      </w:r>
    </w:p>
    <w:p>
      <w:pPr>
        <w:spacing w:after="50"/>
        <w:ind w:left="397" w:hanging="142"/>
      </w:pPr>
      <w:r>
        <w:t>• Core controls include harmonised analysis-area log population density + income. No special Frederiksberg municipality dummy in the primary model; analysis-area ID is for grouping/validation.</w:t>
      </w:r>
    </w:p>
    <w:p>
      <w:pPr>
        <w:spacing w:after="50"/>
        <w:ind w:left="397" w:hanging="142"/>
      </w:pPr>
      <w:r>
        <w:t>• OSM rail/metro/S-train, bus-stop and POI taxonomies/deduplication rules frozen; bus-stop coverage and network snapping audited.</w:t>
      </w:r>
    </w:p>
    <w:p>
      <w:pPr>
        <w:spacing w:after="50"/>
        <w:ind w:left="397" w:hanging="142"/>
      </w:pPr>
      <w:r>
        <w:t>• Walking speed frozen at 5.0 km/h with a 10-minute primary budget and 833 m matched Euclidean radius; 15/20-minute cumulative sensitivities use 1,250/1,667 m; 4.0/5.4 km/h speed sensitivities are pre-listed; continuous decay is frozen at a 10-minute half-life using the same Euclidean/network impedance definitions.</w:t>
      </w:r>
    </w:p>
    <w:p>
      <w:pPr>
        <w:spacing w:after="50"/>
        <w:ind w:left="397" w:hanging="142"/>
      </w:pPr>
      <w:r>
        <w:t>• Outer random folds, 11 leave-one-analysis-area-out folds, inner grouped/spatial folds and shifted-grid robustness definitions saved before fitting; fixed 30-candidate XGBoost set generated from the pre-specified Version 3 parameter ranges and stored with its seed/hash.</w:t>
      </w:r>
    </w:p>
    <w:p>
      <w:pPr>
        <w:spacing w:after="50"/>
        <w:ind w:left="397" w:hanging="142"/>
      </w:pPr>
      <w:r>
        <w:t>• All model/feature combinations use identical eligible observations and outer folds where possible; store paired out-of-fold predictions/losses and held-out SHAP values before aggregation.</w:t>
      </w:r>
    </w:p>
    <w:p>
      <w:pPr>
        <w:spacing w:after="50"/>
        <w:ind w:left="397" w:hanging="142"/>
      </w:pPr>
      <w:r>
        <w:rPr>
          <w:rFonts w:ascii="Liberation Sans" w:hAnsi="Liberation Sans"/>
        </w:rPr>
        <w:t xml:space="preserve">• </w:t>
      </w:r>
      <w:r>
        <w:rPr>
          <w:rFonts w:ascii="Liberation Sans" w:hAnsi="Liberation Sans"/>
        </w:rPr>
        <w:t>GTFS/TFM extensions excluded from the core protocol and added only after the strong-version gate.</w:t>
      </w:r>
    </w:p>
    <w:p>
      <w:pPr>
        <w:pStyle w:val="Heading1"/>
      </w:pPr>
      <w:r>
        <w:t>Appendix C. Key references and live data sources</w:t>
      </w:r>
    </w:p>
    <w:p>
      <w:pPr>
        <w:spacing w:after="80"/>
        <w:ind w:left="397" w:hanging="397"/>
      </w:pPr>
      <w:r>
        <w:rPr>
          <w:rFonts w:ascii="Liberation Sans" w:hAnsi="Liberation Sans"/>
          <w:sz w:val="18"/>
        </w:rPr>
        <w:t>Rosen, S. (1974). Hedonic Prices and Implicit Markets: Product Differentiation in Pure Competition. Journal of Political Economy, 82(1), 34–55. https://doi.org/10.1086/260169</w:t>
      </w:r>
    </w:p>
    <w:p>
      <w:pPr>
        <w:spacing w:after="80"/>
        <w:ind w:left="397" w:hanging="397"/>
      </w:pPr>
      <w:r>
        <w:rPr>
          <w:rFonts w:ascii="Liberation Sans" w:hAnsi="Liberation Sans"/>
          <w:sz w:val="18"/>
        </w:rPr>
        <w:t>Hansen, W. G. (1959). How Accessibility Shapes Land Use. Journal of the American Institute of Planners, 25(2), 73–76. https://doi.org/10.1080/01944365908978307</w:t>
      </w:r>
    </w:p>
    <w:p>
      <w:pPr>
        <w:spacing w:after="80"/>
        <w:ind w:left="397" w:hanging="397"/>
      </w:pPr>
      <w:r>
        <w:rPr>
          <w:rFonts w:ascii="Liberation Sans" w:hAnsi="Liberation Sans"/>
          <w:sz w:val="18"/>
        </w:rPr>
        <w:t>Geurs, K. T., &amp; van Wee, B. (2004). Accessibility evaluation of land-use and transport strategies: Review and research directions. Journal of Transport Geography, 12(2), 127–140. https://doi.org/10.1016/j.jtrangeo.2003.10.005</w:t>
      </w:r>
    </w:p>
    <w:p>
      <w:pPr/>
      <w:r>
        <w:t>Djurhuus, S., Hansen, H. S., Aadahl, M., &amp; Glümer, C. (2016). Building a multimodal network and determining individual accessibility by public transportation. Environment and Planning B: Urban Analytics and City Science, 43(1), 210–227. https://doi.org/10.1177/0265813515602594</w:t>
      </w:r>
    </w:p>
    <w:p>
      <w:pPr>
        <w:spacing w:after="80"/>
        <w:ind w:left="397" w:hanging="397"/>
      </w:pPr>
      <w:r>
        <w:rPr>
          <w:rFonts w:ascii="Liberation Sans" w:hAnsi="Liberation Sans"/>
          <w:sz w:val="18"/>
        </w:rPr>
        <w:t>Deboosere, R., Kerrigan, D. J., Wachsmuth, D., &amp; El-Geneidy, A. (2019). Location, location and professionalization: a multilevel hedonic analysis of Airbnb listing prices and revenue. Regional Studies, Regional Science, 6(1), 143–156. https://doi.org/10.1080/21681376.2019.1592699</w:t>
      </w:r>
    </w:p>
    <w:p>
      <w:pPr>
        <w:spacing w:after="80"/>
        <w:ind w:left="397" w:hanging="397"/>
      </w:pPr>
      <w:r>
        <w:rPr>
          <w:rFonts w:ascii="Liberation Sans" w:hAnsi="Liberation Sans"/>
          <w:sz w:val="18"/>
        </w:rPr>
        <w:t>Gyódi, K., &amp; Nawaro, Ł. (2021). Determinants of Airbnb prices in European cities: A spatial econometrics approach. Tourism Management, 86, 104319. https://doi.org/10.1016/j.tourman.2021.104319</w:t>
      </w:r>
    </w:p>
    <w:p>
      <w:pPr>
        <w:spacing w:after="80"/>
        <w:ind w:left="397" w:hanging="397"/>
      </w:pPr>
      <w:r>
        <w:rPr>
          <w:rFonts w:ascii="Liberation Sans" w:hAnsi="Liberation Sans"/>
          <w:sz w:val="18"/>
        </w:rPr>
        <w:t>Roberts, D. R., et al. (2017). Cross-validation strategies for data with temporal, spatial, hierarchical, or phylogenetic structure. Ecography, 40, 913–929. https://doi.org/10.1111/ecog.02881</w:t>
      </w:r>
    </w:p>
    <w:p>
      <w:pPr>
        <w:spacing w:after="80"/>
        <w:ind w:left="397" w:hanging="397"/>
      </w:pPr>
      <w:r>
        <w:rPr>
          <w:rFonts w:ascii="Liberation Sans" w:hAnsi="Liberation Sans"/>
          <w:sz w:val="18"/>
        </w:rPr>
        <w:t>Valavi, R., Elith, J., Lahoz-Monfort, J. J., &amp; Guillera-Arroita, G. (2019). blockCV. Methods in Ecology and Evolution, 10, 225–232. https://doi.org/10.1111/2041-210X.13107</w:t>
      </w:r>
    </w:p>
    <w:p>
      <w:pPr>
        <w:spacing w:after="80"/>
        <w:ind w:left="397" w:hanging="397"/>
      </w:pPr>
      <w:r>
        <w:rPr>
          <w:rFonts w:ascii="Liberation Sans" w:hAnsi="Liberation Sans"/>
          <w:sz w:val="18"/>
        </w:rPr>
        <w:t>White, I. R., Royston, P., &amp; Wood, A. M. (2011). Multiple imputation using chained equations: Issues and guidance for practice. Statistics in Medicine, 30(4), 377–399. https://doi.org/10.1002/sim.4067</w:t>
      </w:r>
    </w:p>
    <w:p>
      <w:pPr>
        <w:spacing w:after="80"/>
        <w:ind w:left="397" w:hanging="397"/>
      </w:pPr>
      <w:r>
        <w:rPr>
          <w:rFonts w:ascii="Liberation Sans" w:hAnsi="Liberation Sans"/>
          <w:sz w:val="18"/>
        </w:rPr>
        <w:t>Qu, J., Holzmüller, D., Varoquaux, G., &amp; Le Morvan, M. (2026). TabICLv2: A Better, Faster, Scalable, and Open Tabular Foundation Model. Proceedings of the 43rd International Conference on Machine Learning, PMLR 306.</w:t>
      </w:r>
      <w:r>
        <w:t xml:space="preserve"> </w:t>
      </w:r>
      <w:hyperlink r:id="rId11">
        <w:r>
          <w:rPr>
            <w:rFonts w:ascii="Liberation Sans" w:hAnsi="Liberation Sans"/>
            <w:color w:val="0563C1"/>
            <w:u w:val="single"/>
          </w:rPr>
          <w:t>https://github.com/soda-inria/tabicl</w:t>
        </w:r>
      </w:hyperlink>
    </w:p>
    <w:p>
      <w:pPr>
        <w:spacing w:after="80"/>
        <w:ind w:left="397" w:hanging="397"/>
      </w:pPr>
      <w:r>
        <w:rPr>
          <w:rFonts w:ascii="Liberation Sans" w:hAnsi="Liberation Sans"/>
          <w:sz w:val="18"/>
        </w:rPr>
        <w:t>Inside Airbnb. Get the Data — Copenhagen. Current page accessed 29 September 2026.</w:t>
      </w:r>
      <w:r>
        <w:t xml:space="preserve"> </w:t>
      </w:r>
      <w:hyperlink r:id="rId12">
        <w:r>
          <w:rPr>
            <w:rFonts w:ascii="Liberation Sans" w:hAnsi="Liberation Sans"/>
            <w:color w:val="0563C1"/>
            <w:u w:val="single"/>
          </w:rPr>
          <w:t>https://insideairbnb.com/get-the-data/</w:t>
        </w:r>
      </w:hyperlink>
    </w:p>
    <w:p>
      <w:pPr>
        <w:spacing w:after="80"/>
        <w:ind w:left="397" w:hanging="397"/>
      </w:pPr>
      <w:r>
        <w:rPr>
          <w:rFonts w:ascii="Liberation Sans" w:hAnsi="Liberation Sans"/>
          <w:sz w:val="18"/>
        </w:rPr>
        <w:t>Rejseplanen Labs. Overview of exposed data / GTFS Schedule/Static. Current page accessed 29 September 2026.</w:t>
      </w:r>
      <w:r>
        <w:t xml:space="preserve"> </w:t>
      </w:r>
      <w:hyperlink r:id="rId13">
        <w:r>
          <w:rPr>
            <w:rFonts w:ascii="Liberation Sans" w:hAnsi="Liberation Sans"/>
            <w:color w:val="0563C1"/>
            <w:u w:val="single"/>
          </w:rPr>
          <w:t>https://labs.rejseplanen.dk/hc/en-us/articles/24750139021341-Oversigt-over-udstillede-data</w:t>
        </w:r>
      </w:hyperlink>
    </w:p>
    <w:p>
      <w:pPr>
        <w:spacing w:after="80"/>
        <w:ind w:left="397" w:hanging="397"/>
      </w:pPr>
      <w:r>
        <w:rPr>
          <w:rFonts w:ascii="Liberation Sans" w:hAnsi="Liberation Sans"/>
          <w:sz w:val="18"/>
        </w:rPr>
        <w:t>Københavns Kommune. Københavns hovedtræk og ti unikke bydele. Current page accessed 29 September 2026.</w:t>
      </w:r>
      <w:r>
        <w:t xml:space="preserve"> </w:t>
      </w:r>
      <w:hyperlink r:id="rId14">
        <w:r>
          <w:rPr>
            <w:rFonts w:ascii="Liberation Sans" w:hAnsi="Liberation Sans"/>
            <w:color w:val="0563C1"/>
            <w:u w:val="single"/>
          </w:rPr>
          <w:t>https://www.kk.dk/politik/politikker-og-indsatser/bolig-byggeri-og-byliv/koebenhavns-hovedtraek-og-ti-unikke-bydele</w:t>
        </w:r>
      </w:hyperlink>
    </w:p>
    <w:p>
      <w:pPr>
        <w:pStyle w:val="Heading2"/>
      </w:pPr>
      <w:r>
        <w:t>Version 3 income protocol amendment — accepted 4 October 2026</w:t>
      </w:r>
    </w:p>
    <w:p>
      <w:r>
        <w:t>This explicit protocol decision supersedes earlier pending income prerequisites and municipal-only source proposals. Income remains a core M0 predictor; ME, MW and MEW inherit it. Frederiksberg remains one of eleven peer analysis areas, without a special dummy or CTX model family.</w:t>
      </w:r>
    </w:p>
    <w:p>
      <w:r>
        <w:t>Area income is operationalised as 2024 equivalised disposable income derived from decile means. Copenhagen city-district values use Copenhagen Municipality's KKIND5, while Frederiksberg uses Statistics Denmark's nominal IFOR35. Both sources represent closely aligned equivalised-disposable-income concepts and use ten person-based decile groups, but some table-specific processing details cannot be proven identical. The measure is therefore treated as pragmatically harmonised. All primary models include the measure, and a prespecified no-income robustness analysis tests whether substantive accessibility conclusions depend on this cross-source context variable.</w:t>
      </w:r>
    </w:p>
    <w:p>
      <w:r>
        <w:t>The transparent variable is equiv_disposable_income_2024 (DKK), with income_100k_dkk = equiv_disposable_income_2024 / 100000 for modelling. Both sources use 2024 and the frozen transformation (d1 + d2 + d3 + d4 + d5 + d6 + d7 + d8 + d9 + d10) / 10. IFOR35 selects nominal current prices (006); KKIND5 raw price basis remains not_confirmed. Metadata harmonisation_status = qualified; preflight decision = qualified_accepted. Pragmatically harmonised equivalised disposable income; exact table-specific weighting, finite-count/tie handling, eligibility, variable version, income-treatment and KKIND5 raw price-basis details cannot be proven identical. Equal weighting follows the conceptual ten equal person groups; no model-dependent weights are used.</w:t>
      </w:r>
    </w:p>
    <w:p>
      <w:r>
        <w:t>Supportive QA compares Copenhagen published municipality totals: KKIND5 340620.1 DKK and IFOR35 340949.1 DKK; signed difference -329 DKK, absolute difference 329 DKK, relative difference -0.0964953%. Tenth-decile difference is -3376 DKK. This does not prove exact equivalence or reconstruct a population-weighted district total. Missing income-eligible counts remain missing.</w:t>
      </w:r>
    </w:p>
    <w:p>
      <w:r>
        <w:t>Mandatory M0_no_income, ME_no_income, MW_no_income and MEW_no_income omit only income. They use the same frozen sample, saved random-five and geographic-eleven outer folds and training-only inner-four folds, preprocessing, thirty XGBoost candidates and tuning budget. Report OLS accessibility coefficients, RMSE, MAE, R-squared, paired delta-RMSE and per-area geographic results. Prespecified direction/ranking and coefficient-magnitude sensitivity flags are frozen in config/qualified_income_decision.json before model fitting.</w:t>
      </w:r>
    </w:p>
    <w:p>
      <w:r>
        <w:t>The active eleven-row income table is authoritative in PostgreSQL v3_features.qualified_area_income and records source institution, table, year, price basis, ten decile means, formula, final value, source SHA-256 and qualification. Preflight checks actual immutable sources, selections, deciles, year, common transformation, provenance and mandatory robustness. Earlier KKIND3/INDKP106, KKIND5/IFOR35 and municipal investigations remain archived. No renewed municipal-source search or message is authorised by this amendment.</w:t>
      </w:r>
    </w:p>
    <w:p>
      <w:r>
        <w:t>Limitations: qualified cross-source comparability leaves some table-specific processing and KKIND5 raw price-basis details unresolved. The mandatory no-income analysis assesses whether accessibility conclusions depend on that control. This limitation is stated here and in Methods/Data; results must not assert perfectly identical definitions.</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26775"/>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26775"/>
        <w:sz w:val="17"/>
      </w:rPr>
      <w:t>MSc Thesis Research Plan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5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35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5267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735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ind w:left="312"/>
    </w:pPr>
    <w:rPr>
      <w:rFonts w:ascii="Liberation Mono" w:hAnsi="Liberation Mono"/>
      <w:i/>
      <w:sz w:val="18"/>
    </w:rPr>
  </w:style>
  <w:style w:type="paragraph" w:customStyle="1" w:styleId="SmallNote">
    <w:name w:val="Small Note"/>
    <w:pPr>
      <w:spacing w:after="80"/>
    </w:pPr>
    <w:rPr>
      <w:rFonts w:ascii="Liberation Sans" w:hAnsi="Liberation Sans"/>
      <w:color w:val="52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da-inria/tabicl" TargetMode="External"/><Relationship Id="rId12" Type="http://schemas.openxmlformats.org/officeDocument/2006/relationships/hyperlink" Target="https://insideairbnb.com/get-the-data/" TargetMode="External"/><Relationship Id="rId13" Type="http://schemas.openxmlformats.org/officeDocument/2006/relationships/hyperlink" Target="https://labs.rejseplanen.dk/hc/en-us/articles/24750139021341-Oversigt-over-udstillede-data" TargetMode="External"/><Relationship Id="rId14" Type="http://schemas.openxmlformats.org/officeDocument/2006/relationships/hyperlink" Target="https://www.kk.dk/politik/politikker-og-indsatser/bolig-byggeri-og-byliv/koebenhavns-hovedtraek-og-ti-unikke-byd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