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Scientific Thesis Proposal — Re-analysis Protocol</w:t>
      </w:r>
    </w:p>
    <w:p>
      <w:pPr>
        <w:jc w:val="center"/>
      </w:pPr>
      <w:r>
        <w:rPr>
          <w:rFonts w:ascii="Liberation Sans" w:hAnsi="Liberation Sans"/>
          <w:i/>
          <w:color w:val="526775"/>
          <w:sz w:val="25"/>
        </w:rPr>
        <w:t>Urban Accessibility and Short-Term Rental Market Outcomes: A Spatial Data Science Study of Copenhagen and Frederiksberg</w:t>
      </w:r>
    </w:p>
    <w:p/>
    <w:p>
      <w:pPr>
        <w:jc w:val="center"/>
      </w:pPr>
      <w:r>
        <w:rPr>
          <w:rFonts w:ascii="Liberation Sans" w:hAnsi="Liberation Sans"/>
          <w:color w:val="526775"/>
          <w:sz w:val="21"/>
        </w:rPr>
        <w:t>MSc Social Data Science · University of Copenhagen</w:t>
      </w:r>
    </w:p>
    <w:p>
      <w:pPr>
        <w:jc w:val="center"/>
      </w:pPr>
      <w:r>
        <w:t>Version 3 · 4 October 2026</w:t>
      </w:r>
    </w:p>
    <w:p>
      <w:pPr>
        <w:jc w:val="center"/>
      </w:pPr>
      <w:r>
        <w:t>Core design: GTFS-independent; one cross-sectional listing snapshot; 11 peer analysis areas; core area context and bus-stop access</w:t>
      </w:r>
    </w:p>
    <w:p/>
    <w:p>
      <w:pPr>
        <w:jc w:val="center"/>
      </w:pPr>
      <w:r>
        <w:t>Working scientific re-analysis protocol for supervisor discussion. Version 3 is frozen before a complete rerun after audit of Version 2 code/results. The empirical design focuses on accessibility measurement, incremental predictive value and geographic generalization rather than causal identification.</w:t>
      </w:r>
    </w:p>
    <w:p>
      <w:r>
        <w:br w:type="page"/>
      </w:r>
    </w:p>
    <w:p>
      <w:pPr>
        <w:pStyle w:val="Heading1"/>
      </w:pPr>
      <w:r>
        <w:t>Contents</w:t>
      </w:r>
    </w:p>
    <w:p>
      <w:pPr>
        <w:spacing w:after="40"/>
        <w:ind w:left="0"/>
      </w:pPr>
      <w:r>
        <w:rPr>
          <w:rFonts w:ascii="Liberation Sans" w:hAnsi="Liberation Sans"/>
          <w:b/>
          <w:color w:val="17354A"/>
          <w:sz w:val="20"/>
        </w:rPr>
        <w:t>Abstract</w:t>
      </w:r>
    </w:p>
    <w:p>
      <w:pPr>
        <w:spacing w:after="40"/>
        <w:ind w:left="0"/>
      </w:pPr>
      <w:r>
        <w:rPr>
          <w:rFonts w:ascii="Liberation Sans" w:hAnsi="Liberation Sans"/>
          <w:b/>
          <w:color w:val="17354A"/>
          <w:sz w:val="20"/>
        </w:rPr>
        <w:t>1. Introduction and motivation</w:t>
      </w:r>
    </w:p>
    <w:p>
      <w:pPr>
        <w:spacing w:after="40"/>
        <w:ind w:left="0"/>
      </w:pPr>
      <w:r>
        <w:rPr>
          <w:rFonts w:ascii="Liberation Sans" w:hAnsi="Liberation Sans"/>
          <w:b/>
          <w:color w:val="17354A"/>
          <w:sz w:val="20"/>
        </w:rPr>
        <w:t>2. Research problem, scope and objectives</w:t>
      </w:r>
    </w:p>
    <w:p>
      <w:pPr>
        <w:spacing w:after="40"/>
        <w:ind w:left="0"/>
      </w:pPr>
      <w:r>
        <w:rPr>
          <w:rFonts w:ascii="Liberation Sans" w:hAnsi="Liberation Sans"/>
          <w:b/>
          <w:color w:val="17354A"/>
          <w:sz w:val="20"/>
        </w:rPr>
        <w:t>3. Research questions and expectations</w:t>
      </w:r>
    </w:p>
    <w:p>
      <w:pPr>
        <w:spacing w:after="40"/>
        <w:ind w:left="0"/>
      </w:pPr>
      <w:r>
        <w:rPr>
          <w:rFonts w:ascii="Liberation Sans" w:hAnsi="Liberation Sans"/>
          <w:b/>
          <w:color w:val="17354A"/>
          <w:sz w:val="20"/>
        </w:rPr>
        <w:t>4. Previous studies and research gap</w:t>
      </w:r>
    </w:p>
    <w:p>
      <w:pPr>
        <w:spacing w:after="40"/>
        <w:ind w:left="0"/>
      </w:pPr>
      <w:r>
        <w:rPr>
          <w:rFonts w:ascii="Liberation Sans" w:hAnsi="Liberation Sans"/>
          <w:b/>
          <w:color w:val="17354A"/>
          <w:sz w:val="20"/>
        </w:rPr>
        <w:t>5. Theoretical and conceptual framework</w:t>
      </w:r>
    </w:p>
    <w:p>
      <w:pPr>
        <w:spacing w:after="40"/>
        <w:ind w:left="0"/>
      </w:pPr>
      <w:r>
        <w:rPr>
          <w:rFonts w:ascii="Liberation Sans" w:hAnsi="Liberation Sans"/>
          <w:b/>
          <w:color w:val="17354A"/>
          <w:sz w:val="20"/>
        </w:rPr>
        <w:t>6. Study area, population and sample</w:t>
      </w:r>
    </w:p>
    <w:p>
      <w:pPr>
        <w:spacing w:after="40"/>
        <w:ind w:left="0"/>
      </w:pPr>
      <w:r>
        <w:rPr>
          <w:rFonts w:ascii="Liberation Sans" w:hAnsi="Liberation Sans"/>
          <w:b/>
          <w:color w:val="17354A"/>
          <w:sz w:val="20"/>
        </w:rPr>
        <w:t>7. Data sources</w:t>
      </w:r>
    </w:p>
    <w:p>
      <w:pPr>
        <w:spacing w:after="40"/>
        <w:ind w:left="0"/>
      </w:pPr>
      <w:r>
        <w:rPr>
          <w:rFonts w:ascii="Liberation Sans" w:hAnsi="Liberation Sans"/>
          <w:b/>
          <w:color w:val="17354A"/>
          <w:sz w:val="20"/>
        </w:rPr>
        <w:t>8. Outcome, covariates and missing-data strategy</w:t>
      </w:r>
    </w:p>
    <w:p>
      <w:pPr>
        <w:spacing w:after="40"/>
        <w:ind w:left="0"/>
      </w:pPr>
      <w:r>
        <w:rPr>
          <w:rFonts w:ascii="Liberation Sans" w:hAnsi="Liberation Sans"/>
          <w:b/>
          <w:color w:val="17354A"/>
          <w:sz w:val="20"/>
        </w:rPr>
        <w:t>9. Accessibility measurement</w:t>
      </w:r>
    </w:p>
    <w:p>
      <w:pPr>
        <w:spacing w:after="40"/>
        <w:ind w:left="0"/>
      </w:pPr>
      <w:r>
        <w:rPr>
          <w:rFonts w:ascii="Liberation Sans" w:hAnsi="Liberation Sans"/>
          <w:b/>
          <w:color w:val="17354A"/>
          <w:sz w:val="20"/>
        </w:rPr>
        <w:t>10. Statistical and predictive models</w:t>
      </w:r>
    </w:p>
    <w:p>
      <w:pPr>
        <w:spacing w:after="40"/>
        <w:ind w:left="0"/>
      </w:pPr>
      <w:r>
        <w:rPr>
          <w:rFonts w:ascii="Liberation Sans" w:hAnsi="Liberation Sans"/>
          <w:b/>
          <w:color w:val="17354A"/>
          <w:sz w:val="20"/>
        </w:rPr>
        <w:t>11. Spatial dependence and validation</w:t>
      </w:r>
    </w:p>
    <w:p>
      <w:pPr>
        <w:spacing w:after="40"/>
        <w:ind w:left="0"/>
      </w:pPr>
      <w:r>
        <w:rPr>
          <w:rFonts w:ascii="Liberation Sans" w:hAnsi="Liberation Sans"/>
          <w:b/>
          <w:color w:val="17354A"/>
          <w:sz w:val="20"/>
        </w:rPr>
        <w:t>12. Robustness and optional extensions</w:t>
      </w:r>
    </w:p>
    <w:p>
      <w:pPr>
        <w:spacing w:after="40"/>
        <w:ind w:left="0"/>
      </w:pPr>
      <w:r>
        <w:rPr>
          <w:rFonts w:ascii="Liberation Sans" w:hAnsi="Liberation Sans"/>
          <w:b/>
          <w:color w:val="17354A"/>
          <w:sz w:val="20"/>
        </w:rPr>
        <w:t>13. Ethics, data governance and reproducibility</w:t>
      </w:r>
    </w:p>
    <w:p>
      <w:pPr>
        <w:spacing w:after="40"/>
        <w:ind w:left="0"/>
      </w:pPr>
      <w:r>
        <w:rPr>
          <w:rFonts w:ascii="Liberation Sans" w:hAnsi="Liberation Sans"/>
          <w:b/>
          <w:color w:val="17354A"/>
          <w:sz w:val="20"/>
        </w:rPr>
        <w:t>14. Expected contribution</w:t>
      </w:r>
    </w:p>
    <w:p>
      <w:pPr>
        <w:spacing w:after="40"/>
        <w:ind w:left="0"/>
      </w:pPr>
      <w:r>
        <w:rPr>
          <w:rFonts w:ascii="Liberation Sans" w:hAnsi="Liberation Sans"/>
          <w:b/>
          <w:color w:val="17354A"/>
          <w:sz w:val="20"/>
        </w:rPr>
        <w:t>15. Limitations</w:t>
      </w:r>
    </w:p>
    <w:p>
      <w:pPr>
        <w:spacing w:after="40"/>
        <w:ind w:left="0"/>
      </w:pPr>
      <w:r>
        <w:rPr>
          <w:rFonts w:ascii="Liberation Sans" w:hAnsi="Liberation Sans"/>
          <w:b/>
          <w:color w:val="17354A"/>
          <w:sz w:val="20"/>
        </w:rPr>
        <w:t>16. Proposed results tables and figures</w:t>
      </w:r>
    </w:p>
    <w:p>
      <w:pPr>
        <w:spacing w:after="40"/>
        <w:ind w:left="0"/>
      </w:pPr>
      <w:r>
        <w:rPr>
          <w:rFonts w:ascii="Liberation Sans" w:hAnsi="Liberation Sans"/>
          <w:b/>
          <w:color w:val="17354A"/>
          <w:sz w:val="20"/>
        </w:rPr>
        <w:t>17. Proposed thesis structure</w:t>
      </w:r>
    </w:p>
    <w:p>
      <w:pPr>
        <w:spacing w:after="40"/>
        <w:ind w:left="0"/>
      </w:pPr>
      <w:r>
        <w:rPr>
          <w:rFonts w:ascii="Liberation Sans" w:hAnsi="Liberation Sans"/>
          <w:b/>
          <w:color w:val="17354A"/>
          <w:sz w:val="20"/>
        </w:rPr>
        <w:t>References</w:t>
      </w:r>
    </w:p>
    <w:p>
      <w:r>
        <w:br w:type="page"/>
      </w:r>
    </w:p>
    <w:p>
      <w:pPr>
        <w:pStyle w:val="Heading1"/>
      </w:pPr>
      <w:r>
        <w:t>Abstract</w:t>
      </w:r>
    </w:p>
    <w:p>
      <w:pPr>
        <w:jc w:val="both"/>
      </w:pPr>
      <w:r>
        <w:t>OLS provides interpretable conditional associations and a transparent model ladder. HC3 uncertainty is reported as the listing-level baseline. Because core area-context regressors repeat within only 11 analysis areas, wild-cluster bootstrap-t inference by analysis area (9,999 replications) is also reported as an inferential sensitivity and significance is interpreted cautiously. Accessibility coefficients remain conditional associations, not causal effects.</w:t>
      </w:r>
    </w:p>
    <w:p>
      <w:pPr>
        <w:pStyle w:val="Heading1"/>
      </w:pPr>
      <w:r>
        <w:t>1. Introduction and motivation</w:t>
      </w:r>
    </w:p>
    <w:p>
      <w:pPr>
        <w:jc w:val="both"/>
      </w:pPr>
      <w:r>
        <w:rPr>
          <w:b/>
        </w:rPr>
        <w:t xml:space="preserve">Short-term accommodation is a differentiated product whose value depends on both the dwelling and its urban context. </w:t>
      </w:r>
      <w:r>
        <w:t>Previous Airbnb price research identifies structural characteristics, host attributes, neighbourhood conditions and location as important correlates of listed prices. However, “location” is not a single observable property. A listing may be geographically close to a station or restaurant yet less accessible through the actual pedestrian network; a station may also differ substantially in the opportunities it connects to. The proposed thesis therefore focuses on the measurement of accessibility and on whether more realistic spatial information improves explanation and prediction of listed prices.</w:t>
      </w:r>
    </w:p>
    <w:p>
      <w:pPr>
        <w:jc w:val="both"/>
      </w:pPr>
      <w:r>
        <w:rPr>
          <w:b/>
        </w:rPr>
        <w:t xml:space="preserve">A second motivation is methodological. </w:t>
      </w:r>
      <w:r>
        <w:t>Airbnb listings are spatially clustered. Nearby observations share neighbourhood conditions, amenity environments and market structure. A model can therefore look accurate under randomly interspersed train/test splits without necessarily performing equally well when transferred to an unseen part of the city. The thesis treats geographic validation as a substantive part of the research question rather than a technical appendix.</w:t>
      </w:r>
    </w:p>
    <w:tbl>
      <w:tblPr>
        <w:tblW w:type="auto" w:w="0"/>
        <w:jc w:val="center"/>
        <w:tblLook w:firstColumn="1" w:firstRow="1" w:lastColumn="0" w:lastRow="0" w:noHBand="0" w:noVBand="1" w:val="04A0"/>
        <w:tblBorders>
          <w:top w:val="single" w:sz="6" w:space="0" w:color="D1DCE2"/>
          <w:left w:val="single" w:sz="6" w:space="0" w:color="D1DCE2"/>
          <w:bottom w:val="single" w:sz="6" w:space="0" w:color="D1DCE2"/>
          <w:right w:val="single" w:sz="6" w:space="0" w:color="D1DCE2"/>
          <w:insideH w:val="single" w:sz="6" w:space="0" w:color="D1DCE2"/>
          <w:insideV w:val="single" w:sz="6" w:space="0" w:color="D1DCE2"/>
        </w:tblBorders>
      </w:tblPr>
      <w:tblGrid>
        <w:gridCol w:w="9858"/>
      </w:tblGrid>
      <w:tr>
        <w:trPr>
          <w:cantSplit/>
        </w:trPr>
        <w:tc>
          <w:tcPr>
            <w:tcW w:type="dxa" w:w="9858"/>
            <w:shd w:fill="F2F7FA"/>
            <w:tcMar>
              <w:top w:w="110" w:type="dxa"/>
              <w:start w:w="140" w:type="dxa"/>
              <w:bottom w:w="110" w:type="dxa"/>
              <w:end w:w="140" w:type="dxa"/>
            </w:tcMar>
          </w:tcPr>
          <w:p>
            <w:r/>
            <w:r>
              <w:rPr>
                <w:b/>
              </w:rPr>
              <w:t>Scientific positioning and re-analysis status</w:t>
            </w:r>
            <w:r>
              <w:br/>
              <w:t>The thesis is not designed to identify a causal effect of transit or amenities on prices. Its contribution is the controlled comparison of accessibility representations and geographic generalization. Version 3 is a full rerun protocol: Version 2 outputs remain archived, while all revised core specifications are frozen before re-estimation so the rerun is not an exercise in selecting whichever specification produces the strongest result.</w:t>
            </w:r>
          </w:p>
        </w:tc>
      </w:tr>
    </w:tbl>
    <w:p>
      <w:pPr>
        <w:spacing w:after="0"/>
      </w:pPr>
    </w:p>
    <w:p>
      <w:pPr>
        <w:pStyle w:val="Heading1"/>
      </w:pPr>
      <w:r>
        <w:t>2. Research problem, scope and objectives</w:t>
      </w:r>
    </w:p>
    <w:p>
      <w:pPr>
        <w:spacing w:after="50"/>
        <w:ind w:left="397" w:hanging="142"/>
      </w:pPr>
      <w:r>
        <w:rPr>
          <w:rFonts w:ascii="Liberation Sans" w:hAnsi="Liberation Sans"/>
        </w:rPr>
        <w:t xml:space="preserve">• </w:t>
      </w:r>
      <w:r>
        <w:rPr>
          <w:rFonts w:ascii="Liberation Sans" w:hAnsi="Liberation Sans"/>
        </w:rPr>
        <w:t>Conventional location measures may be easy to interpret but can underrepresent barriers, street-network topology and the number of opportunities reachable from a listing.</w:t>
      </w:r>
    </w:p>
    <w:p>
      <w:pPr>
        <w:spacing w:after="50"/>
        <w:ind w:left="397" w:hanging="142"/>
      </w:pPr>
      <w:r>
        <w:rPr>
          <w:rFonts w:ascii="Liberation Sans" w:hAnsi="Liberation Sans"/>
        </w:rPr>
        <w:t xml:space="preserve">• </w:t>
      </w:r>
      <w:r>
        <w:rPr>
          <w:rFonts w:ascii="Liberation Sans" w:hAnsi="Liberation Sans"/>
        </w:rPr>
        <w:t>Existing Airbnb studies already examine transit proximity, destination accessibility, spatial econometrics and geospatial machine learning; therefore the contribution cannot simply be “transport matters.”</w:t>
      </w:r>
    </w:p>
    <w:p>
      <w:pPr>
        <w:spacing w:after="50"/>
        <w:ind w:left="397" w:hanging="142"/>
      </w:pPr>
      <w:r>
        <w:rPr>
          <w:rFonts w:ascii="Liberation Sans" w:hAnsi="Liberation Sans"/>
        </w:rPr>
        <w:t xml:space="preserve">• </w:t>
      </w:r>
      <w:r>
        <w:rPr>
          <w:rFonts w:ascii="Liberation Sans" w:hAnsi="Liberation Sans"/>
        </w:rPr>
        <w:t>Flexible prediction algorithms can exploit nonlinear relationships, but spatially interspersed validation may give a different answer from prediction into an unseen area.</w:t>
      </w:r>
    </w:p>
    <w:p>
      <w:pPr>
        <w:spacing w:after="50"/>
        <w:ind w:left="397" w:hanging="142"/>
      </w:pPr>
      <w:r>
        <w:rPr>
          <w:rFonts w:ascii="Liberation Sans" w:hAnsi="Liberation Sans"/>
        </w:rPr>
        <w:t xml:space="preserve">• </w:t>
      </w:r>
      <w:r>
        <w:rPr>
          <w:rFonts w:ascii="Liberation Sans" w:hAnsi="Liberation Sans"/>
        </w:rPr>
        <w:t>The thesis must remain feasible in one semester and must not depend on uncertain GTFS access.</w:t>
      </w:r>
    </w:p>
    <w:p>
      <w:pPr>
        <w:pStyle w:val="Heading2"/>
      </w:pPr>
      <w:r>
        <w:t>2.1 Objectives</w:t>
      </w:r>
    </w:p>
    <w:p>
      <w:pPr>
        <w:spacing w:after="60"/>
        <w:ind w:left="408" w:hanging="312"/>
      </w:pPr>
      <w:r>
        <w:t>1.  Construct transparent, matched straight-line and walking-network accessibility measures for rail/metro/S-train stations, bus stops and urban opportunities.</w:t>
      </w:r>
    </w:p>
    <w:p>
      <w:pPr>
        <w:spacing w:after="60"/>
        <w:ind w:left="408" w:hanging="312"/>
      </w:pPr>
      <w:r>
        <w:t>2.  Estimate the incremental explanatory and predictive information in those measures beyond a compact core baseline that includes property/host/rental variables, harmonised analysis-area socioeconomic context and conventional centrality.</w:t>
      </w:r>
    </w:p>
    <w:p>
      <w:pPr>
        <w:spacing w:after="60"/>
        <w:ind w:left="408" w:hanging="312"/>
      </w:pPr>
      <w:r>
        <w:rPr>
          <w:rFonts w:ascii="Liberation Sans" w:hAnsi="Liberation Sans"/>
          <w:b/>
        </w:rPr>
        <w:t xml:space="preserve">3.  </w:t>
      </w:r>
      <w:r>
        <w:rPr>
          <w:rFonts w:ascii="Liberation Sans" w:hAnsi="Liberation Sans"/>
        </w:rPr>
        <w:t>Evaluate whether accessibility gains persist when entire urban areas are withheld from model training.</w:t>
      </w:r>
    </w:p>
    <w:p>
      <w:pPr>
        <w:spacing w:after="60"/>
        <w:ind w:left="408" w:hanging="312"/>
      </w:pPr>
      <w:r>
        <w:t>4.  Document missing-data, coordinate/snap, bus-stop taxonomy, boundary, spatial-dependence, tuning and validation uncertainty rather than hiding them inside a single high-performing model.</w:t>
      </w:r>
    </w:p>
    <w:p>
      <w:pPr>
        <w:pStyle w:val="Heading1"/>
      </w:pPr>
      <w:r>
        <w:t>3. Research questions and expectations</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4929"/>
        <w:gridCol w:w="4929"/>
      </w:tblGrid>
      <w:tr>
        <w:trPr>
          <w:tblHeader w:val="true"/>
          <w:cantSplit/>
        </w:trPr>
        <w:tc>
          <w:tcPr>
            <w:tcW w:type="dxa" w:w="5443"/>
            <w:shd w:fill="E6EEF2"/>
            <w:tcMar>
              <w:top w:w="85" w:type="dxa"/>
              <w:start w:w="110" w:type="dxa"/>
              <w:bottom w:w="85" w:type="dxa"/>
              <w:end w:w="110" w:type="dxa"/>
            </w:tcMar>
            <w:vAlign w:val="center"/>
          </w:tcPr>
          <w:p>
            <w:r>
              <w:rPr>
                <w:rFonts w:ascii="Liberation Sans" w:hAnsi="Liberation Sans"/>
                <w:b/>
                <w:color w:val="17354A"/>
                <w:sz w:val="17"/>
              </w:rPr>
              <w:t>Research question</w:t>
            </w:r>
          </w:p>
        </w:tc>
        <w:tc>
          <w:tcPr>
            <w:tcW w:type="dxa" w:w="4422"/>
            <w:shd w:fill="E6EEF2"/>
            <w:tcMar>
              <w:top w:w="85" w:type="dxa"/>
              <w:start w:w="110" w:type="dxa"/>
              <w:bottom w:w="85" w:type="dxa"/>
              <w:end w:w="110" w:type="dxa"/>
            </w:tcMar>
            <w:vAlign w:val="center"/>
          </w:tcPr>
          <w:p>
            <w:r>
              <w:rPr>
                <w:rFonts w:ascii="Liberation Sans" w:hAnsi="Liberation Sans"/>
                <w:b/>
                <w:color w:val="17354A"/>
                <w:sz w:val="17"/>
              </w:rPr>
              <w:t>Directional expectation / interpretation</w:t>
            </w:r>
          </w:p>
        </w:tc>
      </w:tr>
      <w:tr>
        <w:trPr>
          <w:cantSplit/>
        </w:trPr>
        <w:tc>
          <w:tcPr>
            <w:tcW w:type="dxa" w:w="5443"/>
            <w:tcMar>
              <w:top w:w="85" w:type="dxa"/>
              <w:start w:w="110" w:type="dxa"/>
              <w:bottom w:w="85" w:type="dxa"/>
              <w:end w:w="110" w:type="dxa"/>
            </w:tcMar>
            <w:vAlign w:val="top"/>
          </w:tcPr>
          <w:p>
            <w:r>
              <w:t>RQ1. How do conventional straight-line and walking-network representations of access to rail/metro/S-train stations, bus stops and urban opportunities differ across eligible listings?</w:t>
            </w:r>
          </w:p>
        </w:tc>
        <w:tc>
          <w:tcPr>
            <w:tcW w:type="dxa" w:w="4422"/>
            <w:tcMar>
              <w:top w:w="85" w:type="dxa"/>
              <w:start w:w="110" w:type="dxa"/>
              <w:bottom w:w="85" w:type="dxa"/>
              <w:end w:w="110" w:type="dxa"/>
            </w:tcMar>
            <w:vAlign w:val="top"/>
          </w:tcPr>
          <w:p>
            <w:r>
              <w:rPr>
                <w:rFonts w:ascii="Liberation Sans" w:hAnsi="Liberation Sans"/>
                <w:sz w:val="17"/>
              </w:rPr>
              <w:t>The two representations are expected to be highly related but not identical, especially where barriers and street topology matter. The size of the difference is empirical.</w:t>
            </w:r>
          </w:p>
        </w:tc>
      </w:tr>
      <w:tr>
        <w:trPr>
          <w:cantSplit/>
        </w:trPr>
        <w:tc>
          <w:tcPr>
            <w:tcW w:type="dxa" w:w="5443"/>
            <w:tcMar>
              <w:top w:w="85" w:type="dxa"/>
              <w:start w:w="110" w:type="dxa"/>
              <w:bottom w:w="85" w:type="dxa"/>
              <w:end w:w="110" w:type="dxa"/>
            </w:tcMar>
            <w:vAlign w:val="top"/>
          </w:tcPr>
          <w:p>
            <w:r>
              <w:t>RQ2. To what extent do richer accessibility measures add explanatory and predictive information for listed nightly prices beyond accommodation, host/rental, core analysis-area socioeconomic context and conventional centrality characteristics?</w:t>
            </w:r>
          </w:p>
        </w:tc>
        <w:tc>
          <w:tcPr>
            <w:tcW w:type="dxa" w:w="4422"/>
            <w:tcMar>
              <w:top w:w="85" w:type="dxa"/>
              <w:start w:w="110" w:type="dxa"/>
              <w:bottom w:w="85" w:type="dxa"/>
              <w:end w:w="110" w:type="dxa"/>
            </w:tcMar>
            <w:vAlign w:val="top"/>
          </w:tcPr>
          <w:p>
            <w:r>
              <w:rPr>
                <w:rFonts w:ascii="Liberation Sans" w:hAnsi="Liberation Sans"/>
                <w:sz w:val="17"/>
              </w:rPr>
              <w:t>Walking-network measures may add information, but a small or null gain is a legitimate result and would imply limited benefit from added measurement complexity.</w:t>
            </w:r>
          </w:p>
        </w:tc>
      </w:tr>
      <w:tr>
        <w:trPr>
          <w:cantSplit/>
        </w:trPr>
        <w:tc>
          <w:tcPr>
            <w:tcW w:type="dxa" w:w="5443"/>
            <w:tcMar>
              <w:top w:w="85" w:type="dxa"/>
              <w:start w:w="110" w:type="dxa"/>
              <w:bottom w:w="85" w:type="dxa"/>
              <w:end w:w="110" w:type="dxa"/>
            </w:tcMar>
            <w:vAlign w:val="top"/>
          </w:tcPr>
          <w:p>
            <w:r>
              <w:rPr>
                <w:rFonts w:ascii="Liberation Sans" w:hAnsi="Liberation Sans"/>
                <w:sz w:val="17"/>
              </w:rPr>
              <w:t>RQ3. How do prediction error and the incremental value of accessibility change when models are evaluated in unseen urban areas rather than spatially interspersed listings?</w:t>
            </w:r>
          </w:p>
        </w:tc>
        <w:tc>
          <w:tcPr>
            <w:tcW w:type="dxa" w:w="4422"/>
            <w:tcMar>
              <w:top w:w="85" w:type="dxa"/>
              <w:start w:w="110" w:type="dxa"/>
              <w:bottom w:w="85" w:type="dxa"/>
              <w:end w:w="110" w:type="dxa"/>
            </w:tcMar>
            <w:vAlign w:val="top"/>
          </w:tcPr>
          <w:p>
            <w:r>
              <w:rPr>
                <w:rFonts w:ascii="Liberation Sans" w:hAnsi="Liberation Sans"/>
                <w:sz w:val="17"/>
              </w:rPr>
              <w:t>Geographic holdouts may produce larger errors than random folds, but the difference must be interpreted jointly with training size and predictor extrapolation.</w:t>
            </w:r>
          </w:p>
        </w:tc>
      </w:tr>
    </w:tbl>
    <w:p>
      <w:pPr>
        <w:spacing w:after="0"/>
      </w:pPr>
    </w:p>
    <w:p>
      <w:pPr>
        <w:pStyle w:val="Heading1"/>
      </w:pPr>
      <w:r>
        <w:t>4. Previous studies and research gap</w:t>
      </w:r>
    </w:p>
    <w:p>
      <w:pPr>
        <w:pStyle w:val="Heading2"/>
      </w:pPr>
      <w:r>
        <w:t>4.1 Hedonic Airbnb price models</w:t>
      </w:r>
    </w:p>
    <w:p>
      <w:pPr>
        <w:jc w:val="both"/>
      </w:pPr>
      <w:r>
        <w:rPr>
          <w:b/>
        </w:rPr>
        <w:t xml:space="preserve">The hedonic literature provides the baseline logic. </w:t>
      </w:r>
      <w:r>
        <w:t>Rosen (1974) treats differentiated goods as bundles of characteristics. Airbnb studies operationalise this idea with room/property, host, rental-rule, review and location attributes. Wang and Nicolau (2017) use OLS and quantile regression across 33 cities; Gibbs et al. (2018) estimate semilog hedonic models across five Canadian metropolitan areas. These papers establish useful control-variable precedents, but they do not make one variable set universally correct for every sample or research question.</w:t>
      </w:r>
    </w:p>
    <w:p>
      <w:pPr>
        <w:pStyle w:val="Heading2"/>
      </w:pPr>
      <w:r>
        <w:t>4.2 Spatial location and accessibility</w:t>
      </w:r>
    </w:p>
    <w:p>
      <w:pPr>
        <w:jc w:val="both"/>
      </w:pPr>
      <w:r>
        <w:rPr>
          <w:b/>
        </w:rPr>
        <w:t xml:space="preserve">Later studies show that simple location variables are insufficient for some questions. </w:t>
      </w:r>
      <w:r>
        <w:t>Chica-Olmo et al. (2020) model spatial price dependence and locational attributes in Málaga. Deboosere et al. (2019) distinguish proximity to subway stations from a broader transit-accessibility measure based on jobs reachable within 30 minutes. Gyódi and Nawaro (2021) compare centre/metro distances with review-weighted attraction and restaurant accessibility indices across ten European cities. Türk et al. (2021) also combine Airbnb, amenities and public-transport proximity across multiple cities. Consequently, this thesis does not claim that transport or accessibility has been ignored.</w:t>
      </w:r>
    </w:p>
    <w:p>
      <w:pPr>
        <w:pStyle w:val="Heading2"/>
      </w:pPr>
      <w:r>
        <w:t>4.3 Machine learning and geographic prediction</w:t>
      </w:r>
    </w:p>
    <w:p>
      <w:pPr>
        <w:jc w:val="both"/>
      </w:pPr>
      <w:r>
        <w:rPr>
          <w:b/>
        </w:rPr>
        <w:t xml:space="preserve">Recent Airbnb research increasingly uses flexible prediction methods and geographic features. </w:t>
      </w:r>
      <w:r>
        <w:t>Islam et al. (2022) combine XGBoost with text-derived topics and Moran eigenvector spatial filtering; Jiang et al. (2023) compare linear regression, geographically weighted regression and random forest; Panahandeh et al. (2025) explicitly compare baseline and geography-enriched feature sets using multiple machine-learning models and SHAP. These studies motivate a predictive component, but model specification and geographic validation remain distinct issues.</w:t>
      </w:r>
    </w:p>
    <w:p>
      <w:pPr>
        <w:pStyle w:val="Heading2"/>
      </w:pPr>
      <w:r>
        <w:t>4.4 Spatial validation literature</w:t>
      </w:r>
    </w:p>
    <w:p>
      <w:pPr>
        <w:jc w:val="both"/>
      </w:pPr>
      <w:r>
        <w:rPr>
          <w:b/>
        </w:rPr>
        <w:t xml:space="preserve">Roberts et al. (2017) and Valavi et al. (2019) show why cross-validation must reflect the intended prediction task when observations are spatially dependent. </w:t>
      </w:r>
      <w:r>
        <w:t>Random validation can be optimistic when nearby observations occur in both training and test sets; however, aggressive blocking can also induce extrapolation. Kopczewska (2022) similarly places spatial resampling within a broader spatial-machine-learning workflow. This supports evaluating both interspersed-listing and unseen-area prediction rather than declaring one CV scheme universally correct.</w:t>
      </w:r>
    </w:p>
    <w:p>
      <w:pPr>
        <w:pStyle w:val="Heading2"/>
      </w:pPr>
      <w:r>
        <w:t>4.5 Proposed research gap</w:t>
      </w:r>
    </w:p>
    <w:tbl>
      <w:tblPr>
        <w:tblW w:type="auto" w:w="0"/>
        <w:jc w:val="center"/>
        <w:tblLook w:firstColumn="1" w:firstRow="1" w:lastColumn="0" w:lastRow="0" w:noHBand="0" w:noVBand="1" w:val="04A0"/>
        <w:tblBorders>
          <w:top w:val="single" w:sz="6" w:space="0" w:color="D1DCE2"/>
          <w:left w:val="single" w:sz="6" w:space="0" w:color="D1DCE2"/>
          <w:bottom w:val="single" w:sz="6" w:space="0" w:color="D1DCE2"/>
          <w:right w:val="single" w:sz="6" w:space="0" w:color="D1DCE2"/>
          <w:insideH w:val="single" w:sz="6" w:space="0" w:color="D1DCE2"/>
          <w:insideV w:val="single" w:sz="6" w:space="0" w:color="D1DCE2"/>
        </w:tblBorders>
      </w:tblPr>
      <w:tblGrid>
        <w:gridCol w:w="9858"/>
      </w:tblGrid>
      <w:tr>
        <w:trPr>
          <w:cantSplit/>
        </w:trPr>
        <w:tc>
          <w:tcPr>
            <w:tcW w:type="dxa" w:w="9858"/>
            <w:shd w:fill="F2F7FA"/>
            <w:tcMar>
              <w:top w:w="110" w:type="dxa"/>
              <w:start w:w="140" w:type="dxa"/>
              <w:bottom w:w="110" w:type="dxa"/>
              <w:end w:w="140" w:type="dxa"/>
            </w:tcMar>
          </w:tcPr>
          <w:p>
            <w:r/>
            <w:r>
              <w:rPr>
                <w:b/>
              </w:rPr>
              <w:t>Candidate gap — deliberately cautious</w:t>
            </w:r>
            <w:r>
              <w:br/>
              <w:t>Within the reviewed corpus, a defensible contribution is to compare matched straight-line and walking-network accessibility representations—including separate rail/metro/S-train and bus-stop access—in one controlled Airbnb price design, while making area socioeconomic context part of the core baseline and testing whether any incremental accessibility value survives an unseen-area validation task. The thesis will not make a “first ever” claim without an additional systematic novelty search.</w:t>
            </w:r>
          </w:p>
        </w:tc>
      </w:tr>
    </w:tbl>
    <w:p>
      <w:pPr>
        <w:spacing w:after="0"/>
      </w:pPr>
    </w:p>
    <w:p>
      <w:pPr>
        <w:pStyle w:val="Heading1"/>
      </w:pPr>
      <w:r>
        <w:t>5. Theoretical and conceptual framework</w:t>
      </w:r>
    </w:p>
    <w:p>
      <w:pPr>
        <w:pStyle w:val="Heading2"/>
      </w:pPr>
      <w:r>
        <w:t>5.1 Hedonic characteristics framework</w:t>
      </w:r>
    </w:p>
    <w:p>
      <w:pPr>
        <w:pStyle w:val="Equation"/>
      </w:pPr>
      <w:r>
        <w:t>ln(P_i) = alpha + Property_i + HostRental_i + AreaContext_i + Centrality_i + Accessibility_i + e_i</w:t>
      </w:r>
    </w:p>
    <w:p>
      <w:pPr>
        <w:jc w:val="both"/>
      </w:pPr>
      <w:r>
        <w:rPr>
          <w:b/>
        </w:rPr>
        <w:t xml:space="preserve">The hedonic framework is used as an organising device for conditional price associations, not as proof that coefficients are causal willingness-to-pay estimates. </w:t>
      </w:r>
      <w:r>
        <w:t>Observed price differences may reflect unobserved quality, host strategy, platform ranking, regulation, seasonality and sorting across neighbourhoods.</w:t>
      </w:r>
    </w:p>
    <w:p>
      <w:pPr>
        <w:pStyle w:val="Heading2"/>
      </w:pPr>
      <w:r>
        <w:t>5.2 Accessibility framework</w:t>
      </w:r>
    </w:p>
    <w:p>
      <w:pPr>
        <w:pStyle w:val="Equation"/>
      </w:pPr>
      <w:r>
        <w:t>A_i = sum_j w_j * f(c_ij)</w:t>
      </w:r>
    </w:p>
    <w:p>
      <w:r>
        <w:t>Accessibility is represented as opportunities j weighted by travel impedance c_ij. The thesis compares a conventional straight-line proxy with walking-network impedance while holding the destination set constant. This isolates measurement representation more cleanly than comparing entirely different destination databases.</w:t>
      </w:r>
    </w:p>
    <w:p>
      <w:pPr>
        <w:pStyle w:val="Heading2"/>
      </w:pPr>
      <w:r>
        <w:t>5.3 Geographic prediction framework</w:t>
      </w:r>
    </w:p>
    <w:p>
      <w:r>
        <w:t>Random folds represent prediction for another listing in the same spatially interspersed market. Leave-one-analysis-area-out folds represent transfer to one of the 11 peer urban analysis areas absent from training. Buffered and geometric-block analyses, including shifted grid origins, test whether conclusions depend on boundary adjacency, administrative partitioning or an arbitrary spatial grid alignment.</w:t>
      </w:r>
    </w:p>
    <w:p>
      <w:pPr>
        <w:pStyle w:val="Heading1"/>
      </w:pPr>
      <w:r>
        <w:t>6. Study area, population and sample</w:t>
      </w:r>
    </w:p>
    <w:p>
      <w:pPr>
        <w:spacing w:after="50"/>
        <w:ind w:left="397" w:hanging="142"/>
      </w:pPr>
      <w:r>
        <w:t>• Study area: Copenhagen Municipality + Frederiksberg Municipality, conditional on verifying that both are covered by the frozen Inside Airbnb Copenhagen extract. For analysis, the 10 Copenhagen city districts plus Frederiksberg form 11 peer analysis areas. Frederiksberg is handled identically in area-context assignment, descriptive reporting and leave-one-area-out validation; its different administrative status is a case-study clarification, not a separate modelling category.</w:t>
      </w:r>
    </w:p>
    <w:p>
      <w:pPr>
        <w:spacing w:after="50"/>
        <w:ind w:left="397" w:hanging="142"/>
      </w:pPr>
      <w:r>
        <w:rPr>
          <w:rFonts w:ascii="Liberation Sans" w:hAnsi="Liberation Sans"/>
        </w:rPr>
        <w:t xml:space="preserve">• </w:t>
      </w:r>
      <w:r>
        <w:rPr>
          <w:rFonts w:ascii="Liberation Sans" w:hAnsi="Liberation Sans"/>
          <w:b/>
        </w:rPr>
        <w:t xml:space="preserve">Primary population: </w:t>
      </w:r>
      <w:r>
        <w:rPr>
          <w:rFonts w:ascii="Liberation Sans" w:hAnsi="Liberation Sans"/>
        </w:rPr>
        <w:t>room_type = Entire home/apt and conventional residential property types. This restriction prioritises comparability of the accommodation product.</w:t>
      </w:r>
    </w:p>
    <w:p>
      <w:pPr>
        <w:spacing w:after="50"/>
        <w:ind w:left="397" w:hanging="142"/>
      </w:pPr>
      <w:r>
        <w:rPr>
          <w:rFonts w:ascii="Liberation Sans" w:hAnsi="Liberation Sans"/>
        </w:rPr>
        <w:t xml:space="preserve">• </w:t>
      </w:r>
      <w:r>
        <w:rPr>
          <w:rFonts w:ascii="Liberation Sans" w:hAnsi="Liberation Sans"/>
          <w:b/>
        </w:rPr>
        <w:t xml:space="preserve">No review eligibility rule: </w:t>
      </w:r>
      <w:r>
        <w:rPr>
          <w:rFonts w:ascii="Liberation Sans" w:hAnsi="Liberation Sans"/>
        </w:rPr>
        <w:t>zero-review listings remain eligible because the outcome is listed price rather than realised demand/revenue. Reviewed-listings-only becomes a sensitivity sample.</w:t>
      </w:r>
    </w:p>
    <w:p>
      <w:pPr>
        <w:spacing w:after="50"/>
        <w:ind w:left="397" w:hanging="142"/>
      </w:pPr>
      <w:r>
        <w:rPr>
          <w:rFonts w:ascii="Liberation Sans" w:hAnsi="Liberation Sans"/>
        </w:rPr>
        <w:t xml:space="preserve">• </w:t>
      </w:r>
      <w:r>
        <w:rPr>
          <w:rFonts w:ascii="Liberation Sans" w:hAnsi="Liberation Sans"/>
          <w:b/>
        </w:rPr>
        <w:t xml:space="preserve">No primary availability rule: </w:t>
      </w:r>
      <w:r>
        <w:rPr>
          <w:rFonts w:ascii="Liberation Sans" w:hAnsi="Liberation Sans"/>
        </w:rPr>
        <w:t>calendar unavailability cannot be assumed to equal a booking.</w:t>
      </w:r>
    </w:p>
    <w:p>
      <w:pPr>
        <w:spacing w:after="50"/>
        <w:ind w:left="397" w:hanging="142"/>
      </w:pPr>
      <w:r>
        <w:rPr>
          <w:rFonts w:ascii="Liberation Sans" w:hAnsi="Liberation Sans"/>
        </w:rPr>
        <w:t xml:space="preserve">• </w:t>
      </w:r>
      <w:r>
        <w:rPr>
          <w:rFonts w:ascii="Liberation Sans" w:hAnsi="Liberation Sans"/>
          <w:b/>
        </w:rPr>
        <w:t xml:space="preserve">Observation: </w:t>
      </w:r>
      <w:r>
        <w:rPr>
          <w:rFonts w:ascii="Liberation Sans" w:hAnsi="Liberation Sans"/>
        </w:rPr>
        <w:t>one listing in one frozen cross-sectional snapshot. The design therefore describes cross-sectional spatial price variation at the chosen time.</w:t>
      </w:r>
    </w:p>
    <w:tbl>
      <w:tblPr>
        <w:tblW w:type="auto" w:w="0"/>
        <w:jc w:val="center"/>
        <w:tblLook w:firstColumn="1" w:firstRow="1" w:lastColumn="0" w:lastRow="0" w:noHBand="0" w:noVBand="1" w:val="04A0"/>
        <w:tblBorders>
          <w:top w:val="single" w:sz="6" w:space="0" w:color="D1DCE2"/>
          <w:left w:val="single" w:sz="6" w:space="0" w:color="D1DCE2"/>
          <w:bottom w:val="single" w:sz="6" w:space="0" w:color="D1DCE2"/>
          <w:right w:val="single" w:sz="6" w:space="0" w:color="D1DCE2"/>
          <w:insideH w:val="single" w:sz="6" w:space="0" w:color="D1DCE2"/>
          <w:insideV w:val="single" w:sz="6" w:space="0" w:color="D1DCE2"/>
        </w:tblBorders>
      </w:tblPr>
      <w:tblGrid>
        <w:gridCol w:w="9858"/>
      </w:tblGrid>
      <w:tr>
        <w:trPr>
          <w:cantSplit/>
        </w:trPr>
        <w:tc>
          <w:tcPr>
            <w:tcW w:type="dxa" w:w="9858"/>
            <w:shd w:fill="F2F7FA"/>
            <w:tcMar>
              <w:top w:w="110" w:type="dxa"/>
              <w:start w:w="140" w:type="dxa"/>
              <w:bottom w:w="110" w:type="dxa"/>
              <w:end w:w="140" w:type="dxa"/>
            </w:tcMar>
          </w:tcPr>
          <w:p>
            <w:r/>
            <w:r>
              <w:rPr>
                <w:b/>
              </w:rPr>
              <w:t>Analysis geography convention</w:t>
            </w:r>
            <w:r>
              <w:br/>
              <w:t>The research uses 11 peer analysis areas: the 10 official Copenhagen city districts plus Frederiksberg as one analysis area. Frederiksberg is administratively a separate municipality, but it is treated identically for context assignment, descriptive stratification and leave-one-area-out validation. This operational equivalence is explained once in the case-study chapter; throughout the methods/results the neutral term “analysis area” is used.</w:t>
            </w:r>
          </w:p>
        </w:tc>
      </w:tr>
    </w:tbl>
    <w:p>
      <w:pPr>
        <w:spacing w:after="0"/>
      </w:pPr>
    </w:p>
    <w:p>
      <w:pPr>
        <w:pStyle w:val="Heading1"/>
      </w:pPr>
      <w:r>
        <w:t>7. Data sources</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2381"/>
            <w:shd w:fill="E6EEF2"/>
            <w:tcMar>
              <w:top w:w="85" w:type="dxa"/>
              <w:start w:w="110" w:type="dxa"/>
              <w:bottom w:w="85" w:type="dxa"/>
              <w:end w:w="110" w:type="dxa"/>
            </w:tcMar>
            <w:vAlign w:val="center"/>
          </w:tcPr>
          <w:p>
            <w:r>
              <w:rPr>
                <w:rFonts w:ascii="Liberation Sans" w:hAnsi="Liberation Sans"/>
                <w:b/>
                <w:color w:val="17354A"/>
                <w:sz w:val="16"/>
              </w:rPr>
              <w:t>Source</w:t>
            </w:r>
          </w:p>
        </w:tc>
        <w:tc>
          <w:tcPr>
            <w:tcW w:type="dxa" w:w="4252"/>
            <w:shd w:fill="E6EEF2"/>
            <w:tcMar>
              <w:top w:w="85" w:type="dxa"/>
              <w:start w:w="110" w:type="dxa"/>
              <w:bottom w:w="85" w:type="dxa"/>
              <w:end w:w="110" w:type="dxa"/>
            </w:tcMar>
            <w:vAlign w:val="center"/>
          </w:tcPr>
          <w:p>
            <w:r>
              <w:rPr>
                <w:rFonts w:ascii="Liberation Sans" w:hAnsi="Liberation Sans"/>
                <w:b/>
                <w:color w:val="17354A"/>
                <w:sz w:val="16"/>
              </w:rPr>
              <w:t>Variables / role</w:t>
            </w:r>
          </w:p>
        </w:tc>
        <w:tc>
          <w:tcPr>
            <w:tcW w:type="dxa" w:w="3288"/>
            <w:shd w:fill="E6EEF2"/>
            <w:tcMar>
              <w:top w:w="85" w:type="dxa"/>
              <w:start w:w="110" w:type="dxa"/>
              <w:bottom w:w="85" w:type="dxa"/>
              <w:end w:w="110" w:type="dxa"/>
            </w:tcMar>
            <w:vAlign w:val="center"/>
          </w:tcPr>
          <w:p>
            <w:r>
              <w:rPr>
                <w:rFonts w:ascii="Liberation Sans" w:hAnsi="Liberation Sans"/>
                <w:b/>
                <w:color w:val="17354A"/>
                <w:sz w:val="16"/>
              </w:rPr>
              <w:t>Key limitation</w:t>
            </w:r>
          </w:p>
        </w:tc>
      </w:tr>
      <w:tr>
        <w:trPr>
          <w:cantSplit/>
        </w:trPr>
        <w:tc>
          <w:tcPr>
            <w:tcW w:type="dxa" w:w="2381"/>
            <w:tcMar>
              <w:top w:w="85" w:type="dxa"/>
              <w:start w:w="110" w:type="dxa"/>
              <w:bottom w:w="85" w:type="dxa"/>
              <w:end w:w="110" w:type="dxa"/>
            </w:tcMar>
            <w:vAlign w:val="top"/>
          </w:tcPr>
          <w:p>
            <w:r>
              <w:rPr>
                <w:rFonts w:ascii="Liberation Sans" w:hAnsi="Liberation Sans"/>
                <w:sz w:val="16"/>
              </w:rPr>
              <w:t>Inside Airbnb</w:t>
            </w:r>
          </w:p>
        </w:tc>
        <w:tc>
          <w:tcPr>
            <w:tcW w:type="dxa" w:w="4252"/>
            <w:tcMar>
              <w:top w:w="85" w:type="dxa"/>
              <w:start w:w="110" w:type="dxa"/>
              <w:bottom w:w="85" w:type="dxa"/>
              <w:end w:w="110" w:type="dxa"/>
            </w:tcMar>
            <w:vAlign w:val="top"/>
          </w:tcPr>
          <w:p>
            <w:r>
              <w:rPr>
                <w:rFonts w:ascii="Liberation Sans" w:hAnsi="Liberation Sans"/>
                <w:sz w:val="16"/>
              </w:rPr>
              <w:t>Listed price; room/property type; capacity; bedrooms/bathrooms; host/rental variables; review fields for robustness; coordinates.</w:t>
            </w:r>
          </w:p>
        </w:tc>
        <w:tc>
          <w:tcPr>
            <w:tcW w:type="dxa" w:w="3288"/>
            <w:tcMar>
              <w:top w:w="85" w:type="dxa"/>
              <w:start w:w="110" w:type="dxa"/>
              <w:bottom w:w="85" w:type="dxa"/>
              <w:end w:w="110" w:type="dxa"/>
            </w:tcMar>
            <w:vAlign w:val="top"/>
          </w:tcPr>
          <w:p>
            <w:r>
              <w:rPr>
                <w:rFonts w:ascii="Liberation Sans" w:hAnsi="Liberation Sans"/>
                <w:sz w:val="16"/>
              </w:rPr>
              <w:t>Coordinates are approximate; listed price is not a transaction price. Snapshot coverage and exact price field must be frozen.</w:t>
            </w:r>
          </w:p>
        </w:tc>
      </w:tr>
      <w:tr>
        <w:trPr>
          <w:cantSplit/>
        </w:trPr>
        <w:tc>
          <w:tcPr>
            <w:tcW w:type="dxa" w:w="2381"/>
            <w:tcMar>
              <w:top w:w="85" w:type="dxa"/>
              <w:start w:w="110" w:type="dxa"/>
              <w:bottom w:w="85" w:type="dxa"/>
              <w:end w:w="110" w:type="dxa"/>
            </w:tcMar>
            <w:vAlign w:val="top"/>
          </w:tcPr>
          <w:p>
            <w:r>
              <w:rPr>
                <w:rFonts w:ascii="Liberation Sans" w:hAnsi="Liberation Sans"/>
                <w:sz w:val="16"/>
              </w:rPr>
              <w:t>OpenStreetMap</w:t>
            </w:r>
          </w:p>
        </w:tc>
        <w:tc>
          <w:tcPr>
            <w:tcW w:type="dxa" w:w="4252"/>
            <w:tcMar>
              <w:top w:w="85" w:type="dxa"/>
              <w:start w:w="110" w:type="dxa"/>
              <w:bottom w:w="85" w:type="dxa"/>
              <w:end w:w="110" w:type="dxa"/>
            </w:tcMar>
            <w:vAlign w:val="top"/>
          </w:tcPr>
          <w:p>
            <w:r>
              <w:t>Walking network; rail/metro/S-train stations; bus stops; POIs; optional parks/selected destinations.</w:t>
            </w:r>
          </w:p>
        </w:tc>
        <w:tc>
          <w:tcPr>
            <w:tcW w:type="dxa" w:w="3288"/>
            <w:tcMar>
              <w:top w:w="85" w:type="dxa"/>
              <w:start w:w="110" w:type="dxa"/>
              <w:bottom w:w="85" w:type="dxa"/>
              <w:end w:w="110" w:type="dxa"/>
            </w:tcMar>
            <w:vAlign w:val="top"/>
          </w:tcPr>
          <w:p>
            <w:r>
              <w:t>Tag completeness and duplicate point/polygon/platform/stop-position representations require frozen station, bus-stop and POI taxonomies plus deduplication rules.</w:t>
            </w:r>
          </w:p>
        </w:tc>
      </w:tr>
      <w:tr>
        <w:trPr>
          <w:cantSplit/>
        </w:trPr>
        <w:tc>
          <w:tcPr>
            <w:tcW w:type="dxa" w:w="2381"/>
            <w:tcMar>
              <w:top w:w="85" w:type="dxa"/>
              <w:start w:w="110" w:type="dxa"/>
              <w:bottom w:w="85" w:type="dxa"/>
              <w:end w:w="110" w:type="dxa"/>
            </w:tcMar>
            <w:vAlign w:val="top"/>
          </w:tcPr>
          <w:p>
            <w:r>
              <w:t>Harmonised 11-analysis-area statistics</w:t>
            </w:r>
          </w:p>
        </w:tc>
        <w:tc>
          <w:tcPr>
            <w:tcW w:type="dxa" w:w="4252"/>
            <w:tcMar>
              <w:top w:w="85" w:type="dxa"/>
              <w:start w:w="110" w:type="dxa"/>
              <w:bottom w:w="85" w:type="dxa"/>
              <w:end w:w="110" w:type="dxa"/>
            </w:tcMar>
            <w:vAlign w:val="top"/>
          </w:tcPr>
          <w:p>
            <w:r>
              <w:t>Core population density, income and analysis/validation boundaries.</w:t>
            </w:r>
          </w:p>
        </w:tc>
        <w:tc>
          <w:tcPr>
            <w:tcW w:type="dxa" w:w="3288"/>
            <w:tcMar>
              <w:top w:w="85" w:type="dxa"/>
              <w:start w:w="110" w:type="dxa"/>
              <w:bottom w:w="85" w:type="dxa"/>
              <w:end w:w="110" w:type="dxa"/>
            </w:tcMar>
            <w:vAlign w:val="top"/>
          </w:tcPr>
          <w:p>
            <w:r>
              <w:t>Definitions/reference periods must be comparable across all 11 areas. If raw statistics are finer, aggregate consistently to the analysis-area geography; do not use a Frederiksberg-specific primary-model indicator.</w:t>
            </w:r>
          </w:p>
        </w:tc>
      </w:tr>
      <w:tr>
        <w:trPr>
          <w:cantSplit/>
        </w:trPr>
        <w:tc>
          <w:tcPr>
            <w:tcW w:type="dxa" w:w="2381"/>
            <w:tcMar>
              <w:top w:w="85" w:type="dxa"/>
              <w:start w:w="110" w:type="dxa"/>
              <w:bottom w:w="85" w:type="dxa"/>
              <w:end w:w="110" w:type="dxa"/>
            </w:tcMar>
            <w:vAlign w:val="top"/>
          </w:tcPr>
          <w:p>
            <w:r>
              <w:rPr>
                <w:rFonts w:ascii="Liberation Sans" w:hAnsi="Liberation Sans"/>
                <w:sz w:val="16"/>
              </w:rPr>
              <w:t>Rejseplanen GTFS — optional</w:t>
            </w:r>
          </w:p>
        </w:tc>
        <w:tc>
          <w:tcPr>
            <w:tcW w:type="dxa" w:w="4252"/>
            <w:tcMar>
              <w:top w:w="85" w:type="dxa"/>
              <w:start w:w="110" w:type="dxa"/>
              <w:bottom w:w="85" w:type="dxa"/>
              <w:end w:w="110" w:type="dxa"/>
            </w:tcMar>
            <w:vAlign w:val="top"/>
          </w:tcPr>
          <w:p>
            <w:r>
              <w:rPr>
                <w:rFonts w:ascii="Liberation Sans" w:hAnsi="Liberation Sans"/>
                <w:sz w:val="16"/>
              </w:rPr>
              <w:t>Scheduled transit travel-time/service accessibility.</w:t>
            </w:r>
          </w:p>
        </w:tc>
        <w:tc>
          <w:tcPr>
            <w:tcW w:type="dxa" w:w="3288"/>
            <w:tcMar>
              <w:top w:w="85" w:type="dxa"/>
              <w:start w:w="110" w:type="dxa"/>
              <w:bottom w:w="85" w:type="dxa"/>
              <w:end w:w="110" w:type="dxa"/>
            </w:tcMar>
            <w:vAlign w:val="top"/>
          </w:tcPr>
          <w:p>
            <w:r>
              <w:rPr>
                <w:rFonts w:ascii="Liberation Sans" w:hAnsi="Liberation Sans"/>
                <w:sz w:val="16"/>
              </w:rPr>
              <w:t>Approval dependent; schedules do not represent realised delays/crowding.</w:t>
            </w:r>
          </w:p>
        </w:tc>
      </w:tr>
      <w:tr>
        <w:trPr>
          <w:cantSplit/>
        </w:trPr>
        <w:tc>
          <w:tcPr>
            <w:tcW w:type="dxa" w:w="2381"/>
            <w:tcMar>
              <w:top w:w="85" w:type="dxa"/>
              <w:start w:w="110" w:type="dxa"/>
              <w:bottom w:w="85" w:type="dxa"/>
              <w:end w:w="110" w:type="dxa"/>
            </w:tcMar>
            <w:vAlign w:val="top"/>
          </w:tcPr>
          <w:p>
            <w:r>
              <w:t>Rejseplanen stop data — optional quality cross-check</w:t>
            </w:r>
          </w:p>
        </w:tc>
        <w:tc>
          <w:tcPr>
            <w:tcW w:type="dxa" w:w="4252"/>
            <w:tcMar>
              <w:top w:w="85" w:type="dxa"/>
              <w:start w:w="110" w:type="dxa"/>
              <w:bottom w:w="85" w:type="dxa"/>
              <w:end w:w="110" w:type="dxa"/>
            </w:tcMar>
            <w:vAlign w:val="top"/>
          </w:tcPr>
          <w:p>
            <w:r>
              <w:t>Stop/station reference if a documented OSM quality issue requires validation or consistent replacement.</w:t>
            </w:r>
          </w:p>
        </w:tc>
        <w:tc>
          <w:tcPr>
            <w:tcW w:type="dxa" w:w="3288"/>
            <w:tcMar>
              <w:top w:w="85" w:type="dxa"/>
              <w:start w:w="110" w:type="dxa"/>
              <w:bottom w:w="85" w:type="dxa"/>
              <w:end w:w="110" w:type="dxa"/>
            </w:tcMar>
            <w:vAlign w:val="top"/>
          </w:tcPr>
          <w:p>
            <w:r>
              <w:t>Approval dependent; OSM remains the default core source for bus-stop and station features.</w:t>
            </w:r>
          </w:p>
        </w:tc>
      </w:tr>
    </w:tbl>
    <w:p>
      <w:pPr>
        <w:spacing w:after="0"/>
      </w:pPr>
    </w:p>
    <w:p>
      <w:pPr>
        <w:pStyle w:val="Heading1"/>
      </w:pPr>
      <w:r>
        <w:t>8. Outcome, covariates and missing-data strategy</w:t>
      </w:r>
    </w:p>
    <w:p>
      <w:pPr>
        <w:pStyle w:val="Heading2"/>
      </w:pPr>
      <w:r>
        <w:t>8.1 Primary outcome</w:t>
      </w:r>
    </w:p>
    <w:p>
      <w:pPr>
        <w:pStyle w:val="Equation"/>
      </w:pPr>
      <w:r>
        <w:t>y_i = ln(P_i), where P_i is the positive listed nightly price in the frozen snapshot</w:t>
      </w:r>
    </w:p>
    <w:p>
      <w:pPr>
        <w:spacing w:after="50"/>
        <w:ind w:left="397" w:hanging="142"/>
      </w:pPr>
      <w:r>
        <w:rPr>
          <w:rFonts w:ascii="Liberation Sans" w:hAnsi="Liberation Sans"/>
        </w:rPr>
        <w:t xml:space="preserve">• </w:t>
      </w:r>
      <w:r>
        <w:rPr>
          <w:rFonts w:ascii="Liberation Sans" w:hAnsi="Liberation Sans"/>
        </w:rPr>
        <w:t>If a missing price is caused by a parser/cleaning failure, recover it from the raw field.</w:t>
      </w:r>
    </w:p>
    <w:p>
      <w:pPr>
        <w:spacing w:after="50"/>
        <w:ind w:left="397" w:hanging="142"/>
      </w:pPr>
      <w:r>
        <w:rPr>
          <w:rFonts w:ascii="Liberation Sans" w:hAnsi="Liberation Sans"/>
        </w:rPr>
        <w:t xml:space="preserve">• </w:t>
      </w:r>
      <w:r>
        <w:rPr>
          <w:rFonts w:ascii="Liberation Sans" w:hAnsi="Liberation Sans"/>
        </w:rPr>
        <w:t>If the primary price is truly missing, exclude the listing from price-model estimation/evaluation; do not statistically impute the dependent variable.</w:t>
      </w:r>
    </w:p>
    <w:p>
      <w:pPr>
        <w:spacing w:after="50"/>
        <w:ind w:left="397" w:hanging="142"/>
      </w:pPr>
      <w:r>
        <w:rPr>
          <w:rFonts w:ascii="Liberation Sans" w:hAnsi="Liberation Sans"/>
        </w:rPr>
        <w:t xml:space="preserve">• </w:t>
      </w:r>
      <w:r>
        <w:rPr>
          <w:rFonts w:ascii="Liberation Sans" w:hAnsi="Liberation Sans"/>
        </w:rPr>
        <w:t>If outcome missingness is material, compare the observed characteristics and spatial distribution of excluded versus retained listings.</w:t>
      </w:r>
    </w:p>
    <w:p>
      <w:pPr>
        <w:pStyle w:val="Heading2"/>
      </w:pPr>
      <w:r>
        <w:t>8.2 Baseline covariate vector</w:t>
      </w:r>
    </w:p>
    <w:p>
      <w:pPr>
        <w:pStyle w:val="Equation"/>
      </w:pPr>
      <w:r>
        <w:t>X_i = [property type, accommodates, bedrooms, bathrooms, selected amenities, log(1+minimum nights), instant booking, log(1+host portfolio), superhost, log(analysis-area population density), harmonised analysis-area income, centre distance]</w:t>
      </w:r>
    </w:p>
    <w:p>
      <w:r>
        <w:t>Internal amenities will be selected using a pre-specified conceptual/prevalence rule rather than significance or test performance. Analysis-area population density and income are core in M0 and every accessibility specification. The analysis-area identifier itself is used for grouping/validation rather than as a primary predictor; analysis-area fixed effects are reserved for association robustness. Review scores/counts are excluded from the primary model and added only in a reputation-augmented robustness specification.</w:t>
      </w:r>
    </w:p>
    <w:p>
      <w:pPr>
        <w:pStyle w:val="Heading2"/>
      </w:pPr>
      <w:r>
        <w:t>8.3 Missing predictors</w:t>
      </w:r>
    </w:p>
    <w:p>
      <w:pPr>
        <w:jc w:val="both"/>
      </w:pPr>
      <w:r>
        <w:rPr>
          <w:b/>
        </w:rPr>
        <w:t xml:space="preserve">Missing-data handling is deliberately subordinate to the accessibility question. </w:t>
      </w:r>
      <w:r>
        <w:t>Every candidate predictor will first receive a missingness audit. Predictive pipelines will use training-fold-only preprocessing; a simple numeric median and explicit missing-category strategy provides a transparent benchmark, while XGBoost native missing handling will be checked where relevant. For the OLS association analysis, negligible missingness can be handled transparently with a complete-case analysis; if key covariates have material missingness or complete-case loss is substantial, multiple imputation by chained equations (MICE) will be used and coefficient uncertainty pooled across imputations (White, Royston, &amp; Wood, 2011).</w:t>
      </w:r>
    </w:p>
    <w:p>
      <w:pPr>
        <w:jc w:val="both"/>
      </w:pPr>
      <w:r>
        <w:rPr>
          <w:b/>
        </w:rPr>
        <w:t xml:space="preserve">Tabular foundation models are extensions, not dependencies. </w:t>
      </w:r>
      <w:r>
        <w:t>TabICLv2 is retained only as an optional predictive benchmark because its current paper states that missing values are mean-imputed. An experimental TabPFN unsupervised imputer may be evaluated as a sensitivity analysis if missingness is consequential, time permits, and the exact model-weight licence is compatible with the academic use case. It will not replace MICE for pooled OLS inference.</w:t>
      </w:r>
    </w:p>
    <w:p>
      <w:pPr>
        <w:pStyle w:val="Heading1"/>
      </w:pPr>
      <w:r>
        <w:t>9. Accessibility measurement</w:t>
      </w:r>
    </w:p>
    <w:p>
      <w:pPr>
        <w:pStyle w:val="Heading2"/>
      </w:pPr>
      <w:r>
        <w:t>9.1 Core public-transport access</w:t>
      </w:r>
    </w:p>
    <w:p>
      <w:pPr>
        <w:pStyle w:val="Equation"/>
      </w:pPr>
      <w:r>
        <w:t>D_i^rail = Euclidean distance to nearest eligible rail/metro/S-train station</w:t>
      </w:r>
    </w:p>
    <w:p>
      <w:pPr>
        <w:pStyle w:val="Equation"/>
      </w:pPr>
      <w:r>
        <w:t>T_i^rail = walking-network minutes to nearest rail/metro/S-train station from the same station set</w:t>
      </w:r>
    </w:p>
    <w:p>
      <w:pPr>
        <w:pStyle w:val="Equation"/>
      </w:pPr>
      <w:r>
        <w:t>D_i^bus = Euclidean distance to nearest eligible deduplicated bus stop</w:t>
      </w:r>
    </w:p>
    <w:p>
      <w:pPr>
        <w:pStyle w:val="Equation"/>
      </w:pPr>
      <w:r>
        <w:t>T_i^bus = walking-network minutes to nearest bus stop from the same bus-stop set</w:t>
      </w:r>
    </w:p>
    <w:p>
      <w:pPr>
        <w:pStyle w:val="Heading2"/>
      </w:pPr>
      <w:r>
        <w:t>9.2 Opportunity accessibility</w:t>
      </w:r>
    </w:p>
    <w:p>
      <w:pPr>
        <w:pStyle w:val="Equation"/>
      </w:pPr>
      <w:r>
        <w:t>A_ic^(E,10) = sum_j I(d_ij^E &lt;= 0.833 km),  j in opportunity category c</w:t>
      </w:r>
    </w:p>
    <w:p>
      <w:pPr>
        <w:pStyle w:val="Equation"/>
      </w:pPr>
      <w:r>
        <w:t>A_ic^(W,10) = sum_j I(t_ij^W &lt;= 10 min),  j in the same opportunity category c</w:t>
      </w:r>
    </w:p>
    <w:p>
      <w:pPr>
        <w:spacing w:after="50"/>
        <w:ind w:left="397" w:hanging="142"/>
      </w:pPr>
      <w:r>
        <w:t>• Primary walking speed assumption: 5.0 km/h (1.39 m/s; 83.3 m/min). Djurhuus et al. (2016) used 5 km/h for access and transfer walking in a multimodal accessibility model of the Capital Region of Denmark and linked this value to average walking speed in the Danish National Travel Survey. It is therefore adopted as a locally grounded modelling baseline rather than a universal pedestrian speed.</w:t>
      </w:r>
    </w:p>
    <w:p>
      <w:pPr>
        <w:spacing w:after="50"/>
        <w:ind w:left="397" w:hanging="142"/>
      </w:pPr>
      <w:r>
        <w:t>• Primary walking budget: 10 minutes; matched straight-line radius: 833 m.</w:t>
      </w:r>
    </w:p>
    <w:p>
      <w:pPr>
        <w:spacing w:after="50"/>
        <w:ind w:left="397" w:hanging="142"/>
      </w:pPr>
      <w:r>
        <w:t>• Threshold sensitivity: 15/20 minutes with matched 1.250/1.667 km straight-line proxies under the 5.0 km/h baseline.</w:t>
      </w:r>
    </w:p>
    <w:p>
      <w:pPr/>
      <w:r>
        <w:t>• Walking-speed sensitivity: rerun the primary 10-minute matched measures at 4.0 km/h (1.11 m/s; 667 m Euclidean analogue) and 5.4 km/h (1.50 m/s; 900 m analogue). This keeps the time budget fixed and tests only the assumed walking speed.</w:t>
      </w:r>
    </w:p>
    <w:p>
      <w:pPr>
        <w:spacing w:after="50"/>
        <w:ind w:left="397" w:hanging="142"/>
      </w:pPr>
      <w:r>
        <w:t>• Primary opportunity families: food/social and cultural/tourist. Rail/metro/S-train and bus-stop taxonomies are also frozen before modelling. The core bus-stop set includes highway=bus_stop and bus-tagged public_transport platform/stop_position objects consolidated to physical stops. Rail and bus access remain separate features because pooling them would allow the denser bus network to dominate the transport-access measure.</w:t>
      </w:r>
    </w:p>
    <w:p>
      <w:pPr>
        <w:spacing w:after="50"/>
        <w:ind w:left="397" w:hanging="142"/>
      </w:pPr>
      <w:r>
        <w:rPr>
          <w:rFonts w:ascii="Liberation Sans" w:hAnsi="Liberation Sans"/>
        </w:rPr>
        <w:t xml:space="preserve">• </w:t>
      </w:r>
      <w:r>
        <w:rPr>
          <w:rFonts w:ascii="Liberation Sans" w:hAnsi="Liberation Sans"/>
        </w:rPr>
        <w:t>Network and Euclidean measures use identical destinations so the comparison changes impedance representation rather than destination content.</w:t>
      </w:r>
    </w:p>
    <w:p>
      <w:pPr>
        <w:spacing w:after="50"/>
        <w:ind w:left="397" w:hanging="142"/>
      </w:pPr>
      <w:r>
        <w:rPr>
          <w:rFonts w:ascii="Liberation Sans" w:hAnsi="Liberation Sans"/>
        </w:rPr>
        <w:t xml:space="preserve">• </w:t>
      </w:r>
      <w:r>
        <w:rPr>
          <w:rFonts w:ascii="Liberation Sans" w:hAnsi="Liberation Sans"/>
        </w:rPr>
        <w:t>Accessibility extraction extends beyond the study boundary to avoid edge truncation.</w:t>
      </w:r>
    </w:p>
    <w:p>
      <w:pPr>
        <w:pStyle w:val="Heading2"/>
      </w:pPr>
      <w:r>
        <w:t>9.3 Continuous distance-decay robustness</w:t>
      </w:r>
    </w:p>
    <w:p>
      <w:pPr>
        <w:pStyle w:val="Equation"/>
      </w:pPr>
      <w:r>
        <w:t>G_ic = sum_j exp(-lambda * t_ij)</w:t>
      </w:r>
    </w:p>
    <w:p>
      <w:r>
        <w:t>A continuous distance-decay specification is a pre-specified core robustness check for opportunity accessibility. It remains secondary to the frozen 10-minute main definition. The decay is fixed before rerun at a 10-minute half-life, lambda = ln(2)/10 per minute. Euclidean distance is converted to straight-line minutes using the 5.0 km/h baseline (83.3 m/min), while network decay uses routed walking minutes at the same baseline speed; destination sets remain identical. The 4.0/5.4 km/h speed sensitivity is evaluated separately from this functional-form sensitivity.</w:t>
      </w:r>
    </w:p>
    <w:p>
      <w:pPr>
        <w:pStyle w:val="Heading2"/>
      </w:pPr>
      <w:r>
        <w:t>9.4 Optional scheduled transit</w:t>
      </w:r>
    </w:p>
    <w:p>
      <w:r>
        <w:t>If GTFS access becomes available early enough, scheduled transit becomes an additional feature block, not a replacement for the core walking measures. Departure window, walking access/egress, waiting, transfer and timetable assumptions will be stated explicitly.</w:t>
      </w:r>
    </w:p>
    <w:p>
      <w:pPr>
        <w:pStyle w:val="Heading1"/>
      </w:pPr>
      <w:r>
        <w:t>10. Statistical and predictive models</w:t>
      </w:r>
    </w:p>
    <w:p>
      <w:pPr>
        <w:pStyle w:val="Equation"/>
      </w:pPr>
      <w:r>
        <w:t>M0:  ln(P_i) = alpha + X_i beta + e_i</w:t>
      </w:r>
    </w:p>
    <w:p>
      <w:pPr>
        <w:pStyle w:val="Equation"/>
      </w:pPr>
      <w:r>
        <w:t>ME:  ln(P_i) = alpha + X_i beta + A_i^E theta + e_i</w:t>
      </w:r>
    </w:p>
    <w:p>
      <w:pPr>
        <w:pStyle w:val="Equation"/>
      </w:pPr>
      <w:r>
        <w:t>MW:  ln(P_i) = alpha + X_i beta + A_i^W gamma + e_i</w:t>
      </w:r>
    </w:p>
    <w:p>
      <w:pPr>
        <w:pStyle w:val="Equation"/>
      </w:pPr>
      <w:r>
        <w:t>MEW: ln(P_i) = alpha + X_i beta + A_i^E theta + A_i^W gamma + e_i</w:t>
      </w:r>
    </w:p>
    <w:p>
      <w:pPr>
        <w:pStyle w:val="Equation"/>
      </w:pPr>
      <w:r>
        <w:t>MT (optional): add scheduled-transit block T_i eta</w:t>
      </w:r>
    </w:p>
    <w:p>
      <w:pPr>
        <w:pStyle w:val="Heading2"/>
      </w:pPr>
      <w:r>
        <w:t>10.1 Semilog OLS</w:t>
      </w:r>
    </w:p>
    <w:p>
      <w:r>
        <w:t>OLS provides interpretable conditional associations and a transparent model ladder. HC3 uncertainty is reported as the listing-level baseline. Because core area-context regressors repeat within only 11 analysis areas, a small-cluster/analysis-area-aware inferential sensitivity (for example, wild-cluster bootstrap inference) is also reported and significance is interpreted cautiously. Accessibility coefficients remain conditional associations, not causal effects.</w:t>
      </w:r>
    </w:p>
    <w:p>
      <w:pPr>
        <w:pStyle w:val="Heading2"/>
      </w:pPr>
      <w:r>
        <w:t>10.2 XGBoost</w:t>
      </w:r>
    </w:p>
    <w:p>
      <w:r>
        <w:t>XGBoost uses the same nested feature blocks and outer folds to test nonlinear predictive value. Before rerun, one fixed 30-candidate set is generated with a fixed seed from the pre-specified pool: max_depth {2,3,4,5,6}; n_estimators {180,250,350,500,700}; learning_rate {0.02,0.04,0.06,0.10}; min_child_weight {3,5,7,10,15}; subsample {0.70,0.85,1.00}; colsample_bytree {0.70,0.85,1.00}; reg_alpha {0,0.1,0.5,1.0}; reg_lambda {5,15,25,50}. The identical candidates, tuning budget and inner grouped/spatial folds are reused across M0/ME/MW/MEW. All learned preprocessing and tuning occur inside training data. Selected parameters and search-boundary hits are retained as diagnostics. Feature importance/SHAP is computed on outer held-out predictions where feasible and is used to explain the predictor, not infer causality.</w:t>
      </w:r>
    </w:p>
    <w:p>
      <w:pPr>
        <w:pStyle w:val="Heading2"/>
      </w:pPr>
      <w:r>
        <w:t>10.3 Naive benchmark, tuning diagnostics and spatial robustness</w:t>
      </w:r>
    </w:p>
    <w:p>
      <w:pPr>
        <w:spacing w:after="50"/>
        <w:ind w:left="397" w:hanging="142"/>
      </w:pPr>
      <w:r>
        <w:rPr>
          <w:rFonts w:ascii="Liberation Sans" w:hAnsi="Liberation Sans"/>
        </w:rPr>
        <w:t xml:space="preserve">• </w:t>
      </w:r>
      <w:r>
        <w:rPr>
          <w:rFonts w:ascii="Liberation Sans" w:hAnsi="Liberation Sans"/>
        </w:rPr>
        <w:t>Naive predictive benchmark: training-fold mean of log price.</w:t>
      </w:r>
    </w:p>
    <w:p>
      <w:pPr>
        <w:spacing w:after="50"/>
        <w:ind w:left="397" w:hanging="142"/>
      </w:pPr>
      <w:r>
        <w:rPr>
          <w:rFonts w:ascii="Liberation Sans" w:hAnsi="Liberation Sans"/>
        </w:rPr>
        <w:t xml:space="preserve">• </w:t>
      </w:r>
      <w:r>
        <w:rPr>
          <w:rFonts w:ascii="Liberation Sans" w:hAnsi="Liberation Sans"/>
        </w:rPr>
        <w:t>Residual Moran diagnostics follow the main models.</w:t>
      </w:r>
    </w:p>
    <w:p>
      <w:pPr>
        <w:spacing w:after="50"/>
        <w:ind w:left="397" w:hanging="142"/>
      </w:pPr>
      <w:r>
        <w:rPr>
          <w:rFonts w:ascii="Liberation Sans" w:hAnsi="Liberation Sans"/>
        </w:rPr>
        <w:t xml:space="preserve">• </w:t>
      </w:r>
      <w:r>
        <w:rPr>
          <w:rFonts w:ascii="Liberation Sans" w:hAnsi="Liberation Sans"/>
        </w:rPr>
        <w:t>One spatial-error regression can be used as an association-model robustness check if residual spatial dependence is material; extensive SAR/SDM/GWR model proliferation is outside the core scope.</w:t>
      </w:r>
    </w:p>
    <w:p>
      <w:pPr>
        <w:pStyle w:val="Heading2"/>
      </w:pPr>
      <w:r>
        <w:t>10.4 Optional TabICLv2 benchmark</w:t>
      </w:r>
    </w:p>
    <w:p>
      <w:r>
        <w:t>If the strong thesis is complete, TabICLv2 may be evaluated on the identical feature sets and outer folds as a modern tabular foundation-model comparator. Its inclusion answers whether the accessibility conclusion is model-family dependent; it is not an imputation method in this design.</w:t>
      </w:r>
    </w:p>
    <w:p>
      <w:pPr>
        <w:pStyle w:val="Heading1"/>
      </w:pPr>
      <w:r>
        <w:t>11. Spatial dependence and validation</w:t>
      </w:r>
    </w:p>
    <w:p>
      <w:pPr>
        <w:pStyle w:val="Heading2"/>
      </w:pPr>
      <w:r>
        <w:t>11.1 Descriptive/diagnostic spatial analysis</w:t>
      </w:r>
    </w:p>
    <w:p>
      <w:pPr>
        <w:spacing w:after="50"/>
        <w:ind w:left="397" w:hanging="142"/>
      </w:pPr>
      <w:r>
        <w:rPr>
          <w:rFonts w:ascii="Liberation Sans" w:hAnsi="Liberation Sans"/>
        </w:rPr>
        <w:t xml:space="preserve">• </w:t>
      </w:r>
      <w:r>
        <w:rPr>
          <w:rFonts w:ascii="Liberation Sans" w:hAnsi="Liberation Sans"/>
        </w:rPr>
        <w:t>Map aggregated listed prices and accessibility; compute Moran's I for log price and selected residuals.</w:t>
      </w:r>
    </w:p>
    <w:p>
      <w:pPr>
        <w:spacing w:after="50"/>
        <w:ind w:left="397" w:hanging="142"/>
      </w:pPr>
      <w:r>
        <w:rPr>
          <w:rFonts w:ascii="Liberation Sans" w:hAnsi="Liberation Sans"/>
        </w:rPr>
        <w:t xml:space="preserve">• </w:t>
      </w:r>
      <w:r>
        <w:rPr>
          <w:rFonts w:ascii="Liberation Sans" w:hAnsi="Liberation Sans"/>
        </w:rPr>
        <w:t>Compare Euclidean/network feature correlations and map where the measures diverge.</w:t>
      </w:r>
    </w:p>
    <w:p>
      <w:pPr>
        <w:spacing w:after="50"/>
        <w:ind w:left="397" w:hanging="142"/>
      </w:pPr>
      <w:r>
        <w:rPr>
          <w:rFonts w:ascii="Liberation Sans" w:hAnsi="Liberation Sans"/>
        </w:rPr>
        <w:t xml:space="preserve">• </w:t>
      </w:r>
      <w:r>
        <w:rPr>
          <w:rFonts w:ascii="Liberation Sans" w:hAnsi="Liberation Sans"/>
        </w:rPr>
        <w:t>Check whether held-out areas contain predictor ranges absent from the training areas.</w:t>
      </w:r>
    </w:p>
    <w:p>
      <w:pPr>
        <w:pStyle w:val="Heading2"/>
      </w:pPr>
      <w:r>
        <w:t>11.2 Validation design</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3286"/>
        <w:gridCol w:w="3286"/>
        <w:gridCol w:w="3286"/>
      </w:tblGrid>
      <w:tr>
        <w:trPr>
          <w:tblHeader w:val="true"/>
          <w:cantSplit/>
        </w:trPr>
        <w:tc>
          <w:tcPr>
            <w:tcW w:type="dxa" w:w="2268"/>
            <w:shd w:fill="E6EEF2"/>
            <w:tcMar>
              <w:top w:w="85" w:type="dxa"/>
              <w:start w:w="110" w:type="dxa"/>
              <w:bottom w:w="85" w:type="dxa"/>
              <w:end w:w="110" w:type="dxa"/>
            </w:tcMar>
            <w:vAlign w:val="center"/>
          </w:tcPr>
          <w:p>
            <w:r>
              <w:rPr>
                <w:rFonts w:ascii="Liberation Sans" w:hAnsi="Liberation Sans"/>
                <w:b/>
                <w:color w:val="17354A"/>
                <w:sz w:val="16"/>
              </w:rPr>
              <w:t>Design</w:t>
            </w:r>
          </w:p>
        </w:tc>
        <w:tc>
          <w:tcPr>
            <w:tcW w:type="dxa" w:w="4535"/>
            <w:shd w:fill="E6EEF2"/>
            <w:tcMar>
              <w:top w:w="85" w:type="dxa"/>
              <w:start w:w="110" w:type="dxa"/>
              <w:bottom w:w="85" w:type="dxa"/>
              <w:end w:w="110" w:type="dxa"/>
            </w:tcMar>
            <w:vAlign w:val="center"/>
          </w:tcPr>
          <w:p>
            <w:r>
              <w:rPr>
                <w:rFonts w:ascii="Liberation Sans" w:hAnsi="Liberation Sans"/>
                <w:b/>
                <w:color w:val="17354A"/>
                <w:sz w:val="16"/>
              </w:rPr>
              <w:t>Operationalization</w:t>
            </w:r>
          </w:p>
        </w:tc>
        <w:tc>
          <w:tcPr>
            <w:tcW w:type="dxa" w:w="3005"/>
            <w:shd w:fill="E6EEF2"/>
            <w:tcMar>
              <w:top w:w="85" w:type="dxa"/>
              <w:start w:w="110" w:type="dxa"/>
              <w:bottom w:w="85" w:type="dxa"/>
              <w:end w:w="110" w:type="dxa"/>
            </w:tcMar>
            <w:vAlign w:val="center"/>
          </w:tcPr>
          <w:p>
            <w:r>
              <w:rPr>
                <w:rFonts w:ascii="Liberation Sans" w:hAnsi="Liberation Sans"/>
                <w:b/>
                <w:color w:val="17354A"/>
                <w:sz w:val="16"/>
              </w:rPr>
              <w:t>Interpretation</w:t>
            </w:r>
          </w:p>
        </w:tc>
      </w:tr>
      <w:tr>
        <w:trPr>
          <w:cantSplit/>
        </w:trPr>
        <w:tc>
          <w:tcPr>
            <w:tcW w:type="dxa" w:w="2268"/>
            <w:tcMar>
              <w:top w:w="85" w:type="dxa"/>
              <w:start w:w="110" w:type="dxa"/>
              <w:bottom w:w="85" w:type="dxa"/>
              <w:end w:w="110" w:type="dxa"/>
            </w:tcMar>
            <w:vAlign w:val="top"/>
          </w:tcPr>
          <w:p>
            <w:r>
              <w:rPr>
                <w:rFonts w:ascii="Liberation Sans" w:hAnsi="Liberation Sans"/>
                <w:sz w:val="16"/>
              </w:rPr>
              <w:t>Random 5-fold CV</w:t>
            </w:r>
          </w:p>
        </w:tc>
        <w:tc>
          <w:tcPr>
            <w:tcW w:type="dxa" w:w="4535"/>
            <w:tcMar>
              <w:top w:w="85" w:type="dxa"/>
              <w:start w:w="110" w:type="dxa"/>
              <w:bottom w:w="85" w:type="dxa"/>
              <w:end w:w="110" w:type="dxa"/>
            </w:tcMar>
            <w:vAlign w:val="top"/>
          </w:tcPr>
          <w:p>
            <w:r>
              <w:rPr>
                <w:rFonts w:ascii="Liberation Sans" w:hAnsi="Liberation Sans"/>
                <w:sz w:val="16"/>
              </w:rPr>
              <w:t>Listings randomly distributed across five outer folds; identical fold assignment reused across feature sets.</w:t>
            </w:r>
          </w:p>
        </w:tc>
        <w:tc>
          <w:tcPr>
            <w:tcW w:type="dxa" w:w="3005"/>
            <w:tcMar>
              <w:top w:w="85" w:type="dxa"/>
              <w:start w:w="110" w:type="dxa"/>
              <w:bottom w:w="85" w:type="dxa"/>
              <w:end w:w="110" w:type="dxa"/>
            </w:tcMar>
            <w:vAlign w:val="top"/>
          </w:tcPr>
          <w:p>
            <w:r>
              <w:rPr>
                <w:rFonts w:ascii="Liberation Sans" w:hAnsi="Liberation Sans"/>
                <w:sz w:val="16"/>
              </w:rPr>
              <w:t>Prediction for another spatially interspersed listing from the same market.</w:t>
            </w:r>
          </w:p>
        </w:tc>
      </w:tr>
      <w:tr>
        <w:trPr>
          <w:cantSplit/>
        </w:trPr>
        <w:tc>
          <w:tcPr>
            <w:tcW w:type="dxa" w:w="2268"/>
            <w:tcMar>
              <w:top w:w="85" w:type="dxa"/>
              <w:start w:w="110" w:type="dxa"/>
              <w:bottom w:w="85" w:type="dxa"/>
              <w:end w:w="110" w:type="dxa"/>
            </w:tcMar>
            <w:vAlign w:val="top"/>
          </w:tcPr>
          <w:p>
            <w:r>
              <w:t>Leave-one-analysis-area-out</w:t>
            </w:r>
          </w:p>
        </w:tc>
        <w:tc>
          <w:tcPr>
            <w:tcW w:type="dxa" w:w="4535"/>
            <w:tcMar>
              <w:top w:w="85" w:type="dxa"/>
              <w:start w:w="110" w:type="dxa"/>
              <w:bottom w:w="85" w:type="dxa"/>
              <w:end w:w="110" w:type="dxa"/>
            </w:tcMar>
            <w:vAlign w:val="top"/>
          </w:tcPr>
          <w:p>
            <w:r>
              <w:t>Hold out one of the 11 peer analysis areas at a time: 10 Copenhagen city districts + Frederiksberg. The same rule applies to all 11 areas.</w:t>
            </w:r>
          </w:p>
        </w:tc>
        <w:tc>
          <w:tcPr>
            <w:tcW w:type="dxa" w:w="3005"/>
            <w:tcMar>
              <w:top w:w="85" w:type="dxa"/>
              <w:start w:w="110" w:type="dxa"/>
              <w:bottom w:w="85" w:type="dxa"/>
              <w:end w:w="110" w:type="dxa"/>
            </w:tcMar>
            <w:vAlign w:val="top"/>
          </w:tcPr>
          <w:p>
            <w:r>
              <w:t>Prediction into an urban analysis area absent from training.</w:t>
            </w:r>
          </w:p>
        </w:tc>
      </w:tr>
      <w:tr>
        <w:trPr>
          <w:cantSplit/>
        </w:trPr>
        <w:tc>
          <w:tcPr>
            <w:tcW w:type="dxa" w:w="2268"/>
            <w:tcMar>
              <w:top w:w="85" w:type="dxa"/>
              <w:start w:w="110" w:type="dxa"/>
              <w:bottom w:w="85" w:type="dxa"/>
              <w:end w:w="110" w:type="dxa"/>
            </w:tcMar>
            <w:vAlign w:val="top"/>
          </w:tcPr>
          <w:p>
            <w:r>
              <w:rPr>
                <w:rFonts w:ascii="Liberation Sans" w:hAnsi="Liberation Sans"/>
                <w:sz w:val="16"/>
              </w:rPr>
              <w:t>Buffered leave-area-out</w:t>
            </w:r>
          </w:p>
        </w:tc>
        <w:tc>
          <w:tcPr>
            <w:tcW w:type="dxa" w:w="4535"/>
            <w:tcMar>
              <w:top w:w="85" w:type="dxa"/>
              <w:start w:w="110" w:type="dxa"/>
              <w:bottom w:w="85" w:type="dxa"/>
              <w:end w:w="110" w:type="dxa"/>
            </w:tcMar>
            <w:vAlign w:val="top"/>
          </w:tcPr>
          <w:p>
            <w:r>
              <w:rPr>
                <w:rFonts w:ascii="Liberation Sans" w:hAnsi="Liberation Sans"/>
                <w:sz w:val="16"/>
              </w:rPr>
              <w:t>Remove nearby training observations around the held-out area using a defensible buffer.</w:t>
            </w:r>
          </w:p>
        </w:tc>
        <w:tc>
          <w:tcPr>
            <w:tcW w:type="dxa" w:w="3005"/>
            <w:tcMar>
              <w:top w:w="85" w:type="dxa"/>
              <w:start w:w="110" w:type="dxa"/>
              <w:bottom w:w="85" w:type="dxa"/>
              <w:end w:w="110" w:type="dxa"/>
            </w:tcMar>
            <w:vAlign w:val="top"/>
          </w:tcPr>
          <w:p>
            <w:r>
              <w:rPr>
                <w:rFonts w:ascii="Liberation Sans" w:hAnsi="Liberation Sans"/>
                <w:sz w:val="16"/>
              </w:rPr>
              <w:t>Sensitivity to boundary adjacency / short-range dependence.</w:t>
            </w:r>
          </w:p>
        </w:tc>
      </w:tr>
      <w:tr>
        <w:trPr>
          <w:cantSplit/>
        </w:trPr>
        <w:tc>
          <w:tcPr>
            <w:tcW w:type="dxa" w:w="2268"/>
            <w:tcMar>
              <w:top w:w="85" w:type="dxa"/>
              <w:start w:w="110" w:type="dxa"/>
              <w:bottom w:w="85" w:type="dxa"/>
              <w:end w:w="110" w:type="dxa"/>
            </w:tcMar>
            <w:vAlign w:val="top"/>
          </w:tcPr>
          <w:p>
            <w:r>
              <w:rPr>
                <w:rFonts w:ascii="Liberation Sans" w:hAnsi="Liberation Sans"/>
                <w:sz w:val="16"/>
              </w:rPr>
              <w:t>Geometric 5-fold blocks</w:t>
            </w:r>
          </w:p>
        </w:tc>
        <w:tc>
          <w:tcPr>
            <w:tcW w:type="dxa" w:w="4535"/>
            <w:tcMar>
              <w:top w:w="85" w:type="dxa"/>
              <w:start w:w="110" w:type="dxa"/>
              <w:bottom w:w="85" w:type="dxa"/>
              <w:end w:w="110" w:type="dxa"/>
            </w:tcMar>
            <w:vAlign w:val="top"/>
          </w:tcPr>
          <w:p>
            <w:r>
              <w:t>Non-administrative spatial blocks evaluated under predeclared block sizes and multiple grid origins, including half-block shifts.</w:t>
            </w:r>
          </w:p>
        </w:tc>
        <w:tc>
          <w:tcPr>
            <w:tcW w:type="dxa" w:w="3005"/>
            <w:tcMar>
              <w:top w:w="85" w:type="dxa"/>
              <w:start w:w="110" w:type="dxa"/>
              <w:bottom w:w="85" w:type="dxa"/>
              <w:end w:w="110" w:type="dxa"/>
            </w:tcMar>
            <w:vAlign w:val="top"/>
          </w:tcPr>
          <w:p>
            <w:r>
              <w:rPr>
                <w:rFonts w:ascii="Liberation Sans" w:hAnsi="Liberation Sans"/>
                <w:sz w:val="16"/>
              </w:rPr>
              <w:t>Sensitivity to the choice of administrative boundaries.</w:t>
            </w:r>
          </w:p>
        </w:tc>
      </w:tr>
    </w:tbl>
    <w:p>
      <w:pPr>
        <w:spacing w:after="0"/>
      </w:pPr>
    </w:p>
    <w:p>
      <w:r>
        <w:t>Primary predictive metrics are RMSE and MAE on log price, with R² secondary. Report fold-specific results, pooled listing-level error, and median/IQR across held-out analysis areas. Retain paired out-of-fold predictions/losses for M0/ME/MW/MEW and report per-area ΔRMSE/ΔMAE. For the primary geographic comparison, use a paired analysis-area bootstrap with 2,000 resamples of the 11 held-out areas to summarize uncertainty/stability in incremental performance. A higher geographic error is interpreted in light of reduced training data and predictor extrapolation rather than automatically attributed to “leakage.”</w:t>
      </w:r>
    </w:p>
    <w:p>
      <w:pPr>
        <w:pStyle w:val="Heading1"/>
      </w:pPr>
      <w:r>
        <w:t>12. Robustness and optional extensions</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4929"/>
        <w:gridCol w:w="4929"/>
      </w:tblGrid>
      <w:tr>
        <w:trPr>
          <w:tblHeader w:val="true"/>
          <w:cantSplit/>
        </w:trPr>
        <w:tc>
          <w:tcPr>
            <w:tcW w:type="dxa" w:w="3402"/>
            <w:shd w:fill="E6EEF2"/>
            <w:tcMar>
              <w:top w:w="85" w:type="dxa"/>
              <w:start w:w="110" w:type="dxa"/>
              <w:bottom w:w="85" w:type="dxa"/>
              <w:end w:w="110" w:type="dxa"/>
            </w:tcMar>
            <w:vAlign w:val="center"/>
          </w:tcPr>
          <w:p>
            <w:r>
              <w:rPr>
                <w:rFonts w:ascii="Liberation Sans" w:hAnsi="Liberation Sans"/>
                <w:b/>
                <w:color w:val="17354A"/>
                <w:sz w:val="16"/>
              </w:rPr>
              <w:t>Robustness / extension</w:t>
            </w:r>
          </w:p>
        </w:tc>
        <w:tc>
          <w:tcPr>
            <w:tcW w:type="dxa" w:w="6406"/>
            <w:shd w:fill="E6EEF2"/>
            <w:tcMar>
              <w:top w:w="85" w:type="dxa"/>
              <w:start w:w="110" w:type="dxa"/>
              <w:bottom w:w="85" w:type="dxa"/>
              <w:end w:w="110" w:type="dxa"/>
            </w:tcMar>
            <w:vAlign w:val="center"/>
          </w:tcPr>
          <w:p>
            <w:r>
              <w:rPr>
                <w:rFonts w:ascii="Liberation Sans" w:hAnsi="Liberation Sans"/>
                <w:b/>
                <w:color w:val="17354A"/>
                <w:sz w:val="16"/>
              </w:rPr>
              <w:t>Purpose</w:t>
            </w:r>
          </w:p>
        </w:tc>
      </w:tr>
      <w:tr>
        <w:trPr>
          <w:cantSplit/>
        </w:trPr>
        <w:tc>
          <w:tcPr>
            <w:tcW w:type="dxa" w:w="3402"/>
            <w:tcMar>
              <w:top w:w="85" w:type="dxa"/>
              <w:start w:w="110" w:type="dxa"/>
              <w:bottom w:w="85" w:type="dxa"/>
              <w:end w:w="110" w:type="dxa"/>
            </w:tcMar>
            <w:vAlign w:val="top"/>
          </w:tcPr>
          <w:p>
            <w:r>
              <w:t>Apartment/condo-only sample</w:t>
            </w:r>
          </w:p>
        </w:tc>
        <w:tc>
          <w:tcPr>
            <w:tcW w:type="dxa" w:w="6406"/>
            <w:tcMar>
              <w:top w:w="85" w:type="dxa"/>
              <w:start w:w="110" w:type="dxa"/>
              <w:bottom w:w="85" w:type="dxa"/>
              <w:end w:w="110" w:type="dxa"/>
            </w:tcMar>
            <w:vAlign w:val="top"/>
          </w:tcPr>
          <w:p>
            <w:r>
              <w:t>Test product homogeneity.</w:t>
            </w:r>
          </w:p>
        </w:tc>
      </w:tr>
      <w:tr>
        <w:trPr>
          <w:cantSplit/>
        </w:trPr>
        <w:tc>
          <w:tcPr>
            <w:tcW w:type="dxa" w:w="3402"/>
            <w:tcMar>
              <w:top w:w="85" w:type="dxa"/>
              <w:start w:w="110" w:type="dxa"/>
              <w:bottom w:w="85" w:type="dxa"/>
              <w:end w:w="110" w:type="dxa"/>
            </w:tcMar>
            <w:vAlign w:val="top"/>
          </w:tcPr>
          <w:p>
            <w:r>
              <w:t>Reviewed listings only</w:t>
            </w:r>
          </w:p>
        </w:tc>
        <w:tc>
          <w:tcPr>
            <w:tcW w:type="dxa" w:w="6406"/>
            <w:tcMar>
              <w:top w:w="85" w:type="dxa"/>
              <w:start w:w="110" w:type="dxa"/>
              <w:bottom w:w="85" w:type="dxa"/>
              <w:end w:w="110" w:type="dxa"/>
            </w:tcMar>
            <w:vAlign w:val="top"/>
          </w:tcPr>
          <w:p>
            <w:r>
              <w:t>Test sensitivity to literature-style activity/reputation selection.</w:t>
            </w:r>
          </w:p>
        </w:tc>
      </w:tr>
      <w:tr>
        <w:trPr>
          <w:cantSplit/>
        </w:trPr>
        <w:tc>
          <w:tcPr>
            <w:tcW w:type="dxa" w:w="3402"/>
            <w:tcMar>
              <w:top w:w="85" w:type="dxa"/>
              <w:start w:w="110" w:type="dxa"/>
              <w:bottom w:w="85" w:type="dxa"/>
              <w:end w:w="110" w:type="dxa"/>
            </w:tcMar>
            <w:vAlign w:val="top"/>
          </w:tcPr>
          <w:p>
            <w:r>
              <w:t>Add review/reputation variables</w:t>
            </w:r>
          </w:p>
        </w:tc>
        <w:tc>
          <w:tcPr>
            <w:tcW w:type="dxa" w:w="6406"/>
            <w:tcMar>
              <w:top w:w="85" w:type="dxa"/>
              <w:start w:w="110" w:type="dxa"/>
              <w:bottom w:w="85" w:type="dxa"/>
              <w:end w:w="110" w:type="dxa"/>
            </w:tcMar>
            <w:vAlign w:val="top"/>
          </w:tcPr>
          <w:p>
            <w:r>
              <w:t>Test incremental accessibility information after established reputation is known.</w:t>
            </w:r>
          </w:p>
        </w:tc>
      </w:tr>
      <w:tr>
        <w:trPr>
          <w:cantSplit/>
        </w:trPr>
        <w:tc>
          <w:tcPr>
            <w:tcW w:type="dxa" w:w="3402"/>
            <w:tcMar>
              <w:top w:w="85" w:type="dxa"/>
              <w:start w:w="110" w:type="dxa"/>
              <w:bottom w:w="85" w:type="dxa"/>
              <w:end w:w="110" w:type="dxa"/>
            </w:tcMar>
            <w:vAlign w:val="top"/>
          </w:tcPr>
          <w:p>
            <w:r>
              <w:t>Analysis-area fixed effects</w:t>
            </w:r>
          </w:p>
        </w:tc>
        <w:tc>
          <w:tcPr>
            <w:tcW w:type="dxa" w:w="6406"/>
            <w:tcMar>
              <w:top w:w="85" w:type="dxa"/>
              <w:start w:w="110" w:type="dxa"/>
              <w:bottom w:w="85" w:type="dxa"/>
              <w:end w:w="110" w:type="dxa"/>
            </w:tcMar>
            <w:vAlign w:val="top"/>
          </w:tcPr>
          <w:p>
            <w:r>
              <w:t>Within-area association sensitivity; not a primary unseen-area prediction model.</w:t>
            </w:r>
          </w:p>
        </w:tc>
      </w:tr>
      <w:tr>
        <w:trPr>
          <w:cantSplit/>
        </w:trPr>
        <w:tc>
          <w:tcPr>
            <w:tcW w:type="dxa" w:w="3402"/>
            <w:tcMar>
              <w:top w:w="85" w:type="dxa"/>
              <w:start w:w="110" w:type="dxa"/>
              <w:bottom w:w="85" w:type="dxa"/>
              <w:end w:w="110" w:type="dxa"/>
            </w:tcMar>
            <w:vAlign w:val="top"/>
          </w:tcPr>
          <w:p>
            <w:r>
              <w:t>10/15/20-minute budgets</w:t>
            </w:r>
          </w:p>
        </w:tc>
        <w:tc>
          <w:tcPr>
            <w:tcW w:type="dxa" w:w="6406"/>
            <w:tcMar>
              <w:top w:w="85" w:type="dxa"/>
              <w:start w:w="110" w:type="dxa"/>
              <w:bottom w:w="85" w:type="dxa"/>
              <w:end w:w="110" w:type="dxa"/>
            </w:tcMar>
            <w:vAlign w:val="top"/>
          </w:tcPr>
          <w:p>
            <w:r>
              <w:t>Cumulative-opportunity threshold sensitivity.</w:t>
            </w:r>
          </w:p>
        </w:tc>
      </w:tr>
      <w:tr>
        <w:trPr>
          <w:cantSplit/>
        </w:trPr>
        <w:tc>
          <w:tcPr>
            <w:tcW w:type="dxa" w:w="3402"/>
            <w:tcMar>
              <w:top w:w="85" w:type="dxa"/>
              <w:start w:w="110" w:type="dxa"/>
              <w:bottom w:w="85" w:type="dxa"/>
              <w:end w:w="110" w:type="dxa"/>
            </w:tcMar>
            <w:vAlign w:val="top"/>
          </w:tcPr>
          <w:p>
            <w:r>
              <w:t>4.0/5.0/5.4 km/h walking speed</w:t>
            </w:r>
          </w:p>
        </w:tc>
        <w:tc>
          <w:tcPr>
            <w:tcW w:type="dxa" w:w="6406"/>
            <w:tcMar>
              <w:top w:w="85" w:type="dxa"/>
              <w:start w:w="110" w:type="dxa"/>
              <w:bottom w:w="85" w:type="dxa"/>
              <w:end w:w="110" w:type="dxa"/>
            </w:tcMar>
            <w:vAlign w:val="top"/>
          </w:tcPr>
          <w:p>
            <w:r>
              <w:t>Test the walking-speed assumption while holding the primary 10-minute budget fixed; matched Euclidean radii are 667/833/900 m.</w:t>
            </w:r>
          </w:p>
        </w:tc>
      </w:tr>
      <w:tr>
        <w:trPr>
          <w:cantSplit/>
        </w:trPr>
        <w:tc>
          <w:tcPr>
            <w:tcW w:type="dxa" w:w="3402"/>
            <w:tcMar>
              <w:top w:w="85" w:type="dxa"/>
              <w:start w:w="110" w:type="dxa"/>
              <w:bottom w:w="85" w:type="dxa"/>
              <w:end w:w="110" w:type="dxa"/>
            </w:tcMar>
            <w:vAlign w:val="top"/>
          </w:tcPr>
          <w:p>
            <w:r>
              <w:t>Continuous distance decay</w:t>
            </w:r>
          </w:p>
        </w:tc>
        <w:tc>
          <w:tcPr>
            <w:tcW w:type="dxa" w:w="6406"/>
            <w:tcMar>
              <w:top w:w="85" w:type="dxa"/>
              <w:start w:w="110" w:type="dxa"/>
              <w:bottom w:w="85" w:type="dxa"/>
              <w:end w:w="110" w:type="dxa"/>
            </w:tcMar>
            <w:vAlign w:val="top"/>
          </w:tcPr>
          <w:p>
            <w:r>
              <w:t>Test whether the accessibility conclusion depends on a hard threshold.</w:t>
            </w:r>
          </w:p>
        </w:tc>
      </w:tr>
      <w:tr>
        <w:trPr>
          <w:cantSplit/>
        </w:trPr>
        <w:tc>
          <w:tcPr>
            <w:tcW w:type="dxa" w:w="3402"/>
            <w:tcMar>
              <w:top w:w="85" w:type="dxa"/>
              <w:start w:w="110" w:type="dxa"/>
              <w:bottom w:w="85" w:type="dxa"/>
              <w:end w:w="110" w:type="dxa"/>
            </w:tcMar>
            <w:vAlign w:val="top"/>
          </w:tcPr>
          <w:p>
            <w:r>
              <w:t>1st/99th price trimming</w:t>
            </w:r>
          </w:p>
        </w:tc>
        <w:tc>
          <w:tcPr>
            <w:tcW w:type="dxa" w:w="6406"/>
            <w:tcMar>
              <w:top w:w="85" w:type="dxa"/>
              <w:start w:w="110" w:type="dxa"/>
              <w:bottom w:w="85" w:type="dxa"/>
              <w:end w:w="110" w:type="dxa"/>
            </w:tcMar>
            <w:vAlign w:val="top"/>
          </w:tcPr>
          <w:p>
            <w:r>
              <w:t>Extreme-price sensitivity.</w:t>
            </w:r>
          </w:p>
        </w:tc>
      </w:tr>
      <w:tr>
        <w:trPr>
          <w:cantSplit/>
        </w:trPr>
        <w:tc>
          <w:tcPr>
            <w:tcW w:type="dxa" w:w="3402"/>
            <w:tcMar>
              <w:top w:w="85" w:type="dxa"/>
              <w:start w:w="110" w:type="dxa"/>
              <w:bottom w:w="85" w:type="dxa"/>
              <w:end w:w="110" w:type="dxa"/>
            </w:tcMar>
            <w:vAlign w:val="top"/>
          </w:tcPr>
          <w:p>
            <w:r>
              <w:t>Area-aware OLS inference</w:t>
            </w:r>
          </w:p>
        </w:tc>
        <w:tc>
          <w:tcPr>
            <w:tcW w:type="dxa" w:w="6406"/>
            <w:tcMar>
              <w:top w:w="85" w:type="dxa"/>
              <w:start w:w="110" w:type="dxa"/>
              <w:bottom w:w="85" w:type="dxa"/>
              <w:end w:w="110" w:type="dxa"/>
            </w:tcMar>
            <w:vAlign w:val="top"/>
          </w:tcPr>
          <w:p>
            <w:r>
              <w:t>Check HC3 conclusions with small-cluster/analysis-area-aware inference.</w:t>
            </w:r>
          </w:p>
        </w:tc>
      </w:tr>
      <w:tr>
        <w:trPr>
          <w:cantSplit/>
        </w:trPr>
        <w:tc>
          <w:tcPr>
            <w:tcW w:type="dxa" w:w="3402"/>
            <w:tcMar>
              <w:top w:w="85" w:type="dxa"/>
              <w:start w:w="110" w:type="dxa"/>
              <w:bottom w:w="85" w:type="dxa"/>
              <w:end w:w="110" w:type="dxa"/>
            </w:tcMar>
            <w:vAlign w:val="top"/>
          </w:tcPr>
          <w:p>
            <w:r>
              <w:t>Buffered + shifted geometric blocks</w:t>
            </w:r>
          </w:p>
        </w:tc>
        <w:tc>
          <w:tcPr>
            <w:tcW w:type="dxa" w:w="6406"/>
            <w:tcMar>
              <w:top w:w="85" w:type="dxa"/>
              <w:start w:w="110" w:type="dxa"/>
              <w:bottom w:w="85" w:type="dxa"/>
              <w:end w:w="110" w:type="dxa"/>
            </w:tcMar>
            <w:vAlign w:val="top"/>
          </w:tcPr>
          <w:p>
            <w:r>
              <w:t>Boundary-adjacency, grid-origin and administrative-geography sensitivity.</w:t>
            </w:r>
          </w:p>
        </w:tc>
      </w:tr>
      <w:tr>
        <w:trPr>
          <w:cantSplit/>
        </w:trPr>
        <w:tc>
          <w:tcPr>
            <w:tcW w:type="dxa" w:w="3402"/>
            <w:tcMar>
              <w:top w:w="85" w:type="dxa"/>
              <w:start w:w="110" w:type="dxa"/>
              <w:bottom w:w="85" w:type="dxa"/>
              <w:end w:w="110" w:type="dxa"/>
            </w:tcMar>
            <w:vAlign w:val="top"/>
          </w:tcPr>
          <w:p>
            <w:r>
              <w:t>Alternative block sizes</w:t>
            </w:r>
          </w:p>
        </w:tc>
        <w:tc>
          <w:tcPr>
            <w:tcW w:type="dxa" w:w="6406"/>
            <w:tcMar>
              <w:top w:w="85" w:type="dxa"/>
              <w:start w:w="110" w:type="dxa"/>
              <w:bottom w:w="85" w:type="dxa"/>
              <w:end w:w="110" w:type="dxa"/>
            </w:tcMar>
            <w:vAlign w:val="top"/>
          </w:tcPr>
          <w:p>
            <w:r>
              <w:t>Sensitivity to spatial separation scale.</w:t>
            </w:r>
          </w:p>
        </w:tc>
      </w:tr>
      <w:tr>
        <w:trPr>
          <w:cantSplit/>
        </w:trPr>
        <w:tc>
          <w:tcPr>
            <w:tcW w:type="dxa" w:w="3402"/>
            <w:tcMar>
              <w:top w:w="85" w:type="dxa"/>
              <w:start w:w="110" w:type="dxa"/>
              <w:bottom w:w="85" w:type="dxa"/>
              <w:end w:w="110" w:type="dxa"/>
            </w:tcMar>
            <w:vAlign w:val="top"/>
          </w:tcPr>
          <w:p>
            <w:r>
              <w:t>SEM if residual dependence is material</w:t>
            </w:r>
          </w:p>
        </w:tc>
        <w:tc>
          <w:tcPr>
            <w:tcW w:type="dxa" w:w="6406"/>
            <w:tcMar>
              <w:top w:w="85" w:type="dxa"/>
              <w:start w:w="110" w:type="dxa"/>
              <w:bottom w:w="85" w:type="dxa"/>
              <w:end w:w="110" w:type="dxa"/>
            </w:tcMar>
            <w:vAlign w:val="top"/>
          </w:tcPr>
          <w:p>
            <w:r>
              <w:t>Association-model spatial-dependence robustness.</w:t>
            </w:r>
          </w:p>
        </w:tc>
      </w:tr>
      <w:tr>
        <w:trPr>
          <w:cantSplit/>
        </w:trPr>
        <w:tc>
          <w:tcPr>
            <w:tcW w:type="dxa" w:w="4929"/>
          </w:tcPr>
          <w:p>
            <w:r>
              <w:t>MICE vs simple predictor handling</w:t>
            </w:r>
          </w:p>
        </w:tc>
        <w:tc>
          <w:tcPr>
            <w:tcW w:type="dxa" w:w="4929"/>
          </w:tcPr>
          <w:p>
            <w:r>
              <w:t>Missing-data sensitivity when missingness is consequential.</w:t>
            </w:r>
          </w:p>
        </w:tc>
      </w:tr>
      <w:tr>
        <w:trPr>
          <w:cantSplit/>
        </w:trPr>
        <w:tc>
          <w:tcPr>
            <w:tcW w:type="dxa" w:w="4929"/>
          </w:tcPr>
          <w:p>
            <w:r>
              <w:t>GTFS scheduled transit</w:t>
            </w:r>
          </w:p>
        </w:tc>
        <w:tc>
          <w:tcPr>
            <w:tcW w:type="dxa" w:w="4929"/>
          </w:tcPr>
          <w:p>
            <w:r>
              <w:t>Stretch extension if approval is timely.</w:t>
            </w:r>
          </w:p>
        </w:tc>
      </w:tr>
      <w:tr>
        <w:trPr>
          <w:cantSplit/>
        </w:trPr>
        <w:tc>
          <w:tcPr>
            <w:tcW w:type="dxa" w:w="4929"/>
          </w:tcPr>
          <w:p>
            <w:r>
              <w:t>TabPFN / TabICLv2</w:t>
            </w:r>
          </w:p>
        </w:tc>
        <w:tc>
          <w:tcPr>
            <w:tcW w:type="dxa" w:w="4929"/>
          </w:tcPr>
          <w:p>
            <w:r>
              <w:t>Experimental imputation or modern prediction stretch extension.</w:t>
            </w:r>
          </w:p>
        </w:tc>
      </w:tr>
    </w:tbl>
    <w:p>
      <w:pPr>
        <w:spacing w:after="0"/>
      </w:pPr>
    </w:p>
    <w:p>
      <w:pPr>
        <w:pStyle w:val="Heading1"/>
      </w:pPr>
      <w:r>
        <w:t>13. Ethics, data governance and reproducibility</w:t>
      </w:r>
    </w:p>
    <w:p>
      <w:pPr>
        <w:spacing w:after="50"/>
        <w:ind w:left="397" w:hanging="142"/>
      </w:pPr>
      <w:r>
        <w:rPr>
          <w:rFonts w:ascii="Liberation Sans" w:hAnsi="Liberation Sans"/>
        </w:rPr>
        <w:t xml:space="preserve">• </w:t>
      </w:r>
      <w:r>
        <w:rPr>
          <w:rFonts w:ascii="Liberation Sans" w:hAnsi="Liberation Sans"/>
        </w:rPr>
        <w:t>Remove host names, profile URLs and unnecessary free text from the analytical dataset.</w:t>
      </w:r>
    </w:p>
    <w:p>
      <w:pPr>
        <w:spacing w:after="50"/>
        <w:ind w:left="397" w:hanging="142"/>
      </w:pPr>
      <w:r>
        <w:rPr>
          <w:rFonts w:ascii="Liberation Sans" w:hAnsi="Liberation Sans"/>
        </w:rPr>
        <w:t xml:space="preserve">• </w:t>
      </w:r>
      <w:r>
        <w:rPr>
          <w:rFonts w:ascii="Liberation Sans" w:hAnsi="Liberation Sans"/>
        </w:rPr>
        <w:t>Do not publish row-level listing coordinates in a public repository; use aggregated maps where exact points are unnecessary.</w:t>
      </w:r>
    </w:p>
    <w:p>
      <w:pPr>
        <w:spacing w:after="50"/>
        <w:ind w:left="397" w:hanging="142"/>
      </w:pPr>
      <w:r>
        <w:rPr>
          <w:rFonts w:ascii="Liberation Sans" w:hAnsi="Liberation Sans"/>
        </w:rPr>
        <w:t xml:space="preserve">• </w:t>
      </w:r>
      <w:r>
        <w:rPr>
          <w:rFonts w:ascii="Liberation Sans" w:hAnsi="Liberation Sans"/>
        </w:rPr>
        <w:t>Record source, snapshot/feed date, licence and checksum for every raw file.</w:t>
      </w:r>
    </w:p>
    <w:p>
      <w:pPr>
        <w:spacing w:after="50"/>
        <w:ind w:left="397" w:hanging="142"/>
      </w:pPr>
      <w:r>
        <w:t>• Cache OSM/GTFS inputs and version the engineered analytical dataset, 11-area crosswalk, outer/inner folds, XGBoost candidate set, out-of-fold predictions/losses and selected hyperparameters.</w:t>
      </w:r>
    </w:p>
    <w:p>
      <w:pPr>
        <w:spacing w:after="50"/>
        <w:ind w:left="397" w:hanging="142"/>
      </w:pPr>
      <w:r>
        <w:rPr>
          <w:rFonts w:ascii="Liberation Sans" w:hAnsi="Liberation Sans"/>
        </w:rPr>
        <w:t xml:space="preserve">• </w:t>
      </w:r>
      <w:r>
        <w:rPr>
          <w:rFonts w:ascii="Liberation Sans" w:hAnsi="Liberation Sans"/>
        </w:rPr>
        <w:t>Respect OpenStreetMap, Inside Airbnb, Rejseplanen and TFM model-weight licence/attribution requirements.</w:t>
      </w:r>
    </w:p>
    <w:p>
      <w:pPr>
        <w:spacing w:after="50"/>
        <w:ind w:left="397" w:hanging="142"/>
      </w:pPr>
      <w:r>
        <w:t>• Ensure all imputation/tuning/feature learning occurs inside training data for predictive evaluation. Version 2 outputs remain archived; Version 3 accessibility definitions, fold geometry and tuning budget are frozen before rerun and are not altered because of outer-test performance.</w:t>
      </w:r>
    </w:p>
    <w:p>
      <w:pPr>
        <w:pStyle w:val="Heading1"/>
      </w:pPr>
      <w:r>
        <w:t>14. Expected contribution</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4929"/>
        <w:gridCol w:w="4929"/>
      </w:tblGrid>
      <w:tr>
        <w:trPr>
          <w:tblHeader w:val="true"/>
          <w:cantSplit/>
        </w:trPr>
        <w:tc>
          <w:tcPr>
            <w:tcW w:type="dxa" w:w="2324"/>
            <w:shd w:fill="E6EEF2"/>
            <w:tcMar>
              <w:top w:w="85" w:type="dxa"/>
              <w:start w:w="110" w:type="dxa"/>
              <w:bottom w:w="85" w:type="dxa"/>
              <w:end w:w="110" w:type="dxa"/>
            </w:tcMar>
            <w:vAlign w:val="center"/>
          </w:tcPr>
          <w:p>
            <w:r>
              <w:rPr>
                <w:rFonts w:ascii="Liberation Sans" w:hAnsi="Liberation Sans"/>
                <w:b/>
                <w:color w:val="17354A"/>
                <w:sz w:val="16"/>
              </w:rPr>
              <w:t>Contribution</w:t>
            </w:r>
          </w:p>
        </w:tc>
        <w:tc>
          <w:tcPr>
            <w:tcW w:type="dxa" w:w="7483"/>
            <w:shd w:fill="E6EEF2"/>
            <w:tcMar>
              <w:top w:w="85" w:type="dxa"/>
              <w:start w:w="110" w:type="dxa"/>
              <w:bottom w:w="85" w:type="dxa"/>
              <w:end w:w="110" w:type="dxa"/>
            </w:tcMar>
            <w:vAlign w:val="center"/>
          </w:tcPr>
          <w:p>
            <w:r>
              <w:rPr>
                <w:rFonts w:ascii="Liberation Sans" w:hAnsi="Liberation Sans"/>
                <w:b/>
                <w:color w:val="17354A"/>
                <w:sz w:val="16"/>
              </w:rPr>
              <w:t>Expected value</w:t>
            </w:r>
          </w:p>
        </w:tc>
      </w:tr>
      <w:tr>
        <w:trPr>
          <w:cantSplit/>
        </w:trPr>
        <w:tc>
          <w:tcPr>
            <w:tcW w:type="dxa" w:w="2324"/>
            <w:tcMar>
              <w:top w:w="85" w:type="dxa"/>
              <w:start w:w="110" w:type="dxa"/>
              <w:bottom w:w="85" w:type="dxa"/>
              <w:end w:w="110" w:type="dxa"/>
            </w:tcMar>
            <w:vAlign w:val="top"/>
          </w:tcPr>
          <w:p>
            <w:r>
              <w:rPr>
                <w:rFonts w:ascii="Liberation Sans" w:hAnsi="Liberation Sans"/>
                <w:sz w:val="16"/>
              </w:rPr>
              <w:t>Measurement</w:t>
            </w:r>
          </w:p>
        </w:tc>
        <w:tc>
          <w:tcPr>
            <w:tcW w:type="dxa" w:w="7483"/>
            <w:tcMar>
              <w:top w:w="85" w:type="dxa"/>
              <w:start w:w="110" w:type="dxa"/>
              <w:bottom w:w="85" w:type="dxa"/>
              <w:end w:w="110" w:type="dxa"/>
            </w:tcMar>
            <w:vAlign w:val="top"/>
          </w:tcPr>
          <w:p>
            <w:r>
              <w:t>A controlled comparison of straight-line and walking-network accessibility using matched rail/metro/S-train stations, bus stops and urban-opportunity destinations.</w:t>
            </w:r>
          </w:p>
        </w:tc>
      </w:tr>
      <w:tr>
        <w:trPr>
          <w:cantSplit/>
        </w:trPr>
        <w:tc>
          <w:tcPr>
            <w:tcW w:type="dxa" w:w="2324"/>
            <w:tcMar>
              <w:top w:w="85" w:type="dxa"/>
              <w:start w:w="110" w:type="dxa"/>
              <w:bottom w:w="85" w:type="dxa"/>
              <w:end w:w="110" w:type="dxa"/>
            </w:tcMar>
            <w:vAlign w:val="top"/>
          </w:tcPr>
          <w:p>
            <w:r>
              <w:rPr>
                <w:rFonts w:ascii="Liberation Sans" w:hAnsi="Liberation Sans"/>
                <w:sz w:val="16"/>
              </w:rPr>
              <w:t>Empirical</w:t>
            </w:r>
          </w:p>
        </w:tc>
        <w:tc>
          <w:tcPr>
            <w:tcW w:type="dxa" w:w="7483"/>
            <w:tcMar>
              <w:top w:w="85" w:type="dxa"/>
              <w:start w:w="110" w:type="dxa"/>
              <w:bottom w:w="85" w:type="dxa"/>
              <w:end w:w="110" w:type="dxa"/>
            </w:tcMar>
            <w:vAlign w:val="top"/>
          </w:tcPr>
          <w:p>
            <w:r>
              <w:t>A listing-level description of accessibility, core socioeconomic area context and listed-price variation across the 11 Copenhagen/Frederiksberg analysis areas.</w:t>
            </w:r>
          </w:p>
        </w:tc>
      </w:tr>
      <w:tr>
        <w:trPr>
          <w:cantSplit/>
        </w:trPr>
        <w:tc>
          <w:tcPr>
            <w:tcW w:type="dxa" w:w="2324"/>
            <w:tcMar>
              <w:top w:w="85" w:type="dxa"/>
              <w:start w:w="110" w:type="dxa"/>
              <w:bottom w:w="85" w:type="dxa"/>
              <w:end w:w="110" w:type="dxa"/>
            </w:tcMar>
            <w:vAlign w:val="top"/>
          </w:tcPr>
          <w:p>
            <w:r>
              <w:rPr>
                <w:rFonts w:ascii="Liberation Sans" w:hAnsi="Liberation Sans"/>
                <w:sz w:val="16"/>
              </w:rPr>
              <w:t>Methodological</w:t>
            </w:r>
          </w:p>
        </w:tc>
        <w:tc>
          <w:tcPr>
            <w:tcW w:type="dxa" w:w="7483"/>
            <w:tcMar>
              <w:top w:w="85" w:type="dxa"/>
              <w:start w:w="110" w:type="dxa"/>
              <w:bottom w:w="85" w:type="dxa"/>
              <w:end w:w="110" w:type="dxa"/>
            </w:tcMar>
            <w:vAlign w:val="top"/>
          </w:tcPr>
          <w:p>
            <w:r>
              <w:t>A direct comparison of interspersed-listing and unseen-area prediction for nested accessibility feature sets, with paired performance differences and sensitivity to spatial partitioning.</w:t>
            </w:r>
          </w:p>
        </w:tc>
      </w:tr>
      <w:tr>
        <w:trPr>
          <w:cantSplit/>
        </w:trPr>
        <w:tc>
          <w:tcPr>
            <w:tcW w:type="dxa" w:w="2324"/>
            <w:tcMar>
              <w:top w:w="85" w:type="dxa"/>
              <w:start w:w="110" w:type="dxa"/>
              <w:bottom w:w="85" w:type="dxa"/>
              <w:end w:w="110" w:type="dxa"/>
            </w:tcMar>
            <w:vAlign w:val="top"/>
          </w:tcPr>
          <w:p>
            <w:r>
              <w:rPr>
                <w:rFonts w:ascii="Liberation Sans" w:hAnsi="Liberation Sans"/>
                <w:sz w:val="16"/>
              </w:rPr>
              <w:t>Transparency</w:t>
            </w:r>
          </w:p>
        </w:tc>
        <w:tc>
          <w:tcPr>
            <w:tcW w:type="dxa" w:w="7483"/>
            <w:tcMar>
              <w:top w:w="85" w:type="dxa"/>
              <w:start w:w="110" w:type="dxa"/>
              <w:bottom w:w="85" w:type="dxa"/>
              <w:end w:w="110" w:type="dxa"/>
            </w:tcMar>
            <w:vAlign w:val="top"/>
          </w:tcPr>
          <w:p>
            <w:r>
              <w:rPr>
                <w:rFonts w:ascii="Liberation Sans" w:hAnsi="Liberation Sans"/>
                <w:sz w:val="16"/>
              </w:rPr>
              <w:t>Explicit sample, missing-data, outcome and validation rules; unresolved data limitations remain visible.</w:t>
            </w:r>
          </w:p>
        </w:tc>
      </w:tr>
      <w:tr>
        <w:trPr>
          <w:cantSplit/>
        </w:trPr>
        <w:tc>
          <w:tcPr>
            <w:tcW w:type="dxa" w:w="2324"/>
            <w:tcMar>
              <w:top w:w="85" w:type="dxa"/>
              <w:start w:w="110" w:type="dxa"/>
              <w:bottom w:w="85" w:type="dxa"/>
              <w:end w:w="110" w:type="dxa"/>
            </w:tcMar>
            <w:vAlign w:val="top"/>
          </w:tcPr>
          <w:p>
            <w:r>
              <w:rPr>
                <w:rFonts w:ascii="Liberation Sans" w:hAnsi="Liberation Sans"/>
                <w:sz w:val="16"/>
              </w:rPr>
              <w:t>Reproducibility / employability</w:t>
            </w:r>
          </w:p>
        </w:tc>
        <w:tc>
          <w:tcPr>
            <w:tcW w:type="dxa" w:w="7483"/>
            <w:tcMar>
              <w:top w:w="85" w:type="dxa"/>
              <w:start w:w="110" w:type="dxa"/>
              <w:bottom w:w="85" w:type="dxa"/>
              <w:end w:w="110" w:type="dxa"/>
            </w:tcMar>
            <w:vAlign w:val="top"/>
          </w:tcPr>
          <w:p>
            <w:r>
              <w:rPr>
                <w:rFonts w:ascii="Liberation Sans" w:hAnsi="Liberation Sans"/>
                <w:sz w:val="16"/>
              </w:rPr>
              <w:t>Python/PostGIS/OSM network analysis, spatial diagnostics, XGBoost, spatial CV, and optionally GTFS/TFM extensions.</w:t>
            </w:r>
          </w:p>
        </w:tc>
      </w:tr>
    </w:tbl>
    <w:p>
      <w:pPr>
        <w:spacing w:after="0"/>
      </w:pPr>
    </w:p>
    <w:p>
      <w:pPr>
        <w:pStyle w:val="Heading1"/>
      </w:pPr>
      <w:r>
        <w:t>15. Limitations</w:t>
      </w:r>
    </w:p>
    <w:p>
      <w:pPr>
        <w:spacing w:after="50"/>
        <w:ind w:left="397" w:hanging="142"/>
      </w:pPr>
      <w:r>
        <w:rPr>
          <w:rFonts w:ascii="Liberation Sans" w:hAnsi="Liberation Sans"/>
        </w:rPr>
        <w:t xml:space="preserve">• </w:t>
      </w:r>
      <w:r>
        <w:rPr>
          <w:rFonts w:ascii="Liberation Sans" w:hAnsi="Liberation Sans"/>
        </w:rPr>
        <w:t>Listed price is not realised transaction price or revenue.</w:t>
      </w:r>
    </w:p>
    <w:p>
      <w:pPr>
        <w:spacing w:after="50"/>
        <w:ind w:left="397" w:hanging="142"/>
      </w:pPr>
      <w:r>
        <w:rPr>
          <w:rFonts w:ascii="Liberation Sans" w:hAnsi="Liberation Sans"/>
        </w:rPr>
        <w:t xml:space="preserve">• </w:t>
      </w:r>
      <w:r>
        <w:rPr>
          <w:rFonts w:ascii="Liberation Sans" w:hAnsi="Liberation Sans"/>
        </w:rPr>
        <w:t>The observational cross-section does not identify causal effects of accessibility on price.</w:t>
      </w:r>
    </w:p>
    <w:p>
      <w:pPr>
        <w:spacing w:after="50"/>
        <w:ind w:left="397" w:hanging="142"/>
      </w:pPr>
      <w:r>
        <w:rPr>
          <w:rFonts w:ascii="Liberation Sans" w:hAnsi="Liberation Sans"/>
        </w:rPr>
        <w:t xml:space="preserve">• </w:t>
      </w:r>
      <w:r>
        <w:rPr>
          <w:rFonts w:ascii="Liberation Sans" w:hAnsi="Liberation Sans"/>
        </w:rPr>
        <w:t>Listing coordinates are approximate; fine spatial thresholds are measurement-sensitive.</w:t>
      </w:r>
    </w:p>
    <w:p>
      <w:pPr>
        <w:spacing w:after="50"/>
        <w:ind w:left="397" w:hanging="142"/>
      </w:pPr>
      <w:r>
        <w:t>• OSM completeness/tagging and duplicate point/polygon/platform/stop-position representations can vary spatially; nearest bus-stop access also does not measure service frequency or timetable quality.</w:t>
      </w:r>
    </w:p>
    <w:p>
      <w:pPr>
        <w:spacing w:after="50"/>
        <w:ind w:left="397" w:hanging="142"/>
      </w:pPr>
      <w:r>
        <w:t>• Walking speed and accessibility thresholds are modelling assumptions. The 5.0 km/h baseline is locally grounded rather than person-specific, and 4.0/5.4 km/h sensitivity checks assess plausible slower/faster assumptions; none can reveal each traveller's actual route or willingness to walk.</w:t>
      </w:r>
    </w:p>
    <w:p>
      <w:pPr>
        <w:spacing w:after="50"/>
        <w:ind w:left="397" w:hanging="142"/>
      </w:pPr>
      <w:r>
        <w:t>• The 11 analysis areas are operational peer units for this case study, not administratively identical units: Frederiksberg is a municipality while the other ten are Copenhagen city districts. Area-level context also masks within-area socioeconomic variation. Administrative holdouts may not remove all short-range spatial dependence and may create predictor extrapolation.</w:t>
      </w:r>
    </w:p>
    <w:p>
      <w:pPr>
        <w:spacing w:after="50"/>
        <w:ind w:left="397" w:hanging="142"/>
      </w:pPr>
      <w:r>
        <w:rPr>
          <w:rFonts w:ascii="Liberation Sans" w:hAnsi="Liberation Sans"/>
        </w:rPr>
        <w:t xml:space="preserve">• </w:t>
      </w:r>
      <w:r>
        <w:rPr>
          <w:rFonts w:ascii="Liberation Sans" w:hAnsi="Liberation Sans"/>
        </w:rPr>
        <w:t>A single snapshot cannot establish seasonal or long-run stability.</w:t>
      </w:r>
    </w:p>
    <w:p>
      <w:pPr>
        <w:spacing w:after="50"/>
        <w:ind w:left="397" w:hanging="142"/>
      </w:pPr>
      <w:r>
        <w:rPr>
          <w:rFonts w:ascii="Liberation Sans" w:hAnsi="Liberation Sans"/>
        </w:rPr>
        <w:t xml:space="preserve">• </w:t>
      </w:r>
      <w:r>
        <w:rPr>
          <w:rFonts w:ascii="Liberation Sans" w:hAnsi="Liberation Sans"/>
        </w:rPr>
        <w:t>If GTFS is added, static schedules do not measure realised reliability, crowding or traveller perceptions.</w:t>
      </w:r>
    </w:p>
    <w:p>
      <w:pPr>
        <w:spacing w:after="50"/>
        <w:ind w:left="397" w:hanging="142"/>
      </w:pPr>
      <w:r>
        <w:rPr>
          <w:rFonts w:ascii="Liberation Sans" w:hAnsi="Liberation Sans"/>
        </w:rPr>
        <w:t xml:space="preserve">• </w:t>
      </w:r>
      <w:r>
        <w:rPr>
          <w:rFonts w:ascii="Liberation Sans" w:hAnsi="Liberation Sans"/>
        </w:rPr>
        <w:t>If TFMs are added, current software/model-weight licences and computational constraints must be documented; their use remains exploratory.</w:t>
      </w:r>
    </w:p>
    <w:p>
      <w:pPr>
        <w:pStyle w:val="Heading1"/>
      </w:pPr>
      <w:r>
        <w:t>16. Proposed results tables and figures</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4929"/>
        <w:gridCol w:w="4929"/>
      </w:tblGrid>
      <w:tr>
        <w:trPr>
          <w:tblHeader w:val="true"/>
          <w:cantSplit/>
        </w:trPr>
        <w:tc>
          <w:tcPr>
            <w:tcW w:type="dxa" w:w="4932"/>
            <w:shd w:fill="E6EEF2"/>
            <w:tcMar>
              <w:top w:w="85" w:type="dxa"/>
              <w:start w:w="110" w:type="dxa"/>
              <w:bottom w:w="85" w:type="dxa"/>
              <w:end w:w="110" w:type="dxa"/>
            </w:tcMar>
            <w:vAlign w:val="center"/>
          </w:tcPr>
          <w:p>
            <w:r>
              <w:rPr>
                <w:rFonts w:ascii="Liberation Sans" w:hAnsi="Liberation Sans"/>
                <w:b/>
                <w:color w:val="17354A"/>
                <w:sz w:val="16"/>
              </w:rPr>
              <w:t>Main tables</w:t>
            </w:r>
          </w:p>
        </w:tc>
        <w:tc>
          <w:tcPr>
            <w:tcW w:type="dxa" w:w="4932"/>
            <w:shd w:fill="E6EEF2"/>
            <w:tcMar>
              <w:top w:w="85" w:type="dxa"/>
              <w:start w:w="110" w:type="dxa"/>
              <w:bottom w:w="85" w:type="dxa"/>
              <w:end w:w="110" w:type="dxa"/>
            </w:tcMar>
            <w:vAlign w:val="center"/>
          </w:tcPr>
          <w:p>
            <w:r>
              <w:rPr>
                <w:rFonts w:ascii="Liberation Sans" w:hAnsi="Liberation Sans"/>
                <w:b/>
                <w:color w:val="17354A"/>
                <w:sz w:val="16"/>
              </w:rPr>
              <w:t>Main figures</w:t>
            </w:r>
          </w:p>
        </w:tc>
      </w:tr>
      <w:tr>
        <w:trPr>
          <w:cantSplit/>
        </w:trPr>
        <w:tc>
          <w:tcPr>
            <w:tcW w:type="dxa" w:w="4932"/>
            <w:tcMar>
              <w:top w:w="85" w:type="dxa"/>
              <w:start w:w="110" w:type="dxa"/>
              <w:bottom w:w="85" w:type="dxa"/>
              <w:end w:w="110" w:type="dxa"/>
            </w:tcMar>
            <w:vAlign w:val="top"/>
          </w:tcPr>
          <w:p>
            <w:r>
              <w:rPr>
                <w:rFonts w:ascii="Liberation Sans" w:hAnsi="Liberation Sans"/>
                <w:sz w:val="16"/>
              </w:rPr>
              <w:t>1. Sample construction</w:t>
            </w:r>
          </w:p>
        </w:tc>
        <w:tc>
          <w:tcPr>
            <w:tcW w:type="dxa" w:w="4932"/>
            <w:tcMar>
              <w:top w:w="85" w:type="dxa"/>
              <w:start w:w="110" w:type="dxa"/>
              <w:bottom w:w="85" w:type="dxa"/>
              <w:end w:w="110" w:type="dxa"/>
            </w:tcMar>
            <w:vAlign w:val="top"/>
          </w:tcPr>
          <w:p>
            <w:r>
              <w:rPr>
                <w:rFonts w:ascii="Liberation Sans" w:hAnsi="Liberation Sans"/>
                <w:sz w:val="16"/>
              </w:rPr>
              <w:t>1. Research workflow</w:t>
            </w:r>
          </w:p>
        </w:tc>
      </w:tr>
      <w:tr>
        <w:trPr>
          <w:cantSplit/>
        </w:trPr>
        <w:tc>
          <w:tcPr>
            <w:tcW w:type="dxa" w:w="4932"/>
            <w:tcMar>
              <w:top w:w="85" w:type="dxa"/>
              <w:start w:w="110" w:type="dxa"/>
              <w:bottom w:w="85" w:type="dxa"/>
              <w:end w:w="110" w:type="dxa"/>
            </w:tcMar>
            <w:vAlign w:val="top"/>
          </w:tcPr>
          <w:p>
            <w:r>
              <w:t>2. Variable specification + core area context + missingness</w:t>
            </w:r>
          </w:p>
        </w:tc>
        <w:tc>
          <w:tcPr>
            <w:tcW w:type="dxa" w:w="4932"/>
            <w:tcMar>
              <w:top w:w="85" w:type="dxa"/>
              <w:start w:w="110" w:type="dxa"/>
              <w:bottom w:w="85" w:type="dxa"/>
              <w:end w:w="110" w:type="dxa"/>
            </w:tcMar>
            <w:vAlign w:val="top"/>
          </w:tcPr>
          <w:p>
            <w:r>
              <w:t>2. Study area, 11 analysis areas, listings, rail/metro/S-train stations and bus stops</w:t>
            </w:r>
          </w:p>
        </w:tc>
      </w:tr>
      <w:tr>
        <w:trPr>
          <w:cantSplit/>
        </w:trPr>
        <w:tc>
          <w:tcPr>
            <w:tcW w:type="dxa" w:w="4932"/>
            <w:tcMar>
              <w:top w:w="85" w:type="dxa"/>
              <w:start w:w="110" w:type="dxa"/>
              <w:bottom w:w="85" w:type="dxa"/>
              <w:end w:w="110" w:type="dxa"/>
            </w:tcMar>
            <w:vAlign w:val="top"/>
          </w:tcPr>
          <w:p>
            <w:r>
              <w:rPr>
                <w:rFonts w:ascii="Liberation Sans" w:hAnsi="Liberation Sans"/>
                <w:sz w:val="16"/>
              </w:rPr>
              <w:t>3. Descriptive statistics</w:t>
            </w:r>
          </w:p>
        </w:tc>
        <w:tc>
          <w:tcPr>
            <w:tcW w:type="dxa" w:w="4932"/>
            <w:tcMar>
              <w:top w:w="85" w:type="dxa"/>
              <w:start w:w="110" w:type="dxa"/>
              <w:bottom w:w="85" w:type="dxa"/>
              <w:end w:w="110" w:type="dxa"/>
            </w:tcMar>
            <w:vAlign w:val="top"/>
          </w:tcPr>
          <w:p>
            <w:r>
              <w:rPr>
                <w:rFonts w:ascii="Liberation Sans" w:hAnsi="Liberation Sans"/>
                <w:sz w:val="16"/>
              </w:rPr>
              <w:t>3. Price/log-price distribution and spatial pattern</w:t>
            </w:r>
          </w:p>
        </w:tc>
      </w:tr>
      <w:tr>
        <w:trPr>
          <w:cantSplit/>
        </w:trPr>
        <w:tc>
          <w:tcPr>
            <w:tcW w:type="dxa" w:w="4932"/>
            <w:tcMar>
              <w:top w:w="85" w:type="dxa"/>
              <w:start w:w="110" w:type="dxa"/>
              <w:bottom w:w="85" w:type="dxa"/>
              <w:end w:w="110" w:type="dxa"/>
            </w:tcMar>
            <w:vAlign w:val="top"/>
          </w:tcPr>
          <w:p>
            <w:r>
              <w:t>4. Accessibility definitions: rail, bus, opportunities, thresholds/decay</w:t>
            </w:r>
          </w:p>
        </w:tc>
        <w:tc>
          <w:tcPr>
            <w:tcW w:type="dxa" w:w="4932"/>
            <w:tcMar>
              <w:top w:w="85" w:type="dxa"/>
              <w:start w:w="110" w:type="dxa"/>
              <w:bottom w:w="85" w:type="dxa"/>
              <w:end w:w="110" w:type="dxa"/>
            </w:tcMar>
            <w:vAlign w:val="top"/>
          </w:tcPr>
          <w:p>
            <w:r>
              <w:rPr>
                <w:rFonts w:ascii="Liberation Sans" w:hAnsi="Liberation Sans"/>
                <w:sz w:val="16"/>
              </w:rPr>
              <w:t>4. Euclidean versus network catchment example</w:t>
            </w:r>
          </w:p>
        </w:tc>
      </w:tr>
      <w:tr>
        <w:trPr>
          <w:cantSplit/>
        </w:trPr>
        <w:tc>
          <w:tcPr>
            <w:tcW w:type="dxa" w:w="4932"/>
            <w:tcMar>
              <w:top w:w="85" w:type="dxa"/>
              <w:start w:w="110" w:type="dxa"/>
              <w:bottom w:w="85" w:type="dxa"/>
              <w:end w:w="110" w:type="dxa"/>
            </w:tcMar>
            <w:vAlign w:val="top"/>
          </w:tcPr>
          <w:p>
            <w:r>
              <w:rPr>
                <w:rFonts w:ascii="Liberation Sans" w:hAnsi="Liberation Sans"/>
                <w:sz w:val="16"/>
              </w:rPr>
              <w:t>5. Hedonic M0/ME/MW/MEW ladder</w:t>
            </w:r>
          </w:p>
        </w:tc>
        <w:tc>
          <w:tcPr>
            <w:tcW w:type="dxa" w:w="4932"/>
            <w:tcMar>
              <w:top w:w="85" w:type="dxa"/>
              <w:start w:w="110" w:type="dxa"/>
              <w:bottom w:w="85" w:type="dxa"/>
              <w:end w:w="110" w:type="dxa"/>
            </w:tcMar>
            <w:vAlign w:val="top"/>
          </w:tcPr>
          <w:p>
            <w:r>
              <w:rPr>
                <w:rFonts w:ascii="Liberation Sans" w:hAnsi="Liberation Sans"/>
                <w:sz w:val="16"/>
              </w:rPr>
              <w:t>5. Euclidean-network measure comparison</w:t>
            </w:r>
          </w:p>
        </w:tc>
      </w:tr>
      <w:tr>
        <w:trPr>
          <w:cantSplit/>
        </w:trPr>
        <w:tc>
          <w:tcPr>
            <w:tcW w:type="dxa" w:w="4932"/>
            <w:tcMar>
              <w:top w:w="85" w:type="dxa"/>
              <w:start w:w="110" w:type="dxa"/>
              <w:bottom w:w="85" w:type="dxa"/>
              <w:end w:w="110" w:type="dxa"/>
            </w:tcMar>
            <w:vAlign w:val="top"/>
          </w:tcPr>
          <w:p>
            <w:r>
              <w:rPr>
                <w:rFonts w:ascii="Liberation Sans" w:hAnsi="Liberation Sans"/>
                <w:sz w:val="16"/>
              </w:rPr>
              <w:t>6. Predictive performance by model/feature/validation</w:t>
            </w:r>
          </w:p>
        </w:tc>
        <w:tc>
          <w:tcPr>
            <w:tcW w:type="dxa" w:w="4932"/>
            <w:tcMar>
              <w:top w:w="85" w:type="dxa"/>
              <w:start w:w="110" w:type="dxa"/>
              <w:bottom w:w="85" w:type="dxa"/>
              <w:end w:w="110" w:type="dxa"/>
            </w:tcMar>
            <w:vAlign w:val="top"/>
          </w:tcPr>
          <w:p>
            <w:r>
              <w:t>6. Outer-held-out SHAP/dependence for focal accessibility features</w:t>
            </w:r>
          </w:p>
        </w:tc>
      </w:tr>
      <w:tr>
        <w:trPr>
          <w:cantSplit/>
        </w:trPr>
        <w:tc>
          <w:tcPr>
            <w:tcW w:type="dxa" w:w="4932"/>
            <w:tcMar>
              <w:top w:w="85" w:type="dxa"/>
              <w:start w:w="110" w:type="dxa"/>
              <w:bottom w:w="85" w:type="dxa"/>
              <w:end w:w="110" w:type="dxa"/>
            </w:tcMar>
            <w:vAlign w:val="top"/>
          </w:tcPr>
          <w:p>
            <w:r>
              <w:t>7. Incremental ΔRMSE/ΔMAE + geographic stability/uncertainty</w:t>
            </w:r>
          </w:p>
        </w:tc>
        <w:tc>
          <w:tcPr>
            <w:tcW w:type="dxa" w:w="4932"/>
            <w:tcMar>
              <w:top w:w="85" w:type="dxa"/>
              <w:start w:w="110" w:type="dxa"/>
              <w:bottom w:w="85" w:type="dxa"/>
              <w:end w:w="110" w:type="dxa"/>
            </w:tcMar>
            <w:vAlign w:val="top"/>
          </w:tcPr>
          <w:p>
            <w:r>
              <w:rPr>
                <w:rFonts w:ascii="Liberation Sans" w:hAnsi="Liberation Sans"/>
                <w:sz w:val="16"/>
              </w:rPr>
              <w:t>7. Random versus geographic performance</w:t>
            </w:r>
          </w:p>
        </w:tc>
      </w:tr>
      <w:tr>
        <w:trPr>
          <w:cantSplit/>
        </w:trPr>
        <w:tc>
          <w:tcPr>
            <w:tcW w:type="dxa" w:w="4932"/>
            <w:tcMar>
              <w:top w:w="85" w:type="dxa"/>
              <w:start w:w="110" w:type="dxa"/>
              <w:bottom w:w="85" w:type="dxa"/>
              <w:end w:w="110" w:type="dxa"/>
            </w:tcMar>
            <w:vAlign w:val="top"/>
          </w:tcPr>
          <w:p>
            <w:r>
              <w:t>8. Robustness summary: threshold/speed/decay, sample, inference, spatial partitions</w:t>
            </w:r>
          </w:p>
        </w:tc>
        <w:tc>
          <w:tcPr>
            <w:tcW w:type="dxa" w:w="4932"/>
            <w:tcMar>
              <w:top w:w="85" w:type="dxa"/>
              <w:start w:w="110" w:type="dxa"/>
              <w:bottom w:w="85" w:type="dxa"/>
              <w:end w:w="110" w:type="dxa"/>
            </w:tcMar>
            <w:vAlign w:val="top"/>
          </w:tcPr>
          <w:p>
            <w:r>
              <w:t>8. Leave-one-analysis-area-out fold/error map; 9. residual spatial diagnostic if material</w:t>
            </w:r>
          </w:p>
        </w:tc>
      </w:tr>
    </w:tbl>
    <w:p>
      <w:pPr>
        <w:spacing w:after="0"/>
      </w:pPr>
    </w:p>
    <w:p>
      <w:pPr>
        <w:pStyle w:val="Heading1"/>
      </w:pPr>
      <w:r>
        <w:t>17. Proposed thesis structure</w:t>
      </w:r>
    </w:p>
    <w:tbl>
      <w:tblPr>
        <w:tblW w:type="auto" w:w="0"/>
        <w:jc w:val="center"/>
        <w:tblLayout w:type="fixed"/>
        <w:tblLook w:firstColumn="1" w:firstRow="1" w:lastColumn="0" w:lastRow="0" w:noHBand="0" w:noVBand="1" w:val="04A0"/>
        <w:tblBorders>
          <w:top w:val="single" w:sz="6" w:space="0" w:color="D8E0E6"/>
          <w:left w:val="single" w:sz="6" w:space="0" w:color="D8E0E6"/>
          <w:bottom w:val="single" w:sz="6" w:space="0" w:color="D8E0E6"/>
          <w:right w:val="single" w:sz="6" w:space="0" w:color="D8E0E6"/>
          <w:insideH w:val="single" w:sz="6" w:space="0" w:color="D8E0E6"/>
          <w:insideV w:val="single" w:sz="6" w:space="0" w:color="D8E0E6"/>
        </w:tblBorders>
      </w:tblPr>
      <w:tblGrid>
        <w:gridCol w:w="4929"/>
        <w:gridCol w:w="4929"/>
      </w:tblGrid>
      <w:tr>
        <w:trPr>
          <w:tblHeader w:val="true"/>
          <w:cantSplit/>
        </w:trPr>
        <w:tc>
          <w:tcPr>
            <w:tcW w:type="dxa" w:w="2438"/>
            <w:shd w:fill="E6EEF2"/>
            <w:tcMar>
              <w:top w:w="85" w:type="dxa"/>
              <w:start w:w="110" w:type="dxa"/>
              <w:bottom w:w="85" w:type="dxa"/>
              <w:end w:w="110" w:type="dxa"/>
            </w:tcMar>
            <w:vAlign w:val="center"/>
          </w:tcPr>
          <w:p>
            <w:r>
              <w:rPr>
                <w:rFonts w:ascii="Liberation Sans" w:hAnsi="Liberation Sans"/>
                <w:b/>
                <w:color w:val="17354A"/>
                <w:sz w:val="16"/>
              </w:rPr>
              <w:t>Chapter</w:t>
            </w:r>
          </w:p>
        </w:tc>
        <w:tc>
          <w:tcPr>
            <w:tcW w:type="dxa" w:w="7370"/>
            <w:shd w:fill="E6EEF2"/>
            <w:tcMar>
              <w:top w:w="85" w:type="dxa"/>
              <w:start w:w="110" w:type="dxa"/>
              <w:bottom w:w="85" w:type="dxa"/>
              <w:end w:w="110" w:type="dxa"/>
            </w:tcMar>
            <w:vAlign w:val="center"/>
          </w:tcPr>
          <w:p>
            <w:r>
              <w:rPr>
                <w:rFonts w:ascii="Liberation Sans" w:hAnsi="Liberation Sans"/>
                <w:b/>
                <w:color w:val="17354A"/>
                <w:sz w:val="16"/>
              </w:rPr>
              <w:t>Content</w:t>
            </w:r>
          </w:p>
        </w:tc>
      </w:tr>
      <w:tr>
        <w:trPr>
          <w:cantSplit/>
        </w:trPr>
        <w:tc>
          <w:tcPr>
            <w:tcW w:type="dxa" w:w="2438"/>
            <w:tcMar>
              <w:top w:w="85" w:type="dxa"/>
              <w:start w:w="110" w:type="dxa"/>
              <w:bottom w:w="85" w:type="dxa"/>
              <w:end w:w="110" w:type="dxa"/>
            </w:tcMar>
            <w:vAlign w:val="top"/>
          </w:tcPr>
          <w:p>
            <w:r>
              <w:rPr>
                <w:rFonts w:ascii="Liberation Sans" w:hAnsi="Liberation Sans"/>
                <w:sz w:val="16"/>
              </w:rPr>
              <w:t>1. Introduction</w:t>
            </w:r>
          </w:p>
        </w:tc>
        <w:tc>
          <w:tcPr>
            <w:tcW w:type="dxa" w:w="7370"/>
            <w:tcMar>
              <w:top w:w="85" w:type="dxa"/>
              <w:start w:w="110" w:type="dxa"/>
              <w:bottom w:w="85" w:type="dxa"/>
              <w:end w:w="110" w:type="dxa"/>
            </w:tcMar>
            <w:vAlign w:val="top"/>
          </w:tcPr>
          <w:p>
            <w:r>
              <w:rPr>
                <w:rFonts w:ascii="Liberation Sans" w:hAnsi="Liberation Sans"/>
                <w:sz w:val="16"/>
              </w:rPr>
              <w:t>problem, RQs, contribution and scope</w:t>
            </w:r>
          </w:p>
        </w:tc>
      </w:tr>
      <w:tr>
        <w:trPr>
          <w:cantSplit/>
        </w:trPr>
        <w:tc>
          <w:tcPr>
            <w:tcW w:type="dxa" w:w="2438"/>
            <w:tcMar>
              <w:top w:w="85" w:type="dxa"/>
              <w:start w:w="110" w:type="dxa"/>
              <w:bottom w:w="85" w:type="dxa"/>
              <w:end w:w="110" w:type="dxa"/>
            </w:tcMar>
            <w:vAlign w:val="top"/>
          </w:tcPr>
          <w:p>
            <w:r>
              <w:rPr>
                <w:rFonts w:ascii="Liberation Sans" w:hAnsi="Liberation Sans"/>
                <w:sz w:val="16"/>
              </w:rPr>
              <w:t>2. Literature and theory</w:t>
            </w:r>
          </w:p>
        </w:tc>
        <w:tc>
          <w:tcPr>
            <w:tcW w:type="dxa" w:w="7370"/>
            <w:tcMar>
              <w:top w:w="85" w:type="dxa"/>
              <w:start w:w="110" w:type="dxa"/>
              <w:bottom w:w="85" w:type="dxa"/>
              <w:end w:w="110" w:type="dxa"/>
            </w:tcMar>
            <w:vAlign w:val="top"/>
          </w:tcPr>
          <w:p>
            <w:r>
              <w:rPr>
                <w:rFonts w:ascii="Liberation Sans" w:hAnsi="Liberation Sans"/>
                <w:sz w:val="16"/>
              </w:rPr>
              <w:t>hedonic pricing; accessibility; Airbnb spatial studies; spatial ML/validation</w:t>
            </w:r>
          </w:p>
        </w:tc>
      </w:tr>
      <w:tr>
        <w:trPr>
          <w:cantSplit/>
        </w:trPr>
        <w:tc>
          <w:tcPr>
            <w:tcW w:type="dxa" w:w="2438"/>
            <w:tcMar>
              <w:top w:w="85" w:type="dxa"/>
              <w:start w:w="110" w:type="dxa"/>
              <w:bottom w:w="85" w:type="dxa"/>
              <w:end w:w="110" w:type="dxa"/>
            </w:tcMar>
            <w:vAlign w:val="top"/>
          </w:tcPr>
          <w:p>
            <w:r>
              <w:rPr>
                <w:rFonts w:ascii="Liberation Sans" w:hAnsi="Liberation Sans"/>
                <w:sz w:val="16"/>
              </w:rPr>
              <w:t>3. Study area and data</w:t>
            </w:r>
          </w:p>
        </w:tc>
        <w:tc>
          <w:tcPr>
            <w:tcW w:type="dxa" w:w="7370"/>
            <w:tcMar>
              <w:top w:w="85" w:type="dxa"/>
              <w:start w:w="110" w:type="dxa"/>
              <w:bottom w:w="85" w:type="dxa"/>
              <w:end w:w="110" w:type="dxa"/>
            </w:tcMar>
            <w:vAlign w:val="top"/>
          </w:tcPr>
          <w:p>
            <w:r>
              <w:t>Copenhagen/Frederiksberg case study; 11-analysis-area convention; sample; core area context; transport/POI sources; missingness; descriptive statistics</w:t>
            </w:r>
          </w:p>
        </w:tc>
      </w:tr>
      <w:tr>
        <w:trPr>
          <w:cantSplit/>
        </w:trPr>
        <w:tc>
          <w:tcPr>
            <w:tcW w:type="dxa" w:w="2438"/>
            <w:tcMar>
              <w:top w:w="85" w:type="dxa"/>
              <w:start w:w="110" w:type="dxa"/>
              <w:bottom w:w="85" w:type="dxa"/>
              <w:end w:w="110" w:type="dxa"/>
            </w:tcMar>
            <w:vAlign w:val="top"/>
          </w:tcPr>
          <w:p>
            <w:r>
              <w:rPr>
                <w:rFonts w:ascii="Liberation Sans" w:hAnsi="Liberation Sans"/>
                <w:sz w:val="16"/>
              </w:rPr>
              <w:t>4. Methods</w:t>
            </w:r>
          </w:p>
        </w:tc>
        <w:tc>
          <w:tcPr>
            <w:tcW w:type="dxa" w:w="7370"/>
            <w:tcMar>
              <w:top w:w="85" w:type="dxa"/>
              <w:start w:w="110" w:type="dxa"/>
              <w:bottom w:w="85" w:type="dxa"/>
              <w:end w:w="110" w:type="dxa"/>
            </w:tcMar>
            <w:vAlign w:val="top"/>
          </w:tcPr>
          <w:p>
            <w:r>
              <w:t>rail/bus/opportunity accessibility engineering; core baseline and model ladder; expanded nested XGBoost tuning; missing-data strategy; validation; paired uncertainty; diagnostics</w:t>
            </w:r>
          </w:p>
        </w:tc>
      </w:tr>
      <w:tr>
        <w:trPr>
          <w:cantSplit/>
        </w:trPr>
        <w:tc>
          <w:tcPr>
            <w:tcW w:type="dxa" w:w="2438"/>
            <w:tcMar>
              <w:top w:w="85" w:type="dxa"/>
              <w:start w:w="110" w:type="dxa"/>
              <w:bottom w:w="85" w:type="dxa"/>
              <w:end w:w="110" w:type="dxa"/>
            </w:tcMar>
            <w:vAlign w:val="top"/>
          </w:tcPr>
          <w:p>
            <w:r>
              <w:rPr>
                <w:rFonts w:ascii="Liberation Sans" w:hAnsi="Liberation Sans"/>
                <w:sz w:val="16"/>
              </w:rPr>
              <w:t>5. Results</w:t>
            </w:r>
          </w:p>
        </w:tc>
        <w:tc>
          <w:tcPr>
            <w:tcW w:type="dxa" w:w="7370"/>
            <w:tcMar>
              <w:top w:w="85" w:type="dxa"/>
              <w:start w:w="110" w:type="dxa"/>
              <w:bottom w:w="85" w:type="dxa"/>
              <w:end w:w="110" w:type="dxa"/>
            </w:tcMar>
            <w:vAlign w:val="top"/>
          </w:tcPr>
          <w:p>
            <w:r>
              <w:rPr>
                <w:rFonts w:ascii="Liberation Sans" w:hAnsi="Liberation Sans"/>
                <w:sz w:val="16"/>
              </w:rPr>
              <w:t>RQ1 measurement; RQ2 association/prediction; RQ3 geographic generalization</w:t>
            </w:r>
          </w:p>
        </w:tc>
      </w:tr>
      <w:tr>
        <w:trPr>
          <w:cantSplit/>
        </w:trPr>
        <w:tc>
          <w:tcPr>
            <w:tcW w:type="dxa" w:w="2438"/>
            <w:tcMar>
              <w:top w:w="85" w:type="dxa"/>
              <w:start w:w="110" w:type="dxa"/>
              <w:bottom w:w="85" w:type="dxa"/>
              <w:end w:w="110" w:type="dxa"/>
            </w:tcMar>
            <w:vAlign w:val="top"/>
          </w:tcPr>
          <w:p>
            <w:r>
              <w:rPr>
                <w:rFonts w:ascii="Liberation Sans" w:hAnsi="Liberation Sans"/>
                <w:sz w:val="16"/>
              </w:rPr>
              <w:t>6. Robustness and discussion</w:t>
            </w:r>
          </w:p>
        </w:tc>
        <w:tc>
          <w:tcPr>
            <w:tcW w:type="dxa" w:w="7370"/>
            <w:tcMar>
              <w:top w:w="85" w:type="dxa"/>
              <w:start w:w="110" w:type="dxa"/>
              <w:bottom w:w="85" w:type="dxa"/>
              <w:end w:w="110" w:type="dxa"/>
            </w:tcMar>
            <w:vAlign w:val="top"/>
          </w:tcPr>
          <w:p>
            <w:r>
              <w:t>threshold/speed/decay, sample, area-aware inference and alternative spatial-partition sensitivity; literature comparison; practical interpretation</w:t>
            </w:r>
          </w:p>
        </w:tc>
      </w:tr>
      <w:tr>
        <w:trPr>
          <w:cantSplit/>
        </w:trPr>
        <w:tc>
          <w:tcPr>
            <w:tcW w:type="dxa" w:w="2438"/>
            <w:tcMar>
              <w:top w:w="85" w:type="dxa"/>
              <w:start w:w="110" w:type="dxa"/>
              <w:bottom w:w="85" w:type="dxa"/>
              <w:end w:w="110" w:type="dxa"/>
            </w:tcMar>
            <w:vAlign w:val="top"/>
          </w:tcPr>
          <w:p>
            <w:r>
              <w:rPr>
                <w:rFonts w:ascii="Liberation Sans" w:hAnsi="Liberation Sans"/>
                <w:sz w:val="16"/>
              </w:rPr>
              <w:t>7. Conclusion</w:t>
            </w:r>
          </w:p>
        </w:tc>
        <w:tc>
          <w:tcPr>
            <w:tcW w:type="dxa" w:w="7370"/>
            <w:tcMar>
              <w:top w:w="85" w:type="dxa"/>
              <w:start w:w="110" w:type="dxa"/>
              <w:bottom w:w="85" w:type="dxa"/>
              <w:end w:w="110" w:type="dxa"/>
            </w:tcMar>
            <w:vAlign w:val="top"/>
          </w:tcPr>
          <w:p>
            <w:r>
              <w:rPr>
                <w:rFonts w:ascii="Liberation Sans" w:hAnsi="Liberation Sans"/>
                <w:sz w:val="16"/>
              </w:rPr>
              <w:t>findings, limitations, implications and future extensions</w:t>
            </w:r>
          </w:p>
        </w:tc>
      </w:tr>
      <w:tr>
        <w:trPr>
          <w:cantSplit/>
        </w:trPr>
        <w:tc>
          <w:tcPr>
            <w:tcW w:type="dxa" w:w="2438"/>
            <w:tcMar>
              <w:top w:w="85" w:type="dxa"/>
              <w:start w:w="110" w:type="dxa"/>
              <w:bottom w:w="85" w:type="dxa"/>
              <w:end w:w="110" w:type="dxa"/>
            </w:tcMar>
            <w:vAlign w:val="top"/>
          </w:tcPr>
          <w:p>
            <w:r>
              <w:rPr>
                <w:rFonts w:ascii="Liberation Sans" w:hAnsi="Liberation Sans"/>
                <w:sz w:val="16"/>
              </w:rPr>
              <w:t>Appendices</w:t>
            </w:r>
          </w:p>
        </w:tc>
        <w:tc>
          <w:tcPr>
            <w:tcW w:type="dxa" w:w="7370"/>
            <w:tcMar>
              <w:top w:w="85" w:type="dxa"/>
              <w:start w:w="110" w:type="dxa"/>
              <w:bottom w:w="85" w:type="dxa"/>
              <w:end w:w="110" w:type="dxa"/>
            </w:tcMar>
            <w:vAlign w:val="top"/>
          </w:tcPr>
          <w:p>
            <w:r>
              <w:t>full variable/taxonomy definitions, tuning candidates/selected parameters, fold maps, paired error diagnostics, MICE/TFM/GTFS extensions if used</w:t>
            </w:r>
          </w:p>
        </w:tc>
      </w:tr>
    </w:tbl>
    <w:p>
      <w:pPr>
        <w:spacing w:after="0"/>
      </w:pPr>
    </w:p>
    <w:p>
      <w:pPr>
        <w:pStyle w:val="Heading1"/>
      </w:pPr>
      <w:r>
        <w:t>References</w:t>
      </w:r>
    </w:p>
    <w:p>
      <w:pPr>
        <w:spacing w:after="80"/>
        <w:ind w:left="397" w:hanging="397"/>
      </w:pPr>
      <w:r>
        <w:rPr>
          <w:rFonts w:ascii="Liberation Sans" w:hAnsi="Liberation Sans"/>
          <w:sz w:val="18"/>
        </w:rPr>
        <w:t>Rosen, S. (1974). Hedonic Prices and Implicit Markets: Product Differentiation in Pure Competition. Journal of Political Economy, 82(1), 34–55. https://doi.org/10.1086/260169</w:t>
      </w:r>
    </w:p>
    <w:p>
      <w:pPr>
        <w:spacing w:after="80"/>
        <w:ind w:left="397" w:hanging="397"/>
      </w:pPr>
      <w:r>
        <w:rPr>
          <w:rFonts w:ascii="Liberation Sans" w:hAnsi="Liberation Sans"/>
          <w:sz w:val="18"/>
        </w:rPr>
        <w:t>Hansen, W. G. (1959). How Accessibility Shapes Land Use. Journal of the American Institute of Planners, 25(2), 73–76. https://doi.org/10.1080/01944365908978307</w:t>
      </w:r>
    </w:p>
    <w:p>
      <w:pPr>
        <w:spacing w:after="80"/>
        <w:ind w:left="397" w:hanging="397"/>
      </w:pPr>
      <w:r>
        <w:rPr>
          <w:rFonts w:ascii="Liberation Sans" w:hAnsi="Liberation Sans"/>
          <w:sz w:val="18"/>
        </w:rPr>
        <w:t>Geurs, K. T., &amp; van Wee, B. (2004). Accessibility evaluation of land-use and transport strategies: Review and research directions. Journal of Transport Geography, 12(2), 127–140. https://doi.org/10.1016/j.jtrangeo.2003.10.005</w:t>
      </w:r>
    </w:p>
    <w:p>
      <w:pPr>
        <w:spacing w:after="80"/>
        <w:ind w:left="397" w:hanging="397"/>
      </w:pPr>
      <w:r>
        <w:rPr>
          <w:rFonts w:ascii="Liberation Sans" w:hAnsi="Liberation Sans"/>
          <w:sz w:val="18"/>
        </w:rPr>
        <w:t>Wang, D., &amp; Nicolau, J. L. (2017). Price determinants of sharing economy based accommodation rental: A study of listings from 33 cities on Airbnb.com. International Journal of Hospitality Management, 62, 120–131. https://doi.org/10.1016/j.ijhm.2016.12.007</w:t>
      </w:r>
    </w:p>
    <w:p>
      <w:pPr>
        <w:spacing w:after="80"/>
        <w:ind w:left="397" w:hanging="397"/>
      </w:pPr>
      <w:r>
        <w:rPr>
          <w:rFonts w:ascii="Liberation Sans" w:hAnsi="Liberation Sans"/>
          <w:sz w:val="18"/>
        </w:rPr>
        <w:t>Gibbs, C., Guttentag, D., Gretzel, U., Morton, J., &amp; Goodwill, A. (2018). Pricing in the sharing economy: A hedonic pricing model applied to Airbnb listings. Journal of Travel &amp; Tourism Marketing, 35(1), 46–56. https://doi.org/10.1080/10548408.2017.1308292</w:t>
      </w:r>
    </w:p>
    <w:p>
      <w:pPr>
        <w:spacing w:after="80"/>
        <w:ind w:left="397" w:hanging="397"/>
      </w:pPr>
      <w:r>
        <w:rPr>
          <w:rFonts w:ascii="Liberation Sans" w:hAnsi="Liberation Sans"/>
          <w:sz w:val="18"/>
        </w:rPr>
        <w:t>Deboosere, R., Kerrigan, D. J., Wachsmuth, D., &amp; El-Geneidy, A. (2019). Location, location and professionalization: a multilevel hedonic analysis of Airbnb listing prices and revenue. Regional Studies, Regional Science, 6(1), 143–156. https://doi.org/10.1080/21681376.2019.1592699</w:t>
      </w:r>
    </w:p>
    <w:p>
      <w:pPr>
        <w:spacing w:after="80"/>
        <w:ind w:left="397" w:hanging="397"/>
      </w:pPr>
      <w:r>
        <w:rPr>
          <w:rFonts w:ascii="Liberation Sans" w:hAnsi="Liberation Sans"/>
          <w:sz w:val="18"/>
        </w:rPr>
        <w:t>Lawani, A., Reed, M. R., Mark, T., &amp; Zheng, Y. (2019). Reviews and price on online platforms: Evidence from sentiment analysis of Airbnb reviews in Boston. Regional Science and Urban Economics, 75, 22–34. https://doi.org/10.1016/j.regsciurbeco.2018.11.003</w:t>
      </w:r>
    </w:p>
    <w:p>
      <w:pPr>
        <w:spacing w:after="80"/>
        <w:ind w:left="397" w:hanging="397"/>
      </w:pPr>
      <w:r>
        <w:rPr>
          <w:rFonts w:ascii="Liberation Sans" w:hAnsi="Liberation Sans"/>
          <w:sz w:val="18"/>
        </w:rPr>
        <w:t>Tang, L. R., Kim, J., &amp; Wang, X. (2019). Estimating spatial effects on peer-to-peer accommodation prices: Towards an innovative hedonic model approach. International Journal of Hospitality Management, 81, 43–53. https://doi.org/10.1016/j.ijhm.2019.03.012</w:t>
      </w:r>
    </w:p>
    <w:p>
      <w:pPr>
        <w:spacing w:after="80"/>
        <w:ind w:left="397" w:hanging="397"/>
      </w:pPr>
      <w:r>
        <w:rPr>
          <w:rFonts w:ascii="Liberation Sans" w:hAnsi="Liberation Sans"/>
          <w:sz w:val="18"/>
        </w:rPr>
        <w:t>Chica-Olmo, J., González-Morales, J. G., &amp; Zafra-Gómez, J. L. (2020). Effects of location on Airbnb apartment pricing in Málaga. Tourism Management, 77, 103981. https://doi.org/10.1016/j.tourman.2019.103981</w:t>
      </w:r>
    </w:p>
    <w:p>
      <w:pPr>
        <w:spacing w:after="80"/>
        <w:ind w:left="397" w:hanging="397"/>
      </w:pPr>
      <w:r>
        <w:rPr>
          <w:rFonts w:ascii="Liberation Sans" w:hAnsi="Liberation Sans"/>
          <w:sz w:val="18"/>
        </w:rPr>
        <w:t>Gyódi, K., &amp; Nawaro, Ł. (2021). Determinants of Airbnb prices in European cities: A spatial econometrics approach. Tourism Management, 86, 104319. https://doi.org/10.1016/j.tourman.2021.104319</w:t>
      </w:r>
    </w:p>
    <w:p>
      <w:pPr>
        <w:spacing w:after="80"/>
        <w:ind w:left="397" w:hanging="397"/>
      </w:pPr>
      <w:r>
        <w:rPr>
          <w:rFonts w:ascii="Liberation Sans" w:hAnsi="Liberation Sans"/>
          <w:sz w:val="18"/>
        </w:rPr>
        <w:t>Türk, U., Östh, J., Kourtit, K., &amp; Nijkamp, P. (2021). The path of least resistance explaining tourist mobility patterns in destination areas using Airbnb data. Journal of Transport Geography, 94, 103130. https://doi.org/10.1016/j.jtrangeo.2021.103130</w:t>
      </w:r>
    </w:p>
    <w:p>
      <w:pPr/>
      <w:r>
        <w:t>Djurhuus, S., Hansen, H. S., Aadahl, M., &amp; Glümer, C. (2016). Building a multimodal network and determining individual accessibility by public transportation. Environment and Planning B: Urban Analytics and City Science, 43(1), 210–227. https://doi.org/10.1177/0265813515602594</w:t>
      </w:r>
    </w:p>
    <w:p>
      <w:pPr>
        <w:spacing w:after="80"/>
        <w:ind w:left="397" w:hanging="397"/>
      </w:pPr>
      <w:r>
        <w:rPr>
          <w:rFonts w:ascii="Liberation Sans" w:hAnsi="Liberation Sans"/>
          <w:sz w:val="18"/>
        </w:rPr>
        <w:t>Fayyaz S., S. K., Liu, X. C., &amp; Zhang, G. (2017). An efficient GTFS enabled algorithm for dynamic transit accessibility analysis. PLOS ONE, 12(10), e0185333. https://doi.org/10.1371/journal.pone.0185333</w:t>
      </w:r>
    </w:p>
    <w:p>
      <w:pPr>
        <w:spacing w:after="80"/>
        <w:ind w:left="397" w:hanging="397"/>
      </w:pPr>
      <w:r>
        <w:rPr>
          <w:rFonts w:ascii="Liberation Sans" w:hAnsi="Liberation Sans"/>
          <w:sz w:val="18"/>
        </w:rPr>
        <w:t>Pereira, R. H. M., Saraiva, M., Herszenhut, D., Braga, C. K. V., &amp; Conway, M. W. (2021). r5r: Rapid Realistic Routing on Multimodal Transport Networks with R5 in R. Findings. https://doi.org/10.32866/001c.21262</w:t>
      </w:r>
    </w:p>
    <w:p>
      <w:pPr>
        <w:spacing w:after="80"/>
        <w:ind w:left="397" w:hanging="397"/>
      </w:pPr>
      <w:r>
        <w:rPr>
          <w:rFonts w:ascii="Liberation Sans" w:hAnsi="Liberation Sans"/>
          <w:sz w:val="18"/>
        </w:rPr>
        <w:t>Roberts, D. R., et al. (2017). Cross-validation strategies for data with temporal, spatial, hierarchical, or phylogenetic structure. Ecography, 40, 913–929. https://doi.org/10.1111/ecog.02881</w:t>
      </w:r>
    </w:p>
    <w:p>
      <w:pPr>
        <w:spacing w:after="80"/>
        <w:ind w:left="397" w:hanging="397"/>
      </w:pPr>
      <w:r>
        <w:rPr>
          <w:rFonts w:ascii="Liberation Sans" w:hAnsi="Liberation Sans"/>
          <w:sz w:val="18"/>
        </w:rPr>
        <w:t>Valavi, R., Elith, J., Lahoz-Monfort, J. J., &amp; Guillera-Arroita, G. (2019). blockCV. Methods in Ecology and Evolution, 10, 225–232. https://doi.org/10.1111/2041-210X.13107</w:t>
      </w:r>
    </w:p>
    <w:p>
      <w:pPr>
        <w:spacing w:after="80"/>
        <w:ind w:left="397" w:hanging="397"/>
      </w:pPr>
      <w:r>
        <w:rPr>
          <w:rFonts w:ascii="Liberation Sans" w:hAnsi="Liberation Sans"/>
          <w:sz w:val="18"/>
        </w:rPr>
        <w:t>Kopczewska, K. (2022). Spatial machine learning: new opportunities for regional science. The Annals of Regional Science, 68, 713–755. https://doi.org/10.1007/s00168-021-01101-x</w:t>
      </w:r>
    </w:p>
    <w:p>
      <w:pPr>
        <w:spacing w:after="80"/>
        <w:ind w:left="397" w:hanging="397"/>
      </w:pPr>
      <w:r>
        <w:rPr>
          <w:rFonts w:ascii="Liberation Sans" w:hAnsi="Liberation Sans"/>
          <w:sz w:val="18"/>
        </w:rPr>
        <w:t>Islam, M. D., et al. (2022). Airbnb rental price modeling based on Latent Dirichlet Allocation and MESF-XGBoost composite model. Machine Learning with Applications, 7, 100208. https://doi.org/10.1016/j.mlwa.2021.100208</w:t>
      </w:r>
    </w:p>
    <w:p>
      <w:pPr>
        <w:spacing w:after="80"/>
        <w:ind w:left="397" w:hanging="397"/>
      </w:pPr>
      <w:r>
        <w:rPr>
          <w:rFonts w:ascii="Liberation Sans" w:hAnsi="Liberation Sans"/>
          <w:sz w:val="18"/>
        </w:rPr>
        <w:t>Jiang, Y., Zhang, H., Cao, X., Wei, G., &amp; Yang, Y. (2023). How to better incorporate geographic variation in Airbnb price modeling? Tourism Economics, 29(5), 1181–1203. https://doi.org/10.1177/13548166221097585</w:t>
      </w:r>
    </w:p>
    <w:p>
      <w:pPr>
        <w:spacing w:after="80"/>
        <w:ind w:left="397" w:hanging="397"/>
      </w:pPr>
      <w:r>
        <w:rPr>
          <w:rFonts w:ascii="Liberation Sans" w:hAnsi="Liberation Sans"/>
          <w:sz w:val="18"/>
        </w:rPr>
        <w:t>Camatti, N., di Tollo, G., Filograsso, G., &amp; Ghilardi, S. (2024). Predicting Airbnb pricing: a comparative analysis of artificial intelligence and traditional approaches. Computational Management Science, 21, Article 30. https://doi.org/10.1007/s10287-024-00511-4</w:t>
      </w:r>
    </w:p>
    <w:p>
      <w:pPr>
        <w:spacing w:after="80"/>
        <w:ind w:left="397" w:hanging="397"/>
      </w:pPr>
      <w:r>
        <w:rPr>
          <w:rFonts w:ascii="Liberation Sans" w:hAnsi="Liberation Sans"/>
          <w:sz w:val="18"/>
        </w:rPr>
        <w:t>Panahandeh, A., Rabiei-Dastjerdi, H., Goktas, P., &amp; McArdle, G. (2025). Answering new urban questions: Using eXplainable AI-driven analysis to identify determinants of Airbnb price in Dublin. Expert Systems with Applications, 260, 125360. https://doi.org/10.1016/j.eswa.2024.125360</w:t>
      </w:r>
    </w:p>
    <w:p>
      <w:pPr>
        <w:spacing w:after="80"/>
        <w:ind w:left="397" w:hanging="397"/>
      </w:pPr>
      <w:r>
        <w:rPr>
          <w:rFonts w:ascii="Liberation Sans" w:hAnsi="Liberation Sans"/>
          <w:sz w:val="18"/>
        </w:rPr>
        <w:t>White, I. R., Royston, P., &amp; Wood, A. M. (2011). Multiple imputation using chained equations: Issues and guidance for practice. Statistics in Medicine, 30(4), 377–399. https://doi.org/10.1002/sim.4067</w:t>
      </w:r>
    </w:p>
    <w:p>
      <w:pPr>
        <w:spacing w:after="80"/>
        <w:ind w:left="397" w:hanging="397"/>
      </w:pPr>
      <w:r>
        <w:rPr>
          <w:rFonts w:ascii="Liberation Sans" w:hAnsi="Liberation Sans"/>
          <w:sz w:val="18"/>
        </w:rPr>
        <w:t>Qu, J., Holzmüller, D., Varoquaux, G., &amp; Le Morvan, M. (2026). TabICLv2: A Better, Faster, Scalable, and Open Tabular Foundation Model. Proceedings of the 43rd International Conference on Machine Learning, PMLR 306.</w:t>
      </w:r>
      <w:r>
        <w:t xml:space="preserve"> </w:t>
      </w:r>
      <w:hyperlink r:id="rId11">
        <w:r>
          <w:rPr>
            <w:rFonts w:ascii="Liberation Sans" w:hAnsi="Liberation Sans"/>
            <w:color w:val="0563C1"/>
            <w:u w:val="single"/>
          </w:rPr>
          <w:t>https://github.com/soda-inria/tabicl</w:t>
        </w:r>
      </w:hyperlink>
    </w:p>
    <w:p>
      <w:pPr>
        <w:spacing w:after="80"/>
        <w:ind w:left="397" w:hanging="397"/>
      </w:pPr>
      <w:r>
        <w:rPr>
          <w:rFonts w:ascii="Liberation Sans" w:hAnsi="Liberation Sans"/>
          <w:sz w:val="18"/>
        </w:rPr>
        <w:t>Inside Airbnb. Get the Data. Accessed 29 September 2026.</w:t>
      </w:r>
      <w:r>
        <w:t xml:space="preserve"> </w:t>
      </w:r>
      <w:hyperlink r:id="rId12">
        <w:r>
          <w:rPr>
            <w:rFonts w:ascii="Liberation Sans" w:hAnsi="Liberation Sans"/>
            <w:color w:val="0563C1"/>
            <w:u w:val="single"/>
          </w:rPr>
          <w:t>https://insideairbnb.com/get-the-data/</w:t>
        </w:r>
      </w:hyperlink>
    </w:p>
    <w:p>
      <w:pPr>
        <w:spacing w:after="80"/>
        <w:ind w:left="397" w:hanging="397"/>
      </w:pPr>
      <w:r>
        <w:rPr>
          <w:rFonts w:ascii="Liberation Sans" w:hAnsi="Liberation Sans"/>
          <w:sz w:val="18"/>
        </w:rPr>
        <w:t>Rejseplanen Labs. GTFS Schedule/Static and data overview. Accessed 29 September 2026.</w:t>
      </w:r>
      <w:r>
        <w:t xml:space="preserve"> </w:t>
      </w:r>
      <w:hyperlink r:id="rId13">
        <w:r>
          <w:rPr>
            <w:rFonts w:ascii="Liberation Sans" w:hAnsi="Liberation Sans"/>
            <w:color w:val="0563C1"/>
            <w:u w:val="single"/>
          </w:rPr>
          <w:t>https://labs.rejseplanen.dk/hc/en-us/articles/24750139021341-Oversigt-over-udstillede-data</w:t>
        </w:r>
      </w:hyperlink>
    </w:p>
    <w:p>
      <w:pPr>
        <w:spacing w:after="80"/>
        <w:ind w:left="397" w:hanging="397"/>
      </w:pPr>
      <w:r>
        <w:rPr>
          <w:rFonts w:ascii="Liberation Sans" w:hAnsi="Liberation Sans"/>
          <w:sz w:val="18"/>
        </w:rPr>
        <w:t>Københavns Kommune. Københavns hovedtræk og ti unikke bydele. Accessed 29 September 2026.</w:t>
      </w:r>
      <w:r>
        <w:t xml:space="preserve"> </w:t>
      </w:r>
      <w:hyperlink r:id="rId14">
        <w:r>
          <w:rPr>
            <w:rFonts w:ascii="Liberation Sans" w:hAnsi="Liberation Sans"/>
            <w:color w:val="0563C1"/>
            <w:u w:val="single"/>
          </w:rPr>
          <w:t>https://www.kk.dk/politik/politikker-og-indsatser/bolig-byggeri-og-byliv/koebenhavns-hovedtraek-og-ti-unikke-bydele</w:t>
        </w:r>
      </w:hyperlink>
    </w:p>
    <w:sectPr w:rsidR="00FC693F" w:rsidRPr="0006063C" w:rsidSect="00034616">
      <w:headerReference w:type="default" r:id="rId9"/>
      <w:footerReference w:type="default" r:id="rId10"/>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26775"/>
        <w:sz w:val="17"/>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26775"/>
        <w:sz w:val="17"/>
      </w:rPr>
      <w:t>MSc Thesis Scientific Proposal — Revised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7354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7354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52677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Liberation Sans" w:hAnsi="Liberation Sans"/>
      <w:b/>
      <w:color w:val="17354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after="120"/>
      <w:ind w:left="312"/>
    </w:pPr>
    <w:rPr>
      <w:rFonts w:ascii="Liberation Mono" w:hAnsi="Liberation Mono"/>
      <w:i/>
      <w:sz w:val="18"/>
    </w:rPr>
  </w:style>
  <w:style w:type="paragraph" w:customStyle="1" w:styleId="SmallNote">
    <w:name w:val="Small Note"/>
    <w:pPr>
      <w:spacing w:after="80"/>
    </w:pPr>
    <w:rPr>
      <w:rFonts w:ascii="Liberation Sans" w:hAnsi="Liberation Sans"/>
      <w:color w:val="5267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oda-inria/tabicl" TargetMode="External"/><Relationship Id="rId12" Type="http://schemas.openxmlformats.org/officeDocument/2006/relationships/hyperlink" Target="https://insideairbnb.com/get-the-data/" TargetMode="External"/><Relationship Id="rId13" Type="http://schemas.openxmlformats.org/officeDocument/2006/relationships/hyperlink" Target="https://labs.rejseplanen.dk/hc/en-us/articles/24750139021341-Oversigt-over-udstillede-data" TargetMode="External"/><Relationship Id="rId14" Type="http://schemas.openxmlformats.org/officeDocument/2006/relationships/hyperlink" Target="https://www.kk.dk/politik/politikker-og-indsatser/bolig-byggeri-og-byliv/koebenhavns-hovedtraek-og-ti-unikke-byde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