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Yu Gothic" w:eastAsia="Yu Gothic" w:hAnsi="Yu Gothic"/>
          <w:b/>
          <w:bCs/>
          <w:color w:val="1A1A1A"/>
          <w:sz w:val="34"/>
          <w:szCs w:val="34"/>
        </w:rPr>
        <w:t xml:space="preserve">ご照会（税務）— ギフトの法的構成を変えることの税務への影響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・作成日: 2026-08-05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・事業者: 個人事業主（開業届 提出済み・屋号「ピタフレ」）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・運用状態: 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未公開。コインの販売・換金とも未開始。売上ゼロ。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・送付先: 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税理士の先生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（同じ内容を弁護士にも同送します。理由は §5）</w:t>
      </w:r>
    </w:p>
    <w:p>
      <w:pPr>
        <w:pBdr>
          <w:bottom w:val="single" w:color="B9B2A6" w:sz="4" w:space="2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0. 3行で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1. 弁護士から「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ギフトの法的性質を『贈与』から『役務の追加対価』に書き換えよ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」と指摘を受けました（資金決済法の為替取引に当たらないと整理するため）。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2. 弁護士自身が「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税務側の整理と衝突しないかを、弁護士・税理士の双方に明示的に確認すること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」と条件を付けています。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3. 調べたところ、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規約の建付けと実装の会計処理が既にずれている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ことが分かりました（§3）。書き換えは、そのずれを解消する方向でもあります。</w:t>
      </w:r>
    </w:p>
    <w:p>
      <w:pPr>
        <w:pBdr>
          <w:bottom w:val="single" w:color="B9B2A6" w:sz="4" w:space="2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240" w:before="0"/>
        <w:jc w:val="center"/>
      </w:pPr>
      <w:r>
        <w:rPr>
          <w:rFonts w:ascii="Yu Gothic" w:eastAsia="Yu Gothic" w:hAnsi="Yu Gothic"/>
          <w:b/>
          <w:bCs/>
          <w:color w:val="1A1A1A"/>
          <w:sz w:val="34"/>
          <w:szCs w:val="34"/>
        </w:rPr>
        <w:t xml:space="preserve">第1部 前提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1-1. サービスの仕組み（既にご確認いただいている部分）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ゲームを一緒に遊ぶ時間を仲介するサービスです。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流れ</w:t>
            </w:r>
          </w:p>
        </w:tc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税務上の整理（確認済み）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①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ゲストがコインを購入（1コイン＝1円）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不課税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（自社発行の物品切手等の発行・消基通6-4-5）。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前受金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②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ゲストがコインを消費して予約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前受金 → 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前受金（予約エスクロー）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③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プレイ完了の確定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対価がピタメイトの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報酬コイン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として確定。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預り金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④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当社がプラットフォーム利用料（12〜20%）を控除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課税売上10%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（純額＝収納代行型）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⑤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ピタメイトが換金申請 → 振込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預り金の取崩し。換金事務手数料300コインは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課税売上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④が純額（利用料だけが当社の売上）であることは、ご確認いただいたとおりです。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当社は役務提供の当事者ではなく、対価の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受領権限の授与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を受けて収納しているという整理（規約 第8条第4項）に対応しています。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1-2. ギフト（投げ銭）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予約とは別に、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実際に一緒に遊んだ相手にだけ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、ゲストが任意で追加のコインを渡せる機能があります。プラットフォーム利用料は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一律35%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（予約の12〜20%より高い）。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濫用防止のため、相手方の限定（完了した予約がある相手のみ）・金額上限（1回5万・1日5万・30日20万円相当）・購入直後24時間の禁止・相互送金の禁止・受領から7日間の換金保留・同一IP/同一カードの検知、を実装しています。</w:t>
      </w:r>
    </w:p>
    <w:p>
      <w:pPr>
        <w:pBdr>
          <w:bottom w:val="single" w:color="B9B2A6" w:sz="4" w:space="2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240" w:before="0"/>
        <w:jc w:val="center"/>
      </w:pPr>
      <w:r>
        <w:rPr>
          <w:rFonts w:ascii="Yu Gothic" w:eastAsia="Yu Gothic" w:hAnsi="Yu Gothic"/>
          <w:b/>
          <w:bCs/>
          <w:color w:val="1A1A1A"/>
          <w:sz w:val="34"/>
          <w:szCs w:val="34"/>
        </w:rPr>
        <w:t xml:space="preserve">第2部 何が起きているか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2-1. 弁護士の指摘（2026-08-05）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資金決済法上の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為替取引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（同法2条2項、最決平成13年3月12日）に当たらないかを照会したところ、次の回答を得ました。</w:t>
      </w:r>
    </w:p>
    <w:p>
      <w:pPr>
        <w:pBdr>
          <w:left w:val="single" w:color="B9B2A6" w:sz="12" w:space="6"/>
        </w:pBdr>
        <w:spacing w:after="40" w:before="140" w:line="290"/>
        <w:ind w:left="283"/>
      </w:pPr>
      <w:r>
        <w:rPr>
          <w:rFonts w:ascii="Yu Mincho" w:eastAsia="Yu Mincho" w:hAnsi="Yu Mincho"/>
          <w:color w:val="1A1A1A"/>
          <w:sz w:val="20"/>
          <w:szCs w:val="20"/>
        </w:rPr>
        <w:t xml:space="preserve">「令和2年資金決済法改正の議論（いわゆる割り勘アプリ問題）を踏まえると、</w:t>
      </w:r>
    </w:p>
    <w:p>
      <w:pPr>
        <w:pBdr>
          <w:left w:val="single" w:color="B9B2A6" w:sz="12" w:space="6"/>
        </w:pBdr>
        <w:spacing w:after="40" w:before="40" w:line="290"/>
        <w:ind w:left="283"/>
      </w:pP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既存債務のない資金移動の媒介は、収納代行の外形をとっても為替取引と整理される典型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とされた領域です。</w:t>
      </w:r>
    </w:p>
    <w:p>
      <w:pPr>
        <w:pBdr>
          <w:left w:val="single" w:color="B9B2A6" w:sz="12" w:space="6"/>
        </w:pBdr>
        <w:spacing w:after="40" w:before="40" w:line="290"/>
        <w:ind w:left="283"/>
      </w:pPr>
      <w:r>
        <w:rPr>
          <w:rFonts w:ascii="Yu Mincho" w:eastAsia="Yu Mincho" w:hAnsi="Yu Mincho"/>
          <w:color w:val="1A1A1A"/>
          <w:sz w:val="20"/>
          <w:szCs w:val="20"/>
        </w:rPr>
        <w:t xml:space="preserve">現行第7条の2第1項は『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ギフトは役務の対価ではなく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、行うかどうか・金額はゲストの自由な意思によります』と明記しています。この性質決定（純粋な贈与）は、</w:t>
      </w:r>
    </w:p>
    <w:p>
      <w:pPr>
        <w:pBdr>
          <w:left w:val="single" w:color="B9B2A6" w:sz="12" w:space="6"/>
        </w:pBdr>
        <w:spacing w:after="140" w:before="40" w:line="290"/>
        <w:ind w:left="283"/>
      </w:pP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為替取引の分析上は最も不利な書き方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です。既存債務がない＝弁済受領構成に乗らない、と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規約自らが宣言している形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になっているからです。」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そのうえで、次の再構成を勧められました。</w:t>
      </w:r>
    </w:p>
    <w:p>
      <w:pPr>
        <w:pBdr>
          <w:left w:val="single" w:color="B9B2A6" w:sz="12" w:space="6"/>
        </w:pBdr>
        <w:spacing w:after="40" w:before="140" w:line="290"/>
        <w:ind w:left="283"/>
      </w:pPr>
      <w:r>
        <w:rPr>
          <w:rFonts w:ascii="Yu Mincho" w:eastAsia="Yu Mincho" w:hAnsi="Yu Mincho"/>
          <w:color w:val="1A1A1A"/>
          <w:sz w:val="20"/>
          <w:szCs w:val="20"/>
        </w:rPr>
        <w:t xml:space="preserve">ギフトを「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完了した役務の提供を前提とする、任意の追加対価（謝礼）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」と性質決定し直す。飲食店のチップと同じく、額と実施は任意だが、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原因関係は役務提供契約にある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給付、という構成です。</w:t>
      </w:r>
    </w:p>
    <w:p>
      <w:pPr>
        <w:pBdr>
          <w:left w:val="single" w:color="B9B2A6" w:sz="12" w:space="6"/>
        </w:pBdr>
        <w:spacing w:after="40" w:before="40" w:line="290"/>
        <w:ind w:left="283"/>
      </w:pPr>
      <w:r>
        <w:rPr>
          <w:rFonts w:ascii="Yu Mincho" w:eastAsia="Yu Mincho" w:hAnsi="Yu Mincho"/>
          <w:color w:val="1A1A1A"/>
          <w:sz w:val="20"/>
          <w:szCs w:val="20"/>
        </w:rPr>
        <w:t xml:space="preserve">- ギフト実行の意思表示により、ゲストのピタメイトに対する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追加対価の支払債務がその時点で発生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し、当社は第8条4項の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受領権限授与構成の延長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でその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弁済を受領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する</w:t>
      </w:r>
    </w:p>
    <w:p>
      <w:pPr>
        <w:pBdr>
          <w:left w:val="single" w:color="B9B2A6" w:sz="12" w:space="6"/>
        </w:pBdr>
        <w:spacing w:after="140" w:before="40" w:line="290"/>
        <w:ind w:left="283"/>
      </w:pPr>
      <w:r>
        <w:rPr>
          <w:rFonts w:ascii="Yu Mincho" w:eastAsia="Yu Mincho" w:hAnsi="Yu Mincho"/>
          <w:color w:val="1A1A1A"/>
          <w:sz w:val="20"/>
          <w:szCs w:val="20"/>
        </w:rPr>
        <w:t xml:space="preserve">- 予約対価とギフトが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同一の法律構成に統一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され、「ギフトだけ既存債務がない」という弱点が消える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2-2. 弁護士自身が付けた条件</w:t>
      </w:r>
    </w:p>
    <w:p>
      <w:pPr>
        <w:pBdr>
          <w:left w:val="single" w:color="B9B2A6" w:sz="12" w:space="6"/>
        </w:pBdr>
        <w:spacing w:after="140" w:before="140" w:line="290"/>
        <w:ind w:left="283"/>
      </w:pPr>
      <w:r>
        <w:rPr>
          <w:rFonts w:ascii="Yu Mincho" w:eastAsia="Yu Mincho" w:hAnsi="Yu Mincho"/>
          <w:color w:val="1A1A1A"/>
          <w:sz w:val="20"/>
          <w:szCs w:val="20"/>
        </w:rPr>
        <w:t xml:space="preserve">⚠️ 第1項の「役務の対価ではなく」を改める場合、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税務側の整理（源泉徴収）と衝突しないか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の確認が必要です。所得税法204条1項6号の該当性は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業態で決まり、対価性の有無で決まるものではない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ため、追加対価構成に改めても2-4の整理は維持できるはずですが、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この点は弁護士・税理士の双方に明示的に確認してください。</w:t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この条件があるため、財務局への事前照会に進む前に、先生にお伺いしています。</w:t>
      </w:r>
    </w:p>
    <w:p>
      <w:pPr>
        <w:pBdr>
          <w:bottom w:val="single" w:color="B9B2A6" w:sz="4" w:space="2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3. 当方が調べて分かったこと — </w:t>
      </w: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規約と実装が既にずれています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ここが今回の照会で一番お伝えしたい点です。</w:t>
      </w:r>
    </w:p>
    <w:p>
      <w:pPr>
        <w:keepNext/>
        <w:spacing w:after="100" w:before="24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3-1. 経緯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2026-08-04の回答（別の先生）で、ギフトを次の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二本の独立した債権債務関係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に分解する構成に書き換えていました。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ゲスト → 当社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: コインの消費・消滅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当社 → ピタメイト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: 当社が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自己の債務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として報酬コインを付与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この構成のもとでは、会計処理は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総額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になります。実際、同回答は機能を出す判断の分かれ目の1つとして、次を挙げていました。</w:t>
      </w:r>
    </w:p>
    <w:p>
      <w:pPr>
        <w:pBdr>
          <w:left w:val="single" w:color="B9B2A6" w:sz="12" w:space="6"/>
        </w:pBdr>
        <w:spacing w:after="140" w:before="140" w:line="290"/>
        <w:ind w:left="283"/>
      </w:pPr>
      <w:r>
        <w:rPr>
          <w:rFonts w:ascii="Yu Mincho" w:eastAsia="Yu Mincho" w:hAnsi="Yu Mincho"/>
          <w:color w:val="1A1A1A"/>
          <w:sz w:val="20"/>
          <w:szCs w:val="20"/>
        </w:rPr>
        <w:t xml:space="preserve">「規約だけでなく画面表示・通知・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会計処理（ギフト収入を自社売上として計上し、報酬コイン付与を費用計上する処理）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まで一貫して実装できるか。」</w:t>
      </w:r>
    </w:p>
    <w:p>
      <w:pPr>
        <w:keepNext/>
        <w:spacing w:after="100" w:before="24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3-2. ところが、実装は純額のままです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当社の会計仕訳の実装（</w:t>
      </w:r>
      <w:r>
        <w:rPr>
          <w:rFonts w:ascii="Consolas" w:eastAsia="Yu Gothic" w:hAnsi="Consolas"/>
          <w:color w:val="1A1A1A"/>
          <w:sz w:val="19"/>
          <w:szCs w:val="19"/>
        </w:rPr>
        <w:t xml:space="preserve">accounting_journal()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）を確認したところ、ギフトは</w:t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予約とまったく同じ形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で処理されていました。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2352"/>
        <w:gridCol w:w="2352"/>
        <w:gridCol w:w="2355"/>
      </w:tblGrid>
      <w:tr>
        <w:trPr>
          <w:tblHeader/>
        </w:trPr>
        <w:tc>
          <w:tcPr>
            <w:tcW w:type="dxa" w:w="2352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仕訳</w:t>
            </w:r>
          </w:p>
        </w:tc>
        <w:tc>
          <w:tcPr>
            <w:tcW w:type="dxa" w:w="2352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借方</w:t>
            </w:r>
          </w:p>
        </w:tc>
        <w:tc>
          <w:tcPr>
            <w:tcW w:type="dxa" w:w="2352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貸方</w:t>
            </w:r>
          </w:p>
        </w:tc>
        <w:tc>
          <w:tcPr>
            <w:tcW w:type="dxa" w:w="2355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税区分</w:t>
            </w:r>
          </w:p>
        </w:tc>
      </w:tr>
      <w:tr>
        <w:trPr>
          <w:tblHeader w:val="false"/>
        </w:trPr>
        <w:tc>
          <w:tcPr>
            <w:tcW w:type="dxa" w:w="23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ギフト実行</w:t>
            </w:r>
          </w:p>
        </w:tc>
        <w:tc>
          <w:tcPr>
            <w:tcW w:type="dxa" w:w="23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前受金（コイン）</w:t>
            </w:r>
          </w:p>
        </w:tc>
        <w:tc>
          <w:tcPr>
            <w:tcW w:type="dxa" w:w="23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預り金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（ピタメイト報酬）</w:t>
            </w:r>
          </w:p>
        </w:tc>
        <w:tc>
          <w:tcPr>
            <w:tcW w:type="dxa" w:w="235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不課税</w:t>
            </w:r>
          </w:p>
        </w:tc>
      </w:tr>
      <w:tr>
        <w:trPr>
          <w:tblHeader w:val="false"/>
        </w:trPr>
        <w:tc>
          <w:tcPr>
            <w:tcW w:type="dxa" w:w="23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利用料35%の控除</w:t>
            </w:r>
          </w:p>
        </w:tc>
        <w:tc>
          <w:tcPr>
            <w:tcW w:type="dxa" w:w="23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預り金（ピタメイト報酬）</w:t>
            </w:r>
          </w:p>
        </w:tc>
        <w:tc>
          <w:tcPr>
            <w:tcW w:type="dxa" w:w="23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売上高（PF利用料（ギフト））</w:t>
            </w:r>
          </w:p>
        </w:tc>
        <w:tc>
          <w:tcPr>
            <w:tcW w:type="dxa" w:w="235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課対売上込10%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ギフトの全額が当社の売上に立つ処理にはなっていません。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売上として計上しているのは利用料35%だけで、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収納代行型（純額）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です。</w:t>
      </w:r>
    </w:p>
    <w:p>
      <w:pPr>
        <w:keepNext/>
        <w:spacing w:after="100" w:before="240"/>
      </w:pPr>
      <w:r>
        <w:rPr>
          <w:rFonts w:ascii="Yu Gothic" w:eastAsia="Yu Gothic" w:hAnsi="Yu Gothic"/>
          <w:b/>
          <w:bCs/>
          <w:color w:val="1A1A1A"/>
          <w:sz w:val="21"/>
          <w:szCs w:val="21"/>
        </w:rPr>
        <w:t xml:space="preserve">3-3. したがって</w:t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08-05の再構成（追加対価＋受領権限）は、実装が既に行っている処理と一致します。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逆に言えば、08-04の構成（総額）のままだと、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規約と会計が食い違ったまま公開する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ことになっていました。書き換えは、法務上の要請であると同時に、この食い違いを解消するものでもあります。</w:t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ただし、どちらが税務上正しいかは、当方では判断できません。</w:t>
      </w:r>
    </w:p>
    <w:p>
      <w:pPr>
        <w:pBdr>
          <w:bottom w:val="single" w:color="B9B2A6" w:sz="4" w:space="2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240" w:before="0"/>
        <w:jc w:val="center"/>
      </w:pPr>
      <w:r>
        <w:rPr>
          <w:rFonts w:ascii="Yu Gothic" w:eastAsia="Yu Gothic" w:hAnsi="Yu Gothic"/>
          <w:b/>
          <w:bCs/>
          <w:color w:val="1A1A1A"/>
          <w:sz w:val="34"/>
          <w:szCs w:val="34"/>
        </w:rPr>
        <w:t xml:space="preserve">第3部 ご照会事項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Q1. 源泉徴収（所得税法204条1項6号）★最重要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現在は「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6号非該当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（施設・フロアにおける遊興飲食のいずれも満たさない）」を主軸に置き、204条2項3号（施設の経営者以外の者からの支払）を第二の防御線とする、というご整理をいただいています（2026-07-30 ご回答 §1④）。換金開始前に所轄税務署へ事前照会する予定です。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(a)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ギフトの性質決定を「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贈与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」から「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役務の追加対価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」へ改めることは、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6号非該当の整理に影響しますか。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弁護士は「該当性は業態で決まり、対価性の有無で決まるものではないため維持できるはず」としていますが、税務側からも同じご判断でよろしいでしょうか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(b)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仮に将来6号該当と判断された場合、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ギフトは徴収対象額に含まれますか。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含まれるかどうかは、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構成（贈与か追加対価か）によって変わりますか。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当方の理解では、贈与構成でも「業務に関する報酬」に含まれる可能性はあり、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構成を変えても曝露は増えない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と考えていますが、ご確認をお願いします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(c)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事前照会（§3-5）の照会文には、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どちらの構成で書くべき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でしょうか。照会後に構成を変えると、照会の前提が崩れます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Q2. 純額か総額か ★実務上の影響が最も大きい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§3のとおり、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規約（08-04版）は総額を含意し、実装は純額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という状態です。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(a)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ギフトの利用料35%だけを課税売上とする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純額処理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でよろしいでしょうか。予約の対価（利用料12〜20%）と同じ扱いです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(b)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それとも、規約の構成いかんによっては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総額処理（ギフト全額を売上、ピタメイトへの付与を費用）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になり得ますか。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規約の文言が会計処理を決めるのか、取引の実態が決めるのか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、という点をお伺いしたいところです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(c)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(b)が「規約の文言も判断材料になる」であれば、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08-05の再構成は税務上も望ましい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ということになりますか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Q3. 課税売上高（免税点）への影響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Q2 と表裏の問題です。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(a)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総額処理となった場合、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ギフトの流通総額が課税売上高に算入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され、消費税の免税点（1,000万円）に早く到達することになりますか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(b)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純額処理であれば、算入されるのは利用料35%相当のみ、という理解でよろしいでしょうか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(c)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現在は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適格請求書発行事業者の登録を受けていません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が、この判断に影響しますか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Q4. 計上時期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予約の利用料は「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プレイ完了確定時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（権利確定主義・所法36条1項）」とご指導いただき、</w:t>
      </w:r>
      <w:r>
        <w:rPr>
          <w:rFonts w:ascii="Consolas" w:eastAsia="Yu Gothic" w:hAnsi="Consolas"/>
          <w:color w:val="1A1A1A"/>
          <w:sz w:val="19"/>
          <w:szCs w:val="19"/>
        </w:rPr>
        <w:t xml:space="preserve">0070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で完了確定ベースの集計を実装しています。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(a)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ギフトには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検収に当たる事象がありません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（完了した予約に対して、後から任意に行われるため）。この場合、利用料の計上時期は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ギフトの実行時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でよろしいでしょうか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(b)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期をまたぐ場合（12月にギフト、1月に換金）の扱いに、予約と異なる点はありますか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Q5. 帳簿・証憑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(a)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ギフトを「追加対価」と位置づけた場合、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ピタメイト側の収入区分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（事業所得か雑所得か）の判断に影響しますか。当社は判断しませんが、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年間の支払明細をピタメイトに交付する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予定なので、記載の仕方に影響があれば伺いたいところです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(b)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当社が保存すべき記録に、追加すべきものはありますか</w:t>
      </w:r>
    </w:p>
    <w:p>
      <w:pPr>
        <w:pBdr>
          <w:bottom w:val="single" w:color="B9B2A6" w:sz="4" w:space="2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240" w:before="0"/>
        <w:jc w:val="center"/>
      </w:pPr>
      <w:r>
        <w:rPr>
          <w:rFonts w:ascii="Yu Gothic" w:eastAsia="Yu Gothic" w:hAnsi="Yu Gothic"/>
          <w:b/>
          <w:bCs/>
          <w:color w:val="1A1A1A"/>
          <w:sz w:val="34"/>
          <w:szCs w:val="34"/>
        </w:rPr>
        <w:t xml:space="preserve">第4部 参考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4-1. 弁護士が「分析メモで強調すべき」とした2点（税務にも関係します）</w:t>
      </w:r>
    </w:p>
    <w:p>
      <w:pPr>
        <w:pBdr>
          <w:left w:val="single" w:color="B9B2A6" w:sz="12" w:space="6"/>
        </w:pBdr>
        <w:spacing w:after="40" w:before="140" w:line="290"/>
        <w:ind w:left="283"/>
      </w:pPr>
      <w:r>
        <w:rPr>
          <w:rFonts w:ascii="Yu Mincho" w:eastAsia="Yu Mincho" w:hAnsi="Yu Mincho"/>
          <w:color w:val="1A1A1A"/>
          <w:sz w:val="20"/>
          <w:szCs w:val="20"/>
        </w:rPr>
        <w:t xml:space="preserve">- 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受領者は受け取った価値を再移転できない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（報酬コインは換金のみ・譲渡不可・支払充当不可）。資金移動の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連鎖が構造的に不可能</w:t>
      </w:r>
    </w:p>
    <w:p>
      <w:pPr>
        <w:pBdr>
          <w:left w:val="single" w:color="B9B2A6" w:sz="12" w:space="6"/>
        </w:pBdr>
        <w:spacing w:after="140" w:before="40" w:line="290"/>
        <w:ind w:left="283"/>
      </w:pPr>
      <w:r>
        <w:rPr>
          <w:rFonts w:ascii="Yu Mincho" w:eastAsia="Yu Mincho" w:hAnsi="Yu Mincho"/>
          <w:color w:val="1A1A1A"/>
          <w:sz w:val="20"/>
          <w:szCs w:val="20"/>
        </w:rPr>
        <w:t xml:space="preserve">- 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相手方が「現に役務を提供した本人確認済みの相手」に限定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され、不特定者間の資金移動の外形がない</w:t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4-2. 併せて実装する予定の制限（同回答 論点B(b)）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3"/>
        <w:gridCol w:w="5458"/>
      </w:tblGrid>
      <w:tr>
        <w:trPr>
          <w:tblHeader/>
        </w:trPr>
        <w:tc>
          <w:tcPr>
            <w:tcW w:type="dxa" w:w="3953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制限</w:t>
            </w:r>
          </w:p>
        </w:tc>
        <w:tc>
          <w:tcPr>
            <w:tcW w:type="dxa" w:w="5458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ギフト可能期間の限定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「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完了から30日以内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」等の具体的数値で確定する。時間的限定は「役務との牽連性」の実質を裏付ける最良の材料</w:t>
            </w:r>
          </w:p>
        </w:tc>
      </w:tr>
      <w:tr>
        <w:trPr>
          <w:tblHeader w:val="false"/>
        </w:trPr>
        <w:tc>
          <w:tcPr>
            <w:tcW w:type="dxa" w:w="39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月次モニタリング</w:t>
            </w:r>
          </w:p>
        </w:tc>
        <w:tc>
          <w:tcPr>
            <w:tcW w:type="dxa" w:w="545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ギフト流通総額／予約対価総額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の比率を記録し、ギフトが従たる地位に留まることを事後的に立証できるように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keepNext/>
        <w:pBdr>
          <w:bottom w:val="single" w:color="B9B2A6" w:sz="6" w:space="4"/>
        </w:pBdr>
        <w:spacing w:after="140" w:before="320"/>
      </w:pPr>
      <w:r>
        <w:rPr>
          <w:rFonts w:ascii="Yu Gothic" w:eastAsia="Yu Gothic" w:hAnsi="Yu Gothic"/>
          <w:b/>
          <w:bCs/>
          <w:color w:val="1A1A1A"/>
          <w:sz w:val="24"/>
          <w:szCs w:val="24"/>
        </w:rPr>
        <w:t xml:space="preserve">4-3. 判断の分かれ目（当方の方針）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弁護士は、次のいずれかに該当したら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ギフト機能なしでローンチする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ことを勧めています。当方もその方針です。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1. 追加対価構成への統一が、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税務側の整理と両立しないことが判明した場合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← 本照会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2. 財務局照会で否定的な感触を得た場合</w:t>
      </w:r>
    </w:p>
    <w:p>
      <w:pPr>
        <w:spacing w:after="60" w:before="60" w:line="300"/>
        <w:ind w:left="396" w:hanging="39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3. ローンチ期限との関係で確認が間に合わない場合</w:t>
      </w:r>
    </w:p>
    <w:p>
      <w:pPr>
        <w:pBdr>
          <w:left w:val="single" w:color="B9B2A6" w:sz="12" w:space="6"/>
        </w:pBdr>
        <w:spacing w:after="140" w:before="140" w:line="290"/>
        <w:ind w:left="283"/>
      </w:pPr>
      <w:r>
        <w:rPr>
          <w:rFonts w:ascii="Yu Mincho" w:eastAsia="Yu Mincho" w:hAnsi="Yu Mincho"/>
          <w:color w:val="1A1A1A"/>
          <w:sz w:val="20"/>
          <w:szCs w:val="20"/>
        </w:rPr>
        <w:t xml:space="preserve">「ギフトは主たる収益源でない以上、『後から追加』は容易ですが『後から撤去』は既得の利用者利益との衝突を生みます。</w:t>
      </w:r>
      <w:r>
        <w:rPr>
          <w:rFonts w:ascii="Yu Mincho" w:eastAsia="Yu Mincho" w:hAnsi="Yu Mincho"/>
          <w:b/>
          <w:bCs/>
          <w:color w:val="1A1A1A"/>
          <w:sz w:val="20"/>
          <w:szCs w:val="20"/>
        </w:rPr>
        <w:t xml:space="preserve">疑義を残したままのローンチはこの機能に関しては避けるべきです。</w:t>
      </w:r>
      <w:r>
        <w:rPr>
          <w:rFonts w:ascii="Yu Mincho" w:eastAsia="Yu Mincho" w:hAnsi="Yu Mincho"/>
          <w:color w:val="1A1A1A"/>
          <w:sz w:val="20"/>
          <w:szCs w:val="20"/>
        </w:rPr>
        <w:t xml:space="preserve">」</w:t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したがって、「両立しない」というご回答であれば、それはそれで結構です。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機能を外して公開し、整理がついてから足します。</w:t>
      </w:r>
    </w:p>
    <w:p>
      <w:pPr>
        <w:pBdr>
          <w:bottom w:val="single" w:color="B9B2A6" w:sz="4" w:space="2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240" w:before="0"/>
        <w:jc w:val="center"/>
      </w:pPr>
      <w:r>
        <w:rPr>
          <w:rFonts w:ascii="Yu Gothic" w:eastAsia="Yu Gothic" w:hAnsi="Yu Gothic"/>
          <w:b/>
          <w:bCs/>
          <w:color w:val="1A1A1A"/>
          <w:sz w:val="34"/>
          <w:szCs w:val="34"/>
        </w:rPr>
        <w:t xml:space="preserve">第5部 弁護士にも同送する理由</w:t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2人の弁護士の見解が、この点について分かれているように見えるためです。</w:t>
      </w:r>
    </w:p>
    <w:tbl>
      <w:tblPr>
        <w:tblW w:type="dxa" w:w="94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08-04の回答</w:t>
            </w:r>
          </w:p>
        </w:tc>
        <w:tc>
          <w:tcPr>
            <w:tcW w:type="dxa" w:w="3137"/>
            <w:shd w:fill="F2EFE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color w:val="1A1A1A"/>
                <w:sz w:val="19"/>
                <w:szCs w:val="19"/>
              </w:rPr>
              <w:t xml:space="preserve">08-05の回答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ギフトの構成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ゲスト→当社（消費・消滅）／当社→ピタメイト（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自己の債務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の履行）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ゲスト→ピタメイト（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追加対価の債務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が発生）／当社は</w:t>
            </w: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受領権限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に基づき収納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含意する会計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総額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（ギフト収入を自社売上、報酬付与を費用）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純額</w:t>
            </w: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（利用料35%のみが売上）</w:t>
            </w:r>
          </w:p>
        </w:tc>
      </w:tr>
      <w:tr>
        <w:trPr>
          <w:tblHeader w:val="false"/>
        </w:trPr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予約との関係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color w:val="1A1A1A"/>
                <w:sz w:val="19"/>
                <w:szCs w:val="19"/>
              </w:rPr>
              <w:t xml:space="preserve">ギフトだけ別建て</w:t>
            </w:r>
          </w:p>
        </w:tc>
        <w:tc>
          <w:tcPr>
            <w:tcW w:type="dxa" w:w="313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Yu Mincho" w:eastAsia="Yu Mincho" w:hAnsi="Yu Mincho"/>
                <w:b/>
                <w:bCs/>
                <w:color w:val="1A1A1A"/>
                <w:sz w:val="19"/>
                <w:szCs w:val="19"/>
              </w:rPr>
              <w:t xml:space="preserve">予約と統一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どちらも「為替取引に当たらない」という結論に向かうための構成ですが、</w:t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税務上の帰結が異なります。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 当方としては、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・実装が既に純額であること</w:t>
      </w:r>
    </w:p>
    <w:p>
      <w:pPr>
        <w:spacing w:after="60" w:before="60" w:line="300"/>
        <w:ind w:left="340" w:hanging="226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・予約と統一されるほうが説明が一本化されること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から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08-05の構成（追加対価）が望ましい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と考えていますが、</w:t>
      </w:r>
    </w:p>
    <w:p>
      <w:pPr>
        <w:spacing w:after="60" w:before="60" w:line="300"/>
      </w:pP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税務上の帰結を確認してから決めたい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、というのが本照会の趣旨です。</w:t>
      </w:r>
    </w:p>
    <w:p>
      <w:pPr>
        <w:spacing w:after="60" w:before="60" w:line="300"/>
      </w:pPr>
      <w:r>
        <w:rPr>
          <w:rFonts w:ascii="Yu Mincho" w:eastAsia="Yu Mincho" w:hAnsi="Yu Mincho"/>
          <w:color w:val="1A1A1A"/>
          <w:sz w:val="21"/>
          <w:szCs w:val="21"/>
        </w:rPr>
        <w:t xml:space="preserve">ご回答は、</w:t>
      </w:r>
      <w:r>
        <w:rPr>
          <w:rFonts w:ascii="Yu Mincho" w:eastAsia="Yu Mincho" w:hAnsi="Yu Mincho"/>
          <w:b/>
          <w:bCs/>
          <w:color w:val="1A1A1A"/>
          <w:sz w:val="21"/>
          <w:szCs w:val="21"/>
        </w:rPr>
        <w:t xml:space="preserve">Q1・Q2 だけでも先にいただけると助かります</w:t>
      </w:r>
      <w:r>
        <w:rPr>
          <w:rFonts w:ascii="Yu Mincho" w:eastAsia="Yu Mincho" w:hAnsi="Yu Mincho"/>
          <w:color w:val="1A1A1A"/>
          <w:sz w:val="21"/>
          <w:szCs w:val="21"/>
        </w:rPr>
        <w:t xml:space="preserve">（この2つで方針が決まります）。</w:t>
      </w:r>
    </w:p>
    <w:sectPr>
      <w:headerReference w:type="default" r:id="rId7"/>
      <w:footerReference w:type="default" r:id="rId8"/>
      <w:pgSz w:w="11906" w:h="16838" w:orient="portrait"/>
      <w:pgMar w:top="1133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4A4A4A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B2A6" w:sz="4" w:space="3"/>
      </w:pBdr>
      <w:spacing w:after="80"/>
      <w:jc w:val="right"/>
    </w:pPr>
    <w:r>
      <w:rPr>
        <w:rFonts w:ascii="Yu Gothic" w:eastAsia="Yu Gothic" w:hAnsi="Yu Gothic"/>
        <w:color w:val="4A4A4A"/>
        <w:sz w:val="16"/>
        <w:szCs w:val="16"/>
      </w:rPr>
      <w:t xml:space="preserve">ご照会（ギフトの法的構成の変更と税務への影響）— ピタフレ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ご照会（ギフトの法的構成の変更と税務への影響）— ピタフレ</dc:title>
  <dc:creator>Type&amp;Co</dc:creator>
  <cp:lastModifiedBy>Un-named</cp:lastModifiedBy>
  <cp:revision>1</cp:revision>
  <dcterms:created xsi:type="dcterms:W3CDTF">2026-08-05T21:09:06.724Z</dcterms:created>
  <dcterms:modified xsi:type="dcterms:W3CDTF">2026-08-05T21:09:06.735Z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