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保有する報酬コインの全額を一括して申請することができます（換金事務手数料は同項のとおり控除します）。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 当社は、利用停止等の通知において、換金の申請ができる期間および方法を併せて通知します。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利用停止等の時点で保有する購入コインは、消滅し、返金しません。</w:t>
      </w:r>
      <w:r>
        <w:rPr>
          <w:rFonts w:ascii="Yu Mincho" w:eastAsia="Yu Mincho" w:hAnsi="Yu Mincho"/>
          <w:color w:val="1A1A1A"/>
          <w:sz w:val="21"/>
          <w:szCs w:val="21"/>
        </w:rPr>
        <w:t xml:space="preserve"> ただし、利用停止等の原因が当社の責めに帰すべき事由による場合、または法令上返金が必要な場合は、この限りではありません。</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2026-08-04T02:42:51.811Z</dcterms:created>
  <dcterms:modified xsi:type="dcterms:W3CDTF">2026-08-04T02:42:51.811Z</dcterms:modified>
</cp:coreProperties>
</file>

<file path=docProps/custom.xml><?xml version="1.0" encoding="utf-8"?>
<Properties xmlns="http://schemas.openxmlformats.org/officeDocument/2006/custom-properties" xmlns:vt="http://schemas.openxmlformats.org/officeDocument/2006/docPropsVTypes"/>
</file>