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Yu Gothic" w:eastAsia="Yu Gothic" w:hAnsi="Yu Gothic"/>
          <w:b/>
          <w:bCs/>
          <w:color w:val="1A1A1A"/>
          <w:sz w:val="34"/>
          <w:szCs w:val="34"/>
        </w:rPr>
        <w:t xml:space="preserve">資金決済法に基づく表示（前払式支払手段）</w:t>
      </w:r>
    </w:p>
    <w:p>
      <w:pPr>
        <w:pBdr>
          <w:left w:val="single" w:color="B9B2A6" w:sz="12" w:space="6"/>
        </w:pBdr>
        <w:spacing w:after="140" w:before="140" w:line="290"/>
        <w:ind w:left="283"/>
      </w:pP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重要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: 本表示は弁護士レビュー</w:t>
      </w: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前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のドラフトです。</w:t>
      </w:r>
      <w:r>
        <w:rPr>
          <w:rFonts w:ascii="Consolas" w:eastAsia="Yu Gothic" w:hAnsi="Consolas"/>
          <w:color w:val="1A1A1A"/>
          <w:sz w:val="18"/>
          <w:szCs w:val="18"/>
        </w:rPr>
        <w:t xml:space="preserve">【　】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 は確定が必要な項目です。本文末尾の注記は</w:t>
      </w: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画面にもそのまま表示されます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（他の書類と違い、前付けではなく本文の一部です）。編集するときは表示側も変わることに注意してください。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作成日: 2026-07-15</w:t>
      </w:r>
    </w:p>
    <w:p>
      <w:pPr>
        <w:pBdr>
          <w:bottom w:val="single" w:color="B9B2A6" w:sz="4" w:space="2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「コイン」は、本サービス内でのみ利用できる前払式支払手段（自家型）です。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3"/>
        <w:gridCol w:w="5458"/>
      </w:tblGrid>
      <w:tr>
        <w:trPr>
          <w:tblHeader/>
        </w:trPr>
        <w:tc>
          <w:tcPr>
            <w:tcW w:type="dxa" w:w="3953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項目</w:t>
            </w:r>
          </w:p>
        </w:tc>
        <w:tc>
          <w:tcPr>
            <w:tcW w:type="dxa" w:w="5458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発行者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下山 慧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支払可能金額等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各コインパックの購入画面に表示する金額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有効期限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取得日から起算して6か月を経過する日の前日まで</w:t>
            </w: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（取得日から6か月未満）。期限を過ぎたコインは失効します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利用可能範囲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本サービス内でのピタメイト予約その他当社が定める用途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利用上の注意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コインは日本円その他の金銭への払い戻し・換金・出金はできません。第三者への譲渡・売買もできません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未使用残高の確認方法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アプリ内「コインウォレット」で残高・有効期限を確認できます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苦情・相談窓口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sunny.rainy1115@gmail.com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Bdr>
          <w:left w:val="single" w:color="B9B2A6" w:sz="12" w:space="6"/>
        </w:pBdr>
        <w:spacing w:after="140" w:before="140" w:line="290"/>
        <w:ind w:left="283"/>
      </w:pPr>
      <w:r>
        <w:rPr>
          <w:rFonts w:ascii="Yu Mincho" w:eastAsia="Yu Mincho" w:hAnsi="Yu Mincho"/>
          <w:color w:val="1A1A1A"/>
          <w:sz w:val="20"/>
          <w:szCs w:val="20"/>
        </w:rPr>
        <w:t xml:space="preserve">これは施行前のドラフトです。当社は、コインの有効期限を「発行の日から6か月未満」に設定しており、資金決済法上の適用除外（同法第4条第2号）に該当することを前提としています。この場合、届出・供託・法定の表示義務は生じない整理となりますが、本表示は利用者への情報提供として掲載します。最終的な整理・文言は弁護士の確認を経て確定します。</w:t>
      </w:r>
    </w:p>
    <w:sectPr>
      <w:headerReference w:type="default" r:id="rId7"/>
      <w:footerReference w:type="default" r:id="rId8"/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eastAsia="Yu Gothic" w:hAnsi="Yu Gothic"/>
        <w:color w:val="4A4A4A"/>
        <w:sz w:val="16"/>
        <w:szCs w:val="16"/>
      </w:rPr>
      <w:t xml:space="preserve">—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B2A6" w:sz="4" w:space="3"/>
      </w:pBdr>
      <w:spacing w:after="80"/>
      <w:jc w:val="right"/>
    </w:pPr>
    <w:r>
      <w:rPr>
        <w:rFonts w:ascii="Yu Gothic" w:eastAsia="Yu Gothic" w:hAnsi="Yu Gothic"/>
        <w:color w:val="4A4A4A"/>
        <w:sz w:val="16"/>
        <w:szCs w:val="16"/>
      </w:rPr>
      <w:t xml:space="preserve">資金決済法に基づく表示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資金決済法に基づく表示</dc:title>
  <dc:creator>Type&amp;Co</dc:creator>
  <cp:lastModifiedBy>Un-named</cp:lastModifiedBy>
  <cp:revision>1</cp:revision>
  <dcterms:created xsi:type="dcterms:W3CDTF">2026-08-04T00:54:16.061Z</dcterms:created>
  <dcterms:modified xsi:type="dcterms:W3CDTF">2026-08-04T00:54:16.061Z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