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 w:eastAsia="Arial Unicode MS"/>
          <w:b/>
          <w:color w:val="0B2545"/>
          <w:sz w:val="46"/>
        </w:rPr>
        <w:t>Anole Loan 巴基斯坦借贷业务后台 PRD（功能对齐版）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版本：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V2.0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更新日期：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2026-07-24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产品：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Anole Loan 内部运营后台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对齐基线：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当前后台交互原型 `index.html`、业务 SQL `zariya_loan.sql`、用户与借款数据说明、Munsalik 一期页面方案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文档状态：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当前功能基线，可用于产品评审、接口设计与验收拆分</w:t>
      </w:r>
    </w:p>
    <w:p>
      <w:pPr>
        <w:spacing w:before="120" w:after="200"/>
        <w:ind w:left="288" w:right="288"/>
        <w:shd w:fill="F4F6F9"/>
      </w:pPr>
      <w:r>
        <w:rPr>
          <w:rFonts w:ascii="Calibri" w:hAnsi="Calibri" w:eastAsia="Arial Unicode MS"/>
          <w:sz w:val="20"/>
        </w:rPr>
        <w:t>本文描述当前后台原型已经呈现的页面、字段和操作。原型中的操作目前为前端模拟交互，不代表后端接口、数据持久化、权限拦截和审计链路已经完成。未在当前界面提供的能力统一列入“待实现”，不再写成现有功能。</w:t>
      </w:r>
    </w:p>
    <w:p>
      <w:pPr>
        <w:pStyle w:val="Heading1"/>
      </w:pPr>
      <w:r>
        <w:t>1. 建设目标与范围</w:t>
      </w:r>
    </w:p>
    <w:p>
      <w:r>
        <w:rPr>
          <w:rFonts w:ascii="Calibri" w:hAnsi="Calibri" w:eastAsia="Arial Unicode MS"/>
          <w:sz w:val="21"/>
        </w:rPr>
        <w:t>后台用于支撑巴基斯坦现金借贷业务的客户查询、授信审核、借款管理、账单与还款查询、逾期及催收处理、财务对账、优惠券运营、业务配置和系统权限管理。</w:t>
      </w:r>
    </w:p>
    <w:p>
      <w:r>
        <w:rPr>
          <w:rFonts w:ascii="Calibri" w:hAnsi="Calibri" w:eastAsia="Arial Unicode MS"/>
          <w:sz w:val="21"/>
        </w:rPr>
        <w:t>当前原型覆盖以下一级模块：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仪表盘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业务管理：客户、借款申请、借款借据、还款计划、放款记录、还款订单、逾期、催收、优惠券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财务与运营：费用调整、账务流水、Munsalik 对账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业务配置：资金产品、支付机构、金额期数规则、App 资源位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系统管理：管理员、角色、权限、审计日志</w:t>
      </w:r>
    </w:p>
    <w:p>
      <w:r>
        <w:rPr>
          <w:rFonts w:ascii="Calibri" w:hAnsi="Calibri" w:eastAsia="Arial Unicode MS"/>
          <w:sz w:val="21"/>
        </w:rPr>
        <w:t>不在当前基线内：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独立的授信审核菜单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独立的账单金额明细菜单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独立的费用变更记录菜单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独立的还款分配菜单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独立的提前结清菜单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页面内直接销账、冲正、补账、退款或修改对账业务数据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对账文件手工上传及邮件隔离区处置</w:t>
      </w:r>
    </w:p>
    <w:p>
      <w:pPr>
        <w:pStyle w:val="Heading1"/>
      </w:pPr>
      <w:r>
        <w:t>2. 功能状态说明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Arial Unicode MS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含义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原型已覆盖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当前 `index.html` 已有页面、字段或可操作交互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待后端接入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前端已有模拟交互，仍需真实接口、持久化、权限和审计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待实现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原型没有对应入口或操作，不作为当前已完成功能</w:t>
            </w:r>
          </w:p>
        </w:tc>
      </w:tr>
    </w:tbl>
    <w:p>
      <w:pPr>
        <w:spacing w:after="20"/>
      </w:pPr>
    </w:p>
    <w:p>
      <w:r>
        <w:rPr>
          <w:rFonts w:ascii="Calibri" w:hAnsi="Calibri" w:eastAsia="Arial Unicode MS"/>
          <w:sz w:val="21"/>
        </w:rPr>
        <w:t>当前交付整体状态为“原型已覆盖、待后端接入”。</w:t>
      </w:r>
    </w:p>
    <w:p>
      <w:pPr>
        <w:pStyle w:val="Heading1"/>
      </w:pPr>
      <w:r>
        <w:t>3. 角色与数据权限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100"/>
        <w:gridCol w:w="54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Arial Unicode MS"/>
                <w:b/>
                <w:color w:val="1F4D78"/>
                <w:sz w:val="18"/>
              </w:rPr>
              <w:t>角色编码</w:t>
            </w:r>
          </w:p>
        </w:tc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Arial Unicode MS"/>
                <w:b/>
                <w:color w:val="1F4D78"/>
                <w:sz w:val="18"/>
              </w:rPr>
              <w:t>角色名称</w:t>
            </w:r>
          </w:p>
        </w:tc>
        <w:tc>
          <w:tcPr>
            <w:tcW w:type="dxa" w:w="5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Arial Unicode MS"/>
                <w:b/>
                <w:color w:val="1F4D78"/>
                <w:sz w:val="18"/>
              </w:rPr>
              <w:t>主要职责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SUPER_ADMIN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超级管理员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全部菜单、配置及系统管理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RISK_REVIEWER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风控审核员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客户资料、授信审核、借款审核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CUSTOMER_SERVICE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客服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客户与订单查询、基础客户操作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COLLECTION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催收员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催收任务、跟进记录、承诺还款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FINANCE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财务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费用调整、账务流水、对账处理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OPERATIONS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运营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优惠券、产品规则、App 资源位</w:t>
            </w:r>
          </w:p>
        </w:tc>
      </w:tr>
    </w:tbl>
    <w:p>
      <w:pPr>
        <w:spacing w:after="20"/>
      </w:pPr>
    </w:p>
    <w:p>
      <w:r>
        <w:rPr>
          <w:rFonts w:ascii="Calibri" w:hAnsi="Calibri" w:eastAsia="Arial Unicode MS"/>
          <w:sz w:val="21"/>
        </w:rPr>
        <w:t>权限采用“菜单 + 操作”两层控制。当前原型已具备管理员、角色、权限树及分配权限的交互，但业务页面按钮尚未全部根据权限动态显隐；后端必须对所有敏感操作再次鉴权。</w:t>
      </w:r>
    </w:p>
    <w:p>
      <w:r>
        <w:rPr>
          <w:rFonts w:ascii="Calibri" w:hAnsi="Calibri" w:eastAsia="Arial Unicode MS"/>
          <w:sz w:val="21"/>
        </w:rPr>
        <w:t>敏感字段包括手机号、证件号、联系人手机号和钱包账号。客户详情提供“显示敏感信息”交互；默认值必须脱敏，查看完整值需要独立权限并记录审计。</w:t>
      </w:r>
    </w:p>
    <w:p>
      <w:pPr>
        <w:pStyle w:val="Heading1"/>
      </w:pPr>
      <w:r>
        <w:t>4. 信息架构</w:t>
      </w:r>
    </w:p>
    <w:p>
      <w:pPr>
        <w:spacing w:before="80" w:after="160"/>
        <w:ind w:left="288" w:right="288"/>
        <w:shd w:fill="F2F4F7"/>
      </w:pPr>
      <w:r>
        <w:rPr>
          <w:rFonts w:ascii="Menlo" w:hAnsi="Menlo" w:eastAsia="Arial Unicode MS"/>
          <w:color w:val="1F4D78"/>
          <w:sz w:val="17"/>
        </w:rPr>
        <w:t>仪表盘</w:t>
        <w:br/>
        <w:br/>
        <w:t>业务管理</w:t>
        <w:br/>
        <w:t>├── 客户</w:t>
        <w:br/>
        <w:t>├── 借款申请</w:t>
        <w:br/>
        <w:t>├── 借款借据</w:t>
        <w:br/>
        <w:t>├── 还款计划</w:t>
        <w:br/>
        <w:t>├── 放款记录</w:t>
        <w:br/>
        <w:t>├── 还款订单</w:t>
        <w:br/>
        <w:t>├── 逾期管理</w:t>
        <w:br/>
        <w:t>├── 催收管理</w:t>
        <w:br/>
        <w:t>└── 优惠券</w:t>
        <w:br/>
        <w:br/>
        <w:t>财务与运营</w:t>
        <w:br/>
        <w:t>├── 费用调整</w:t>
        <w:br/>
        <w:t>├── 账务流水</w:t>
        <w:br/>
        <w:t>└── Munsalik 对账</w:t>
        <w:br/>
        <w:br/>
        <w:t>业务配置</w:t>
        <w:br/>
        <w:t>├── 资金产品</w:t>
        <w:br/>
        <w:t>├── 支付机构</w:t>
        <w:br/>
        <w:t>├── 金额期数规则</w:t>
        <w:br/>
        <w:t>└── App 资源位</w:t>
        <w:br/>
        <w:br/>
        <w:t>系统管理</w:t>
        <w:br/>
        <w:t>├── 管理员用户</w:t>
        <w:br/>
        <w:t>├── 角色管理</w:t>
        <w:br/>
        <w:t>├── 权限管理</w:t>
        <w:br/>
        <w:t>└── 审计日志</w:t>
      </w:r>
    </w:p>
    <w:p>
      <w:pPr>
        <w:pStyle w:val="Heading1"/>
      </w:pPr>
      <w:r>
        <w:t>5. 功能需求</w:t>
      </w:r>
    </w:p>
    <w:p>
      <w:pPr>
        <w:pStyle w:val="Heading2"/>
      </w:pPr>
      <w:r>
        <w:t>5.1 仪表盘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当前展示指标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总客户数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在贷余额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逾期订单数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待审核授信数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在贷订单数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今日放款金额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今日还款金额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待审核费用调整数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按时还款率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逾期率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待处理对账数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口径要求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金额统一使用 PKR。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日期与自然日统计采用 PKT（UTC+5）。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当前为静态原型数据；接入后端时需为每个指标明确统计表、状态范围和刷新频率。</w:t>
      </w:r>
    </w:p>
    <w:p>
      <w:pPr>
        <w:pStyle w:val="Heading2"/>
      </w:pPr>
      <w:r>
        <w:t>5.2 客户管理与授信审核</w:t>
      </w:r>
    </w:p>
    <w:p>
      <w:pPr>
        <w:pStyle w:val="Heading3"/>
      </w:pPr>
      <w:r>
        <w:t>5.2.1 客户列表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客户 ID、姓名、手机号或证件号关键字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授信状态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黑名单状态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列表字段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客户 ID、姓名、手机号、证件号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授信状态、授信额度信息、钱包类型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黑名单状态、注册时间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操作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查看客户详情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加入或移出黑名单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对待审核客户执行授信通过、拒绝或转人工复核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显示或隐藏敏感字段</w:t>
      </w:r>
    </w:p>
    <w:p>
      <w:r>
        <w:rPr>
          <w:rFonts w:ascii="Calibri" w:hAnsi="Calibri" w:eastAsia="Arial Unicode MS"/>
          <w:sz w:val="21"/>
        </w:rPr>
        <w:t>当前没有独立“授信审核”菜单，授信审核入口合并在客户列表及客户详情。</w:t>
      </w:r>
    </w:p>
    <w:p>
      <w:pPr>
        <w:pStyle w:val="Heading3"/>
      </w:pPr>
      <w:r>
        <w:t>5.2.2 客户详情</w:t>
      </w:r>
    </w:p>
    <w:p>
      <w:r>
        <w:rPr>
          <w:rFonts w:ascii="Calibri" w:hAnsi="Calibri" w:eastAsia="Arial Unicode MS"/>
          <w:sz w:val="21"/>
        </w:rPr>
        <w:t>详情采用页签展示：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基础信息：客户 ID、姓名、手机号、证件号、城市、注册时间、授信汇总及黑名单状态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钱包账户：支付机构、脱敏账号、验证状态、验证时间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身份认证：证件材料、生日、性别、省市、地址等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紧急联系人：关系、姓名、手机号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授信申请历史：申请单号、提交时间、当前步骤、审核类型、审核结果、额度、有效期、拒绝原因和备注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授信变更记录：变更类型、金额、变更前后额度、关联单号、备注和时间</w:t>
      </w:r>
    </w:p>
    <w:p>
      <w:pPr>
        <w:pStyle w:val="Heading3"/>
      </w:pPr>
      <w:r>
        <w:t>5.2.3 授信审核规则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通过：更新授信审核结果及额度。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拒绝：拒绝原因必填。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转人工复核：记录人工复核状态。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所有操作必须写入后台审计日志；额度变化同步写入授信变更记录。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当前原型只模拟状态变更，真实持久化和并发控制待后端实现。</w:t>
      </w:r>
    </w:p>
    <w:p>
      <w:pPr>
        <w:pStyle w:val="Heading2"/>
      </w:pPr>
      <w:r>
        <w:t>5.3 借款申请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`loan_apply_record`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申请单号或客户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申请状态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是否快速审核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风控状态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主要字段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申请单号、客户 ID、产品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申请金额、提额券号及提额金额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分期期数、每期天数、总借款天数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日利率、日服务费率、日逾期费率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总利息、总服务费、理论应还、抹零金额、展示应还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前置验证状态、风控状态、申请状态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收款账户、放款状态、放款单号及放款时间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拒绝原因、审批时间、创建时间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操作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查看申请详情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审核通过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审核拒绝，拒绝原因必填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与当前原型的边界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当前页面没有独立“发起放款”按钮；放款执行由后端流程负责，页面通过放款状态和放款记录查看结果。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状态值与数据库数值映射由后端统一提供。</w:t>
      </w:r>
    </w:p>
    <w:p>
      <w:pPr>
        <w:pStyle w:val="Heading2"/>
      </w:pPr>
      <w:r>
        <w:t>5.4 借款借据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`loan_voucher`</w:t>
      </w:r>
    </w:p>
    <w:p>
      <w:r>
        <w:rPr>
          <w:rFonts w:ascii="Calibri" w:hAnsi="Calibri" w:eastAsia="Arial Unicode MS"/>
          <w:sz w:val="21"/>
        </w:rPr>
        <w:t>借据仅在放款成功后生成，不承担借款审批。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借据号、申请单号或客户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借据状态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列表字段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借据号、申请单号、放款单号、客户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借款次数、借款金额、期数与周期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借据状态、已还金额、剩余金额、结清类型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详情字段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产品及支付账户关联信息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借款金额、期限、费率、理论应还及抹零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冷静期、费用封顶、累计费用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已还本金/利息/服务费/逾期费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剩余本金/利息/服务费/逾期费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结清状态、跑批时间、创建和更新时间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操作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查看详情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查看合同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下载合同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打印合同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对符合条件的未结清借据打开提前结清入口</w:t>
      </w:r>
    </w:p>
    <w:p>
      <w:r>
        <w:rPr>
          <w:rFonts w:ascii="Calibri" w:hAnsi="Calibri" w:eastAsia="Arial Unicode MS"/>
          <w:sz w:val="21"/>
        </w:rPr>
        <w:t>提前结清不是独立菜单。当前操作只生成并展示提前结清号；结清金额计算、支付与状态落库应对接 `loan_early_settlement_record`。</w:t>
      </w:r>
    </w:p>
    <w:p>
      <w:pPr>
        <w:pStyle w:val="Heading2"/>
      </w:pPr>
      <w:r>
        <w:t>5.5 还款计划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`loan_voucher_bill`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账单号、借据号或客户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账单状态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是否逾期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列表字段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账单号、借据号、客户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期次、账期、账单状态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应还、已还、剩余金额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逾期天数、到期日、结清类型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详情页签</w:t>
      </w:r>
      <w:r>
        <w:rPr>
          <w:rFonts w:ascii="Calibri" w:hAnsi="Calibri" w:eastAsia="Arial Unicode MS"/>
          <w:b/>
          <w:sz w:val="21"/>
        </w:rPr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账单金额：本金、利息、服务费、逾期费的应付、已付和剩余金额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费用变更：费用类型、变更类型、来源、来源单号、变更前后金额、实付变化、减免金额、原因、操作人、备注和时间</w:t>
      </w:r>
    </w:p>
    <w:p>
      <w:r>
        <w:rPr>
          <w:rFonts w:ascii="Calibri" w:hAnsi="Calibri" w:eastAsia="Arial Unicode MS"/>
          <w:sz w:val="21"/>
        </w:rPr>
        <w:t>账单金额明细与费用变更记录均合并在账单详情，不设置独立菜单。费用变更来源使用 `loan_bill_fee_changelog`。</w:t>
      </w:r>
    </w:p>
    <w:p>
      <w:pPr>
        <w:pStyle w:val="Heading2"/>
      </w:pPr>
      <w:r>
        <w:t>5.6 放款记录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`loan_disbursement_record`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放款单号、申请单号、客户 ID 或渠道流水号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放款状态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放款渠道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列表字段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放款单号、申请单号、客户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申请金额、实际放款金额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渠道、支付账户 ID、渠道流水号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状态、成功时间、回调时间、失败原因、请求时间</w:t>
      </w:r>
    </w:p>
    <w:p>
      <w:r>
        <w:rPr>
          <w:rFonts w:ascii="Calibri" w:hAnsi="Calibri" w:eastAsia="Arial Unicode MS"/>
          <w:sz w:val="21"/>
        </w:rPr>
        <w:t>当前页面为只读列表，没有详情弹窗和失败重试操作。失败重试如需建设，应新增操作权限、重试原因、幂等控制及完整审计，不计入当前功能。</w:t>
      </w:r>
    </w:p>
    <w:p>
      <w:pPr>
        <w:pStyle w:val="Heading2"/>
      </w:pPr>
      <w:r>
        <w:t>5.7 还款订单与分配明细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`loan_repayment_order`、`loan_repayment_allocation`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还款单号、借据号或客户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还款状态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还款类型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列表字段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还款单号、借据号、客户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还款类型、实际还款金额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支付机构、支付流水号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状态、支付时间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详情页签</w:t>
      </w:r>
      <w:r>
        <w:rPr>
          <w:rFonts w:ascii="Calibri" w:hAnsi="Calibri" w:eastAsia="Arial Unicode MS"/>
          <w:b/>
          <w:sz w:val="21"/>
        </w:rPr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订单概要：剩余应还、券后应还、实际还款、优惠券、是否允许部分还款、状态和时间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支付信息：付款机构、付款人、付款账号、支付流水、回调时间、成功时间、失败原因和失效时间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费用分配：账单号、期次，以及本金、利息、服务费、逾期费和合计分配金额</w:t>
      </w:r>
    </w:p>
    <w:p>
      <w:r>
        <w:rPr>
          <w:rFonts w:ascii="Calibri" w:hAnsi="Calibri" w:eastAsia="Arial Unicode MS"/>
          <w:sz w:val="21"/>
        </w:rPr>
        <w:t>还款分配仅在还款订单详情中展示，不设置独立菜单。</w:t>
      </w:r>
    </w:p>
    <w:p>
      <w:pPr>
        <w:pStyle w:val="Heading2"/>
      </w:pPr>
      <w:r>
        <w:t>5.8 逾期管理</w:t>
      </w:r>
    </w:p>
    <w:p>
      <w:r>
        <w:rPr>
          <w:rFonts w:ascii="Calibri" w:hAnsi="Calibri" w:eastAsia="Arial Unicode MS"/>
          <w:sz w:val="21"/>
        </w:rPr>
        <w:t>页面包含两个页签：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逾期订单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每日逾期记录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逾期订单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查询：借据号或客户 ID、逾期天数分层、催收员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字段：借据号、客户 ID、逾期本金、逾期天数、逾期费、剩余应还、到期日、渠道、催收员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操作：查看借据详情、发送提醒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每日逾期记录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数据源：`loan_overdue_record`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字段：逾期记录号、借据号、账单号、客户 ID、期次、逾期日期、逾期天数、逾期费率、逾期本金、费用金额、原始费用、入账时间</w:t>
      </w:r>
    </w:p>
    <w:p>
      <w:r>
        <w:rPr>
          <w:rFonts w:ascii="Calibri" w:hAnsi="Calibri" w:eastAsia="Arial Unicode MS"/>
          <w:sz w:val="21"/>
        </w:rPr>
        <w:t>当前“发送提醒”为前端提示，短信、WhatsApp 或 Push 通道调用和发送结果记录待后端接入。</w:t>
      </w:r>
    </w:p>
    <w:p>
      <w:pPr>
        <w:pStyle w:val="Heading2"/>
      </w:pPr>
      <w:r>
        <w:t>5.9 催收管理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角色：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`COLLECTION`、`SUPER_ADMIN`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概览指标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催收任务数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今日跟进数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待履约承诺数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逾期 30 天以上任务数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催收任务页签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查询：借据号/客户 ID、逾期天数、催收员、最近跟进结果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字段：借据号、客户 ID、逾期天数、逾期金额、到期日、承诺还款日、最近结果、最近联系时间、催收员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操作：记录跟进、分配催收员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跟进记录页签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查询：借据号/客户 ID、联系结果、催收员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字段：跟进编号、借据号、客户 ID、联系时间、联系方式、结果、承诺日期、备注、催收员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操作：新增跟进；结果为“承诺还款”时填写承诺日期和金额并生成承诺记录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承诺还款页签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查询：借据号/客户 ID、履约状态、承诺日期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字段：承诺单号、借据号、客户 ID、承诺金额、承诺日期、状态、创建时间、催收员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操作：标记履约、标记违诺</w:t>
      </w:r>
    </w:p>
    <w:p>
      <w:r>
        <w:rPr>
          <w:rFonts w:ascii="Calibri" w:hAnsi="Calibri" w:eastAsia="Arial Unicode MS"/>
          <w:sz w:val="21"/>
        </w:rPr>
        <w:t>当前数据为前端模拟；正式实现需要催收任务、分配、跟进和承诺还款的数据模型及接口。</w:t>
      </w:r>
    </w:p>
    <w:p>
      <w:pPr>
        <w:pStyle w:val="Heading2"/>
      </w:pPr>
      <w:r>
        <w:t>5.10 优惠券</w:t>
      </w:r>
    </w:p>
    <w:p>
      <w:r>
        <w:rPr>
          <w:rFonts w:ascii="Calibri" w:hAnsi="Calibri" w:eastAsia="Arial Unicode MS"/>
          <w:sz w:val="21"/>
        </w:rPr>
        <w:t>页面包含四个页签：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提额券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还款优惠券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优惠券模板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使用记录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`loan_coupon_template`、`loan_coupon_instance`、`loan_coupon_log`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提额券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状态：`Unused`、`Locked`、`Used`、`Expired`、`Invalid`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操作：发券、对 `Unused` 券作废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提额金额仅参与一次借款额度校验，不修改永久授信额度，不冲减账单费用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券号使用 `LI` 前缀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还款优惠券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字段包括券金额、最低剩余本金、抵扣类型、适用还款类型、有效期和使用状态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操作：发券、作废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优惠券模板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当前原型提供模板列表展示。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模板新增、编辑或启停操作未在当前页面提供，属于待实现能力。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使用记录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展示锁定、使用、退回、过期和作废等过程记录。</w:t>
      </w:r>
    </w:p>
    <w:p>
      <w:pPr>
        <w:pStyle w:val="Heading2"/>
      </w:pPr>
      <w:r>
        <w:t>5.11 费用调整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`loan_fee_adjust`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调整单号或借据号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审核状态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费用类型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调整单号、借据号、账单号、客户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费用类型、调整类型、调整金额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调整前后金额、原因、申请人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审核状态、审核人、审核时间、创建时间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操作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创建费用调整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审核通过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审核拒绝</w:t>
      </w:r>
    </w:p>
    <w:p>
      <w:r>
        <w:rPr>
          <w:rFonts w:ascii="Calibri" w:hAnsi="Calibri" w:eastAsia="Arial Unicode MS"/>
          <w:sz w:val="21"/>
        </w:rPr>
        <w:t>审批通过后应更新账单金额并生成 `loan_bill_fee_changelog`。当前原型只模拟列表状态变化，事务一致性待后端实现。</w:t>
      </w:r>
    </w:p>
    <w:p>
      <w:pPr>
        <w:pStyle w:val="Heading2"/>
      </w:pPr>
      <w:r>
        <w:t>5.12 账务流水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流水号、借据号或业务单号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业务类型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收支方向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流水号、借据号、业务类型、业务单号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方向、金额、账户类型、账户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状态、交易时间</w:t>
      </w:r>
    </w:p>
    <w:p>
      <w:r>
        <w:rPr>
          <w:rFonts w:ascii="Calibri" w:hAnsi="Calibri" w:eastAsia="Arial Unicode MS"/>
          <w:sz w:val="21"/>
        </w:rPr>
        <w:t>当前页面为只读列表，没有详情和导出按钮。导出能力属于待实现，不计入当前功能。</w:t>
      </w:r>
    </w:p>
    <w:p>
      <w:pPr>
        <w:pStyle w:val="Heading2"/>
      </w:pPr>
      <w:r>
        <w:t>5.13 Munsalik 放款与还款对账</w:t>
      </w:r>
    </w:p>
    <w:p>
      <w:r>
        <w:rPr>
          <w:rFonts w:ascii="Calibri" w:hAnsi="Calibri" w:eastAsia="Arial Unicode MS"/>
          <w:sz w:val="21"/>
        </w:rPr>
        <w:t>一期目标是查看自动对账结果并进行轻量人工状态管理，不在页面内修改放款、还款或账务数据。</w:t>
      </w:r>
    </w:p>
    <w:p>
      <w:pPr>
        <w:pStyle w:val="Heading3"/>
      </w:pPr>
      <w:r>
        <w:t>5.13.1 主页面</w:t>
      </w:r>
    </w:p>
    <w:p>
      <w:r>
        <w:rPr>
          <w:rFonts w:ascii="Calibri" w:hAnsi="Calibri" w:eastAsia="Arial Unicode MS"/>
          <w:sz w:val="21"/>
        </w:rPr>
        <w:t>包含三个页签：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对账任务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邮件隔离区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对账审计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对账任务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查询：任务号、文件名、Message-ID、SHA-256、文件类型、来源、任务状态、收件日期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操作：重置筛选、导出当前结果、查看任务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字段：任务号、类型、覆盖日期、来源、发件人、收件时间、文件名、SHA-256、状态、总笔数、匹配数、差异数、待处理数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任务详情页签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任务概览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对账明细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差异明细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文件与邮件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操作记录</w:t>
      </w:r>
    </w:p>
    <w:p>
      <w:r>
        <w:rPr>
          <w:rFonts w:ascii="Calibri" w:hAnsi="Calibri" w:eastAsia="Arial Unicode MS"/>
          <w:sz w:val="21"/>
        </w:rPr>
        <w:t>差异仅支持在 `PROCESSING` 与 `HANDLED` 之间切换。`HANDLED` 表示人工核实流程结束，不等同于数据已修正或双方已一致。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邮件隔离区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展示隔离邮件来源、主题、Message-ID、附件数量、哈希和隔离原因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当前严格只读，不提供解除隔离、作废、重试或下载操作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对账审计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查询操作人、动作和关联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记录下载附件、导出、标记处理中、标记已处理和系统隔离等动作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一期边界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不按固定 T+1 展示或考核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不提供文件上传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不提供销账、冲正、补账、退款和调账审批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不提供规则或模板配置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原附件可在任务详情下载，下载需记录审计</w:t>
      </w:r>
    </w:p>
    <w:p>
      <w:pPr>
        <w:pStyle w:val="Heading2"/>
      </w:pPr>
      <w:r>
        <w:t>5.14 资金产品配置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`loan_product`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产品名称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适用用户类型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字段与配置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产品名称、币种、用户类型、风险等级、排序、状态、备注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最低/最高金额、金额步长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最小/最大/默认期数、每期天数、最大总期限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日利率、日服务费率、日逾期费率、冷静期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提前还款、提前结清、部分还款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最大逾期天数、逾期费封顶、还款冲抵规则、取整规则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操作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新增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编辑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启用或禁用</w:t>
      </w:r>
    </w:p>
    <w:p>
      <w:r>
        <w:rPr>
          <w:rFonts w:ascii="Calibri" w:hAnsi="Calibri" w:eastAsia="Arial Unicode MS"/>
          <w:sz w:val="21"/>
        </w:rPr>
        <w:t>保存时校验金额范围、期数范围和最大总期限；费率允许为 0。</w:t>
      </w:r>
    </w:p>
    <w:p>
      <w:pPr>
        <w:pStyle w:val="Heading2"/>
      </w:pPr>
      <w:r>
        <w:t>5.15 支付机构配置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`loan_payment_institution`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查询条件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机构名称或 IBFT IMD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机构类型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目录状态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原始机构名称、App 展示名称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机构类型、IBFT IMD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目录状态、客户是否可选、图标地址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操作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新增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编辑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启用或排除</w:t>
      </w:r>
    </w:p>
    <w:p>
      <w:r>
        <w:rPr>
          <w:rFonts w:ascii="Menlo" w:hAnsi="Menlo" w:eastAsia="Arial Unicode MS"/>
          <w:color w:val="1F4D78"/>
          <w:sz w:val="19"/>
        </w:rPr>
        <w:t>ibft_imd</w:t>
      </w:r>
      <w:r>
        <w:rPr>
          <w:rFonts w:ascii="Calibri" w:hAnsi="Calibri" w:eastAsia="Arial Unicode MS"/>
          <w:sz w:val="21"/>
        </w:rPr>
        <w:t xml:space="preserve"> 必须按字符串保存，最多 11 位数字，保留前导零。机构被排除时同时关闭客户可选状态。</w:t>
      </w:r>
    </w:p>
    <w:p>
      <w:pPr>
        <w:pStyle w:val="Heading2"/>
      </w:pPr>
      <w:r>
        <w:t>5.16 借款金额期数规则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数据源：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`loan_product_term_rule`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字段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产品 ID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最低/最高借款金额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可用期数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默认期数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启用状态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创建和更新时间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操作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新增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编辑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启用或禁用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删除</w:t>
      </w:r>
    </w:p>
    <w:p>
      <w:r>
        <w:rPr>
          <w:rFonts w:ascii="Calibri" w:hAnsi="Calibri" w:eastAsia="Arial Unicode MS"/>
          <w:sz w:val="21"/>
        </w:rPr>
        <w:t>同一产品的启用金额区间不得重叠；每期天数从资金产品读取，不在规则中重复配置。</w:t>
      </w:r>
    </w:p>
    <w:p>
      <w:pPr>
        <w:pStyle w:val="Heading2"/>
      </w:pPr>
      <w:r>
        <w:t>5.17 App 资源位</w:t>
      </w:r>
    </w:p>
    <w:p>
      <w:pPr>
        <w:spacing w:after="40"/>
      </w:pP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角色：</w:t>
      </w:r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 xml:space="preserve"> `OPERATIONS`、`SUPER_ADMIN`</w:t>
      </w:r>
    </w:p>
    <w:p>
      <w:r>
        <w:rPr>
          <w:rFonts w:ascii="Calibri" w:hAnsi="Calibri" w:eastAsia="Arial Unicode MS"/>
          <w:sz w:val="21"/>
        </w:rPr>
        <w:t>页面包含“资源位配置”和“变更记录”两个页签。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资源位配置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查询：位置 Key/名称、类型、状态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字段：名称、Key、类型、跳转类型、跳转链接、图片 URL、显示文案、排序、生效/失效时间、目标用户、状态、更新时间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操作：新增、编辑、启用或禁用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Key 创建后不可修改</w:t>
      </w:r>
    </w:p>
    <w:p>
      <w:r>
        <w:rPr>
          <w:rFonts w:ascii="Calibri" w:hAnsi="Calibri" w:eastAsia="Arial Unicode MS"/>
          <w:b/>
          <w:sz w:val="21"/>
        </w:rPr>
      </w:r>
      <w:r>
        <w:rPr>
          <w:rFonts w:ascii="Calibri" w:hAnsi="Calibri" w:eastAsia="Arial Unicode MS"/>
          <w:sz w:val="21"/>
        </w:rPr>
        <w:t>变更记录</w:t>
      </w:r>
      <w:r>
        <w:rPr>
          <w:rFonts w:ascii="Calibri" w:hAnsi="Calibri" w:eastAsia="Arial Unicode MS"/>
          <w:b/>
          <w:sz w:val="21"/>
        </w:rPr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查询：位置 Key/操作人、变更日期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字段：日志 ID、资源位、动作、时间、操作人、变更前后快照和备注</w:t>
      </w:r>
    </w:p>
    <w:p>
      <w:r>
        <w:rPr>
          <w:rFonts w:ascii="Calibri" w:hAnsi="Calibri" w:eastAsia="Arial Unicode MS"/>
          <w:sz w:val="21"/>
        </w:rPr>
        <w:t>当前为前端模拟数据；正式实现需补资源位与变更日志表、接口和 App 拉取缓存策略。</w:t>
      </w:r>
    </w:p>
    <w:p>
      <w:pPr>
        <w:pStyle w:val="Heading2"/>
      </w:pPr>
      <w:r>
        <w:t>5.18 系统管理</w:t>
      </w:r>
    </w:p>
    <w:p>
      <w:pPr>
        <w:pStyle w:val="Heading3"/>
      </w:pPr>
      <w:r>
        <w:t>管理员用户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查询：用户名/姓名、状态、角色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操作：创建、编辑、重置密码、启用/禁用、删除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新密码只允许展示一次</w:t>
      </w:r>
    </w:p>
    <w:p>
      <w:pPr>
        <w:pStyle w:val="Heading3"/>
      </w:pPr>
      <w:r>
        <w:t>角色管理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查询：角色关键字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操作：创建、编辑、分配权限、启用/禁用、删除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已分配用户的角色禁止删除</w:t>
      </w:r>
    </w:p>
    <w:p>
      <w:pPr>
        <w:pStyle w:val="Heading3"/>
      </w:pPr>
      <w:r>
        <w:t>权限管理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树形展示菜单与操作权限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操作：展开/收起、新增子权限、编辑、删除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权限编码创建后不可修改；被角色使用的权限禁止删除</w:t>
      </w:r>
    </w:p>
    <w:p>
      <w:pPr>
        <w:pStyle w:val="Heading3"/>
      </w:pPr>
      <w:r>
        <w:t>审计日志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查询：操作人/动作、模块、结果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字段：操作时间、操作人、模块、动作、目标、IP 和结果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后端应补充请求参数、前后快照及失败原因等完整审计信息</w:t>
      </w:r>
    </w:p>
    <w:p>
      <w:pPr>
        <w:pStyle w:val="Heading1"/>
      </w:pPr>
      <w:r>
        <w:t>6. 数据表对照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Arial Unicode MS"/>
                <w:b/>
                <w:color w:val="1F4D78"/>
                <w:sz w:val="18"/>
              </w:rPr>
              <w:t>业务模块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Arial Unicode MS"/>
                <w:b/>
                <w:color w:val="1F4D78"/>
                <w:sz w:val="18"/>
              </w:rPr>
              <w:t>主要数据表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客户与授信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usr_account</w:t>
            </w:r>
            <w:r>
              <w:rPr>
                <w:rFonts w:ascii="Calibri" w:hAnsi="Calibri" w:eastAsia="Arial Unicode MS"/>
                <w:sz w:val="18"/>
              </w:rPr>
              <w:t>、`usr_credit`、`usr_credit_basic_info`、`usr_credit_identity`、`usr_credit_contact`、`usr_credit_change_log`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借款申请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loan_apply_record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借款借据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loan_voucher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还款计划与费用变更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loan_voucher_bill</w:t>
            </w:r>
            <w:r>
              <w:rPr>
                <w:rFonts w:ascii="Calibri" w:hAnsi="Calibri" w:eastAsia="Arial Unicode MS"/>
                <w:sz w:val="18"/>
              </w:rPr>
              <w:t>、`loan_bill_fee_changelog`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放款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loan_disbursement_record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还款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loan_repayment_order</w:t>
            </w:r>
            <w:r>
              <w:rPr>
                <w:rFonts w:ascii="Calibri" w:hAnsi="Calibri" w:eastAsia="Arial Unicode MS"/>
                <w:sz w:val="18"/>
              </w:rPr>
              <w:t>、`loan_repayment_allocation`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提前结清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loan_early_settlement_record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逾期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loan_overdue_record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费用调整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loan_fee_adjust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优惠券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loan_coupon_template</w:t>
            </w:r>
            <w:r>
              <w:rPr>
                <w:rFonts w:ascii="Calibri" w:hAnsi="Calibri" w:eastAsia="Arial Unicode MS"/>
                <w:sz w:val="18"/>
              </w:rPr>
              <w:t>、`loan_coupon_instance`、`loan_coupon_log`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产品与支付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loan_product</w:t>
            </w:r>
            <w:r>
              <w:rPr>
                <w:rFonts w:ascii="Calibri" w:hAnsi="Calibri" w:eastAsia="Arial Unicode MS"/>
                <w:sz w:val="18"/>
              </w:rPr>
              <w:t>、`loan_product_term_rule`、`loan_payment_institution`、`loan_payment_account`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系统权限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Menlo" w:hAnsi="Menlo" w:eastAsia="Arial Unicode MS"/>
                <w:color w:val="1F4D78"/>
                <w:sz w:val="19"/>
              </w:rPr>
              <w:t>sys_admin_user</w:t>
            </w:r>
            <w:r>
              <w:rPr>
                <w:rFonts w:ascii="Calibri" w:hAnsi="Calibri" w:eastAsia="Arial Unicode MS"/>
                <w:sz w:val="18"/>
              </w:rPr>
              <w:t>、`sys_role`、`sys_permission`、`sys_user_role`、`sys_role_permission`、`sys_operation_log`</w:t>
            </w:r>
          </w:p>
        </w:tc>
      </w:tr>
    </w:tbl>
    <w:p>
      <w:pPr>
        <w:spacing w:after="20"/>
      </w:pPr>
    </w:p>
    <w:p>
      <w:r>
        <w:rPr>
          <w:rFonts w:ascii="Calibri" w:hAnsi="Calibri" w:eastAsia="Arial Unicode MS"/>
          <w:sz w:val="21"/>
        </w:rPr>
        <w:t>说明：催收、App 资源位、Munsalik 对账和账务流水的完整建表脚本不在当前 `zariya_loan.sql` 中，正式研发前需补充数据模型。</w:t>
      </w:r>
    </w:p>
    <w:p>
      <w:pPr>
        <w:pStyle w:val="Heading1"/>
      </w:pPr>
      <w:r>
        <w:t>7. 安全与非功能要求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默认英文界面，支持中文切换。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业务时区为 PKT（UTC+5），币种为 PKR。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金额展示保留两位小数；前后端传输应避免浮点精度问题。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列表默认每页 20 条；当前原型分页为静态展示，真实分页待接口接入。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状态枚举由后端返回稳定编码，前端负责文案映射。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连续登录失败 5 次锁定 30 分钟；登录空闲超时 2 小时。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密码采用 bcrypt 或同等级算法存储。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敏感字段默认脱敏；查看完整值、导出、审批和状态变更必须记录审计。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删除采用软删除，关键金融记录不得物理删除。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所有新增、编辑、审核和状态切换接口必须支持幂等、并发校验和明确错误反馈。</w:t>
      </w:r>
    </w:p>
    <w:p>
      <w:pPr>
        <w:pStyle w:val="Heading1"/>
      </w:pPr>
      <w:r>
        <w:t>8. 当前差距与研发待办</w:t>
      </w:r>
    </w:p>
    <w:p>
      <w:pPr>
        <w:pStyle w:val="Heading2"/>
      </w:pPr>
      <w:r>
        <w:t>P0：上线前必须完成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将全部前端模拟数据替换为真实 API，并完成分页、空态、加载态和错误态。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建立完整权限编码，覆盖所有侧边栏页面及关键按钮；前后端双重鉴权。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统一 PRD、前端路由、接口路径、数据库表和枚举命名。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完成客户敏感信息脱敏、解密查看授权与审计。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完成授信审核、借款审核、黑名单、费用调整等写操作的持久化、并发控制和审计。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对金额计算、账单更新、还款分配、优惠券锁定/退回使用数据库事务。</w:t>
      </w:r>
    </w:p>
    <w:p>
      <w:pPr>
        <w:pStyle w:val="Heading2"/>
      </w:pPr>
      <w:r>
        <w:t>P1：当前原型已有入口，需补后端链路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合同真实文件生成、存储、下载与打印。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提前结清金额计算、还款单创建及结清状态流转。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催收任务、跟进、分配和承诺还款的数据模型。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App 资源位配置、变更日志及客户端拉取缓存。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Munsalik 邮件接收、文件解析、匹配、差异状态和审计接口。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提醒通道接入与发送结果记录。</w:t>
      </w:r>
    </w:p>
    <w:p>
      <w:pPr>
        <w:pStyle w:val="Heading2"/>
      </w:pPr>
      <w:r>
        <w:t>P2：原型未覆盖，需单独评审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放款失败重试。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账务流水导出。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优惠券模板新增、编辑和启停。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对账邮件隔离处置。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独立提前结清工作台或独立还款分配查询页。</w:t>
      </w:r>
    </w:p>
    <w:p>
      <w:pPr>
        <w:pStyle w:val="Heading1"/>
      </w:pPr>
      <w:r>
        <w:t>9. 验收原则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验收以本版信息架构和页面边界为准，不再按旧文档中的独立菜单验收。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页面展示字段必须与接口字段及数据库口径一一对应。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写操作必须验证角色权限、业务状态、必填信息、并发版本和幂等键。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任何金额变化都必须可追溯到业务单号、操作人、前后值和时间。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中英文切换后，菜单、筛选项、状态、按钮和弹窗文案保持完整一致。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Arial Unicode MS"/>
          <w:sz w:val="21"/>
        </w:rPr>
        <w:t>原型存在但尚未接入后端的交互，不得仅以 Toast 或内存数据变化作为验收通过依据。</w:t>
      </w:r>
    </w:p>
    <w:p>
      <w:pPr>
        <w:pStyle w:val="Heading1"/>
      </w:pPr>
      <w:r>
        <w:t>附录 A：本次对齐的主要调整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原文档表述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b/>
                <w:color w:val="1F4D78"/>
              </w:rPr>
            </w:r>
            <w:r>
              <w:rPr>
                <w:rFonts w:ascii="Calibri" w:hAnsi="Calibri" w:eastAsia="Arial Unicode MS"/>
                <w:b/>
                <w:color w:val="1F4D78"/>
                <w:sz w:val="18"/>
              </w:rPr>
              <w:t>对齐后的口径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授信审核为独立功能模块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合并在客户列表与客户详情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账单金额明细为独立页面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合并在还款计划详情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费用变更记录为独立入口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合并在还款计划详情页签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还款分配为独立菜单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合并在还款订单详情页签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放款记录支持失败重试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当前仅只读查询，重试列入待实现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账务流水支持导出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当前无导出入口，列入待实现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提前结清未形成明确页面口径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入口位于借据详情，不设置独立菜单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邮件隔离区可执行处置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当前严格只读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对账差异包含复杂人工处理流程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/>
            <w:r>
              <w:rPr>
                <w:rFonts w:ascii="Calibri" w:hAnsi="Calibri" w:eastAsia="Arial Unicode MS"/>
                <w:sz w:val="18"/>
              </w:rPr>
              <w:t>当前仅支持“处理中/已处理”轻量状态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Arial Unicode MS"/>
        <w:color w:val="667085"/>
        <w:sz w:val="18"/>
      </w:rPr>
      <w:t xml:space="preserve">第 </w:t>
    </w:r>
    <w:fldSimple w:instr="PAGE"/>
    <w:r>
      <w:rPr>
        <w:rFonts w:ascii="Calibri" w:hAnsi="Calibri" w:eastAsia="Arial Unicode MS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Arial Unicode MS"/>
        <w:b/>
        <w:color w:val="667085"/>
        <w:sz w:val="18"/>
      </w:rPr>
      <w:t>ANOLE LOAN  |  后台产品需求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Anole Loan 巴基斯坦借贷业务后台 PRD（功能对齐版）</dc:title>
  <dc:subject>当前后台原型功能基线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