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_Toc2592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_Toc30854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_Toc22223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_Toc20850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_Toc11076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_Toc25105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_Toc19600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_Toc3408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_Toc907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_Toc3034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_Toc13465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2592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8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30854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8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22223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8"/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185"/>
        <w:gridCol w:w="1845"/>
        <w:gridCol w:w="258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118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184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584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解析</w:t>
            </w:r>
          </w:p>
        </w:tc>
        <w:tc>
          <w:tcPr>
            <w:tcW w:w="335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20850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11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2" w:name="_Toc11076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12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19" w:name="_GoBack"/>
      <w:bookmarkEnd w:id="19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3" w:name="_Toc25105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13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4" w:name="_Toc1960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14"/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5" w:name="_Toc3408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5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 w:firstLine="500" w:firstLineChars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6" w:name="_Toc907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16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7" w:name="_Toc3034"/>
      <w:r>
        <w:rPr>
          <w:rFonts w:hint="eastAsia"/>
          <w:sz w:val="30"/>
          <w:szCs w:val="30"/>
          <w:lang w:val="en-US" w:eastAsia="zh-CN"/>
        </w:rPr>
        <w:t>聊天消息</w:t>
      </w:r>
      <w:bookmarkEnd w:id="17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8" w:name="_Toc13465"/>
      <w:r>
        <w:rPr>
          <w:rFonts w:hint="eastAsia"/>
          <w:sz w:val="30"/>
          <w:szCs w:val="30"/>
          <w:lang w:val="en-US" w:eastAsia="zh-CN"/>
        </w:rPr>
        <w:t>其他消息</w:t>
      </w:r>
      <w:bookmarkEnd w:id="18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532677718"/>
  </w:num>
  <w:num w:numId="2">
    <w:abstractNumId w:val="1534843331"/>
  </w:num>
  <w:num w:numId="3">
    <w:abstractNumId w:val="1534843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2F31E8"/>
    <w:rsid w:val="2C404609"/>
    <w:rsid w:val="37B101EB"/>
    <w:rsid w:val="4ADE0546"/>
    <w:rsid w:val="5521584A"/>
    <w:rsid w:val="586A7C9A"/>
    <w:rsid w:val="65AF3460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nhideWhenUsed/>
    <w:uiPriority w:val="99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table" w:styleId="18">
    <w:name w:val="Table Grid"/>
    <w:basedOn w:val="17"/>
    <w:unhideWhenUsed/>
    <w:uiPriority w:val="99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2018-08-21T11:43:47Z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