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CBF9D9" w14:textId="77777777" w:rsidR="005B4263" w:rsidRPr="00A23D0D" w:rsidRDefault="00000000">
      <w:pPr>
        <w:spacing w:after="80"/>
        <w:rPr>
          <w:rFonts w:asciiTheme="minorHAnsi" w:hAnsiTheme="minorHAnsi"/>
        </w:rPr>
      </w:pPr>
      <w:r w:rsidRPr="00A23D0D">
        <w:rPr>
          <w:rFonts w:asciiTheme="minorHAnsi" w:hAnsiTheme="minorHAnsi"/>
          <w:b/>
          <w:bCs/>
          <w:sz w:val="32"/>
          <w:szCs w:val="32"/>
        </w:rPr>
        <w:t>Literature Support for Protective Factor Variables</w:t>
      </w:r>
    </w:p>
    <w:p w14:paraId="683CE3A1" w14:textId="77777777" w:rsidR="005B4263" w:rsidRPr="00A23D0D" w:rsidRDefault="00000000">
      <w:pPr>
        <w:spacing w:after="300"/>
        <w:rPr>
          <w:rFonts w:asciiTheme="minorHAnsi" w:hAnsiTheme="minorHAnsi"/>
        </w:rPr>
      </w:pPr>
      <w:r w:rsidRPr="00A23D0D">
        <w:rPr>
          <w:rFonts w:asciiTheme="minorHAnsi" w:hAnsiTheme="minorHAnsi"/>
          <w:i/>
          <w:iCs/>
          <w:color w:val="555555"/>
          <w:sz w:val="22"/>
          <w:szCs w:val="22"/>
        </w:rPr>
        <w:t>2023 National YRBS - Co-occurrence in Adolescent Suicidality (Team 4, Protective Factors block)</w:t>
      </w:r>
    </w:p>
    <w:p w14:paraId="02F5839D" w14:textId="77777777" w:rsidR="005B4263" w:rsidRPr="00A23D0D" w:rsidRDefault="00000000">
      <w:pPr>
        <w:pStyle w:val="Heading1"/>
        <w:spacing w:before="300" w:after="150"/>
        <w:rPr>
          <w:rFonts w:asciiTheme="minorHAnsi" w:hAnsiTheme="minorHAnsi"/>
        </w:rPr>
      </w:pPr>
      <w:r w:rsidRPr="00A23D0D">
        <w:rPr>
          <w:rFonts w:asciiTheme="minorHAnsi" w:hAnsiTheme="minorHAnsi"/>
        </w:rPr>
        <w:t>Purpose</w:t>
      </w:r>
    </w:p>
    <w:p w14:paraId="1FC6D5A2" w14:textId="77777777" w:rsidR="005B4263" w:rsidRPr="00A23D0D" w:rsidRDefault="00000000">
      <w:pPr>
        <w:spacing w:after="150"/>
        <w:rPr>
          <w:rFonts w:asciiTheme="minorHAnsi" w:hAnsiTheme="minorHAnsi"/>
        </w:rPr>
      </w:pPr>
      <w:r w:rsidRPr="00A23D0D">
        <w:rPr>
          <w:rFonts w:asciiTheme="minorHAnsi" w:hAnsiTheme="minorHAnsi"/>
          <w:sz w:val="22"/>
          <w:szCs w:val="22"/>
        </w:rPr>
        <w:t>This is the evidence behind the five protective-factor variables I'm using (QN85, QN87, QN99, QN103, QN104), tested against the four suicidality outcomes (QN27-QN30) in the 2023 YRBS. Four of the five are exactly what CDC used in their own protective-factor analysis of this same dataset. The fifth, grades (QN87), isn't one of CDC's variables, so I've pulled in separate literature for that one - and it's honestly the shakiest-supported of the five, which I've flagged rather than glossed over.</w:t>
      </w:r>
    </w:p>
    <w:p w14:paraId="29FE7927" w14:textId="77777777" w:rsidR="005B4263" w:rsidRPr="00A23D0D" w:rsidRDefault="00000000">
      <w:pPr>
        <w:pStyle w:val="Heading1"/>
        <w:spacing w:before="300" w:after="150"/>
        <w:rPr>
          <w:rFonts w:asciiTheme="minorHAnsi" w:hAnsiTheme="minorHAnsi"/>
        </w:rPr>
      </w:pPr>
      <w:r w:rsidRPr="00A23D0D">
        <w:rPr>
          <w:rFonts w:asciiTheme="minorHAnsi" w:hAnsiTheme="minorHAnsi"/>
        </w:rPr>
        <w:t>Summary table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600"/>
        <w:gridCol w:w="2600"/>
        <w:gridCol w:w="2600"/>
      </w:tblGrid>
      <w:tr w:rsidR="005B4263" w:rsidRPr="00A23D0D" w14:paraId="71DE7CD0" w14:textId="77777777">
        <w:tblPrEx>
          <w:tblCellMar>
            <w:top w:w="0" w:type="dxa"/>
            <w:bottom w:w="0" w:type="dxa"/>
          </w:tblCellMar>
        </w:tblPrEx>
        <w:trPr>
          <w:tblHeader/>
        </w:trPr>
        <w:tc>
          <w:tcPr>
            <w:tcW w:w="1700" w:type="dxa"/>
            <w:shd w:val="clear" w:color="auto" w:fill="1F3864"/>
            <w:tcMar>
              <w:top w:w="100" w:type="dxa"/>
              <w:left w:w="120" w:type="dxa"/>
              <w:bottom w:w="100" w:type="dxa"/>
              <w:right w:w="120" w:type="dxa"/>
            </w:tcMar>
          </w:tcPr>
          <w:p w14:paraId="227A9AB9" w14:textId="77777777" w:rsidR="005B4263" w:rsidRPr="00A23D0D" w:rsidRDefault="00000000">
            <w:pPr>
              <w:rPr>
                <w:rFonts w:asciiTheme="minorHAnsi" w:hAnsiTheme="minorHAnsi"/>
              </w:rPr>
            </w:pPr>
            <w:r w:rsidRPr="00A23D0D">
              <w:rPr>
                <w:rFonts w:asciiTheme="minorHAnsi" w:hAnsiTheme="minorHAnsi"/>
                <w:b/>
                <w:bCs/>
                <w:color w:val="FFFFFF"/>
              </w:rPr>
              <w:t>Variable</w:t>
            </w:r>
          </w:p>
        </w:tc>
        <w:tc>
          <w:tcPr>
            <w:tcW w:w="2600" w:type="dxa"/>
            <w:shd w:val="clear" w:color="auto" w:fill="1F3864"/>
            <w:tcMar>
              <w:top w:w="100" w:type="dxa"/>
              <w:left w:w="120" w:type="dxa"/>
              <w:bottom w:w="100" w:type="dxa"/>
              <w:right w:w="120" w:type="dxa"/>
            </w:tcMar>
          </w:tcPr>
          <w:p w14:paraId="548E5E9B" w14:textId="77777777" w:rsidR="005B4263" w:rsidRPr="00A23D0D" w:rsidRDefault="00000000">
            <w:pPr>
              <w:rPr>
                <w:rFonts w:asciiTheme="minorHAnsi" w:hAnsiTheme="minorHAnsi"/>
              </w:rPr>
            </w:pPr>
            <w:r w:rsidRPr="00A23D0D">
              <w:rPr>
                <w:rFonts w:asciiTheme="minorHAnsi" w:hAnsiTheme="minorHAnsi"/>
                <w:b/>
                <w:bCs/>
                <w:color w:val="FFFFFF"/>
              </w:rPr>
              <w:t>What it measures</w:t>
            </w:r>
          </w:p>
        </w:tc>
        <w:tc>
          <w:tcPr>
            <w:tcW w:w="2600" w:type="dxa"/>
            <w:shd w:val="clear" w:color="auto" w:fill="1F3864"/>
            <w:tcMar>
              <w:top w:w="100" w:type="dxa"/>
              <w:left w:w="120" w:type="dxa"/>
              <w:bottom w:w="100" w:type="dxa"/>
              <w:right w:w="120" w:type="dxa"/>
            </w:tcMar>
          </w:tcPr>
          <w:p w14:paraId="74D0515F" w14:textId="77777777" w:rsidR="005B4263" w:rsidRPr="00A23D0D" w:rsidRDefault="00000000">
            <w:pPr>
              <w:rPr>
                <w:rFonts w:asciiTheme="minorHAnsi" w:hAnsiTheme="minorHAnsi"/>
              </w:rPr>
            </w:pPr>
            <w:r w:rsidRPr="00A23D0D">
              <w:rPr>
                <w:rFonts w:asciiTheme="minorHAnsi" w:hAnsiTheme="minorHAnsi"/>
                <w:b/>
                <w:bCs/>
                <w:color w:val="FFFFFF"/>
              </w:rPr>
              <w:t>Key supporting source(s)</w:t>
            </w:r>
          </w:p>
        </w:tc>
        <w:tc>
          <w:tcPr>
            <w:tcW w:w="2600" w:type="dxa"/>
            <w:shd w:val="clear" w:color="auto" w:fill="1F3864"/>
            <w:tcMar>
              <w:top w:w="100" w:type="dxa"/>
              <w:left w:w="120" w:type="dxa"/>
              <w:bottom w:w="100" w:type="dxa"/>
              <w:right w:w="120" w:type="dxa"/>
            </w:tcMar>
          </w:tcPr>
          <w:p w14:paraId="76CEAD62" w14:textId="77777777" w:rsidR="005B4263" w:rsidRPr="00A23D0D" w:rsidRDefault="00000000">
            <w:pPr>
              <w:rPr>
                <w:rFonts w:asciiTheme="minorHAnsi" w:hAnsiTheme="minorHAnsi"/>
              </w:rPr>
            </w:pPr>
            <w:r w:rsidRPr="00A23D0D">
              <w:rPr>
                <w:rFonts w:asciiTheme="minorHAnsi" w:hAnsiTheme="minorHAnsi"/>
                <w:b/>
                <w:bCs/>
                <w:color w:val="FFFFFF"/>
              </w:rPr>
              <w:t>What that source found</w:t>
            </w:r>
          </w:p>
        </w:tc>
      </w:tr>
      <w:tr w:rsidR="005B4263" w:rsidRPr="00A23D0D" w14:paraId="3725A426" w14:textId="77777777">
        <w:tblPrEx>
          <w:tblCellMar>
            <w:top w:w="0" w:type="dxa"/>
            <w:bottom w:w="0" w:type="dxa"/>
          </w:tblCellMar>
        </w:tblPrEx>
        <w:tc>
          <w:tcPr>
            <w:tcW w:w="1700" w:type="dxa"/>
            <w:tcMar>
              <w:top w:w="100" w:type="dxa"/>
              <w:left w:w="120" w:type="dxa"/>
              <w:bottom w:w="100" w:type="dxa"/>
              <w:right w:w="120" w:type="dxa"/>
            </w:tcMar>
          </w:tcPr>
          <w:p w14:paraId="7F672D45" w14:textId="77777777" w:rsidR="005B4263" w:rsidRPr="00A23D0D" w:rsidRDefault="00000000">
            <w:pPr>
              <w:rPr>
                <w:rFonts w:asciiTheme="minorHAnsi" w:hAnsiTheme="minorHAnsi"/>
              </w:rPr>
            </w:pPr>
            <w:r w:rsidRPr="00A23D0D">
              <w:rPr>
                <w:rFonts w:asciiTheme="minorHAnsi" w:hAnsiTheme="minorHAnsi"/>
              </w:rPr>
              <w:t>QN85 (Sleep)</w:t>
            </w:r>
          </w:p>
        </w:tc>
        <w:tc>
          <w:tcPr>
            <w:tcW w:w="2600" w:type="dxa"/>
            <w:tcMar>
              <w:top w:w="100" w:type="dxa"/>
              <w:left w:w="120" w:type="dxa"/>
              <w:bottom w:w="100" w:type="dxa"/>
              <w:right w:w="120" w:type="dxa"/>
            </w:tcMar>
          </w:tcPr>
          <w:p w14:paraId="3440BE0E" w14:textId="77777777" w:rsidR="005B4263" w:rsidRPr="00A23D0D" w:rsidRDefault="00000000">
            <w:pPr>
              <w:rPr>
                <w:rFonts w:asciiTheme="minorHAnsi" w:hAnsiTheme="minorHAnsi"/>
              </w:rPr>
            </w:pPr>
            <w:r w:rsidRPr="00A23D0D">
              <w:rPr>
                <w:rFonts w:asciiTheme="minorHAnsi" w:hAnsiTheme="minorHAnsi"/>
              </w:rPr>
              <w:t>8+ hours of sleep on an average school night</w:t>
            </w:r>
          </w:p>
        </w:tc>
        <w:tc>
          <w:tcPr>
            <w:tcW w:w="2600" w:type="dxa"/>
            <w:tcMar>
              <w:top w:w="100" w:type="dxa"/>
              <w:left w:w="120" w:type="dxa"/>
              <w:bottom w:w="100" w:type="dxa"/>
              <w:right w:w="120" w:type="dxa"/>
            </w:tcMar>
          </w:tcPr>
          <w:p w14:paraId="32C80105" w14:textId="77777777" w:rsidR="005B4263" w:rsidRPr="00A23D0D" w:rsidRDefault="00000000">
            <w:pPr>
              <w:rPr>
                <w:rFonts w:asciiTheme="minorHAnsi" w:hAnsiTheme="minorHAnsi"/>
              </w:rPr>
            </w:pPr>
            <w:r w:rsidRPr="00A23D0D">
              <w:rPr>
                <w:rFonts w:asciiTheme="minorHAnsi" w:hAnsiTheme="minorHAnsi"/>
              </w:rPr>
              <w:t>CDC/</w:t>
            </w:r>
            <w:proofErr w:type="spellStart"/>
            <w:r w:rsidRPr="00A23D0D">
              <w:rPr>
                <w:rFonts w:asciiTheme="minorHAnsi" w:hAnsiTheme="minorHAnsi"/>
              </w:rPr>
              <w:t>Verlenden</w:t>
            </w:r>
            <w:proofErr w:type="spellEnd"/>
            <w:r w:rsidRPr="00A23D0D">
              <w:rPr>
                <w:rFonts w:asciiTheme="minorHAnsi" w:hAnsiTheme="minorHAnsi"/>
              </w:rPr>
              <w:t xml:space="preserve"> et al. 2024 (MMWR Suppl.); Hamilton et al. 2023, J Child </w:t>
            </w:r>
            <w:proofErr w:type="spellStart"/>
            <w:r w:rsidRPr="00A23D0D">
              <w:rPr>
                <w:rFonts w:asciiTheme="minorHAnsi" w:hAnsiTheme="minorHAnsi"/>
              </w:rPr>
              <w:t>Psychol</w:t>
            </w:r>
            <w:proofErr w:type="spellEnd"/>
            <w:r w:rsidRPr="00A23D0D">
              <w:rPr>
                <w:rFonts w:asciiTheme="minorHAnsi" w:hAnsiTheme="minorHAnsi"/>
              </w:rPr>
              <w:t xml:space="preserve"> Psychiatry</w:t>
            </w:r>
          </w:p>
        </w:tc>
        <w:tc>
          <w:tcPr>
            <w:tcW w:w="2600" w:type="dxa"/>
            <w:tcMar>
              <w:top w:w="100" w:type="dxa"/>
              <w:left w:w="120" w:type="dxa"/>
              <w:bottom w:w="100" w:type="dxa"/>
              <w:right w:w="120" w:type="dxa"/>
            </w:tcMar>
          </w:tcPr>
          <w:p w14:paraId="3DDBDFCE" w14:textId="77777777" w:rsidR="005B4263" w:rsidRPr="00A23D0D" w:rsidRDefault="00000000">
            <w:pPr>
              <w:rPr>
                <w:rFonts w:asciiTheme="minorHAnsi" w:hAnsiTheme="minorHAnsi"/>
              </w:rPr>
            </w:pPr>
            <w:r w:rsidRPr="00A23D0D">
              <w:rPr>
                <w:rFonts w:asciiTheme="minorHAnsi" w:hAnsiTheme="minorHAnsi"/>
              </w:rPr>
              <w:t>CDC's own 2023 YRBS analysis found sleep associated with lower prevalence of all four mental health/suicide indicators. Hamilton et al. link poor sleep to daily suicidal ideation via emotional reactivity in high-risk youth.</w:t>
            </w:r>
          </w:p>
        </w:tc>
      </w:tr>
      <w:tr w:rsidR="005B4263" w:rsidRPr="00A23D0D" w14:paraId="5045AF8B" w14:textId="77777777">
        <w:tblPrEx>
          <w:tblCellMar>
            <w:top w:w="0" w:type="dxa"/>
            <w:bottom w:w="0" w:type="dxa"/>
          </w:tblCellMar>
        </w:tblPrEx>
        <w:tc>
          <w:tcPr>
            <w:tcW w:w="1700" w:type="dxa"/>
            <w:tcMar>
              <w:top w:w="100" w:type="dxa"/>
              <w:left w:w="120" w:type="dxa"/>
              <w:bottom w:w="100" w:type="dxa"/>
              <w:right w:w="120" w:type="dxa"/>
            </w:tcMar>
          </w:tcPr>
          <w:p w14:paraId="3A171621" w14:textId="77777777" w:rsidR="005B4263" w:rsidRPr="00A23D0D" w:rsidRDefault="00000000">
            <w:pPr>
              <w:rPr>
                <w:rFonts w:asciiTheme="minorHAnsi" w:hAnsiTheme="minorHAnsi"/>
              </w:rPr>
            </w:pPr>
            <w:r w:rsidRPr="00A23D0D">
              <w:rPr>
                <w:rFonts w:asciiTheme="minorHAnsi" w:hAnsiTheme="minorHAnsi"/>
              </w:rPr>
              <w:t>QN87 (Grades)</w:t>
            </w:r>
          </w:p>
        </w:tc>
        <w:tc>
          <w:tcPr>
            <w:tcW w:w="2600" w:type="dxa"/>
            <w:tcMar>
              <w:top w:w="100" w:type="dxa"/>
              <w:left w:w="120" w:type="dxa"/>
              <w:bottom w:w="100" w:type="dxa"/>
              <w:right w:w="120" w:type="dxa"/>
            </w:tcMar>
          </w:tcPr>
          <w:p w14:paraId="22B8BF0A" w14:textId="77777777" w:rsidR="005B4263" w:rsidRPr="00A23D0D" w:rsidRDefault="00000000">
            <w:pPr>
              <w:rPr>
                <w:rFonts w:asciiTheme="minorHAnsi" w:hAnsiTheme="minorHAnsi"/>
              </w:rPr>
            </w:pPr>
            <w:r w:rsidRPr="00A23D0D">
              <w:rPr>
                <w:rFonts w:asciiTheme="minorHAnsi" w:hAnsiTheme="minorHAnsi"/>
              </w:rPr>
              <w:t>Mostly A's/</w:t>
            </w:r>
            <w:proofErr w:type="gramStart"/>
            <w:r w:rsidRPr="00A23D0D">
              <w:rPr>
                <w:rFonts w:asciiTheme="minorHAnsi" w:hAnsiTheme="minorHAnsi"/>
              </w:rPr>
              <w:t>B's</w:t>
            </w:r>
            <w:proofErr w:type="gramEnd"/>
            <w:r w:rsidRPr="00A23D0D">
              <w:rPr>
                <w:rFonts w:asciiTheme="minorHAnsi" w:hAnsiTheme="minorHAnsi"/>
              </w:rPr>
              <w:t xml:space="preserve"> in the past 12 months</w:t>
            </w:r>
          </w:p>
        </w:tc>
        <w:tc>
          <w:tcPr>
            <w:tcW w:w="2600" w:type="dxa"/>
            <w:tcMar>
              <w:top w:w="100" w:type="dxa"/>
              <w:left w:w="120" w:type="dxa"/>
              <w:bottom w:w="100" w:type="dxa"/>
              <w:right w:w="120" w:type="dxa"/>
            </w:tcMar>
          </w:tcPr>
          <w:p w14:paraId="2485AE50" w14:textId="77777777" w:rsidR="005B4263" w:rsidRPr="00A23D0D" w:rsidRDefault="00000000">
            <w:pPr>
              <w:rPr>
                <w:rFonts w:asciiTheme="minorHAnsi" w:hAnsiTheme="minorHAnsi"/>
              </w:rPr>
            </w:pPr>
            <w:proofErr w:type="spellStart"/>
            <w:r w:rsidRPr="00A23D0D">
              <w:rPr>
                <w:rFonts w:asciiTheme="minorHAnsi" w:hAnsiTheme="minorHAnsi"/>
              </w:rPr>
              <w:t>Sorberg</w:t>
            </w:r>
            <w:proofErr w:type="spellEnd"/>
            <w:r w:rsidRPr="00A23D0D">
              <w:rPr>
                <w:rFonts w:asciiTheme="minorHAnsi" w:hAnsiTheme="minorHAnsi"/>
              </w:rPr>
              <w:t xml:space="preserve"> Wallin et al. 2022 (Swedish national cohort, PMC8957535); mixed evidence elsewhere</w:t>
            </w:r>
          </w:p>
        </w:tc>
        <w:tc>
          <w:tcPr>
            <w:tcW w:w="2600" w:type="dxa"/>
            <w:tcMar>
              <w:top w:w="100" w:type="dxa"/>
              <w:left w:w="120" w:type="dxa"/>
              <w:bottom w:w="100" w:type="dxa"/>
              <w:right w:w="120" w:type="dxa"/>
            </w:tcMar>
          </w:tcPr>
          <w:p w14:paraId="377CF813" w14:textId="77777777" w:rsidR="005B4263" w:rsidRPr="00A23D0D" w:rsidRDefault="00000000">
            <w:pPr>
              <w:rPr>
                <w:rFonts w:asciiTheme="minorHAnsi" w:hAnsiTheme="minorHAnsi"/>
              </w:rPr>
            </w:pPr>
            <w:r w:rsidRPr="00A23D0D">
              <w:rPr>
                <w:rFonts w:asciiTheme="minorHAnsi" w:hAnsiTheme="minorHAnsi"/>
              </w:rPr>
              <w:t>Found school grades remained linked to lower suicide-attempt risk even after controlling for cognitive performance and genetic/family confounds. Note: not one of CDC's own selected protective factors for 2023, and other studies show weaker or mixed effects by subgroup - flag as the least certain of the five.</w:t>
            </w:r>
          </w:p>
        </w:tc>
      </w:tr>
      <w:tr w:rsidR="005B4263" w:rsidRPr="00A23D0D" w14:paraId="51022FBC" w14:textId="77777777">
        <w:tblPrEx>
          <w:tblCellMar>
            <w:top w:w="0" w:type="dxa"/>
            <w:bottom w:w="0" w:type="dxa"/>
          </w:tblCellMar>
        </w:tblPrEx>
        <w:tc>
          <w:tcPr>
            <w:tcW w:w="1700" w:type="dxa"/>
            <w:tcMar>
              <w:top w:w="100" w:type="dxa"/>
              <w:left w:w="120" w:type="dxa"/>
              <w:bottom w:w="100" w:type="dxa"/>
              <w:right w:w="120" w:type="dxa"/>
            </w:tcMar>
          </w:tcPr>
          <w:p w14:paraId="1C6C3BA5" w14:textId="77777777" w:rsidR="005B4263" w:rsidRPr="00A23D0D" w:rsidRDefault="00000000">
            <w:pPr>
              <w:rPr>
                <w:rFonts w:asciiTheme="minorHAnsi" w:hAnsiTheme="minorHAnsi"/>
              </w:rPr>
            </w:pPr>
            <w:r w:rsidRPr="00A23D0D">
              <w:rPr>
                <w:rFonts w:asciiTheme="minorHAnsi" w:hAnsiTheme="minorHAnsi"/>
              </w:rPr>
              <w:t>QN99 (Basic needs met)</w:t>
            </w:r>
          </w:p>
        </w:tc>
        <w:tc>
          <w:tcPr>
            <w:tcW w:w="2600" w:type="dxa"/>
            <w:tcMar>
              <w:top w:w="100" w:type="dxa"/>
              <w:left w:w="120" w:type="dxa"/>
              <w:bottom w:w="100" w:type="dxa"/>
              <w:right w:w="120" w:type="dxa"/>
            </w:tcMar>
          </w:tcPr>
          <w:p w14:paraId="7F38DBBD" w14:textId="77777777" w:rsidR="005B4263" w:rsidRPr="00A23D0D" w:rsidRDefault="00000000">
            <w:pPr>
              <w:rPr>
                <w:rFonts w:asciiTheme="minorHAnsi" w:hAnsiTheme="minorHAnsi"/>
              </w:rPr>
            </w:pPr>
            <w:r w:rsidRPr="00A23D0D">
              <w:rPr>
                <w:rFonts w:asciiTheme="minorHAnsi" w:hAnsiTheme="minorHAnsi"/>
              </w:rPr>
              <w:t>Household adult tried hard to meet basic needs, most of the time/always</w:t>
            </w:r>
          </w:p>
        </w:tc>
        <w:tc>
          <w:tcPr>
            <w:tcW w:w="2600" w:type="dxa"/>
            <w:tcMar>
              <w:top w:w="100" w:type="dxa"/>
              <w:left w:w="120" w:type="dxa"/>
              <w:bottom w:w="100" w:type="dxa"/>
              <w:right w:w="120" w:type="dxa"/>
            </w:tcMar>
          </w:tcPr>
          <w:p w14:paraId="4352E7B5" w14:textId="77777777" w:rsidR="005B4263" w:rsidRPr="00A23D0D" w:rsidRDefault="00000000">
            <w:pPr>
              <w:rPr>
                <w:rFonts w:asciiTheme="minorHAnsi" w:hAnsiTheme="minorHAnsi"/>
              </w:rPr>
            </w:pPr>
            <w:r w:rsidRPr="00A23D0D">
              <w:rPr>
                <w:rFonts w:asciiTheme="minorHAnsi" w:hAnsiTheme="minorHAnsi"/>
              </w:rPr>
              <w:t>CDC/</w:t>
            </w:r>
            <w:proofErr w:type="spellStart"/>
            <w:r w:rsidRPr="00A23D0D">
              <w:rPr>
                <w:rFonts w:asciiTheme="minorHAnsi" w:hAnsiTheme="minorHAnsi"/>
              </w:rPr>
              <w:t>Verlenden</w:t>
            </w:r>
            <w:proofErr w:type="spellEnd"/>
            <w:r w:rsidRPr="00A23D0D">
              <w:rPr>
                <w:rFonts w:asciiTheme="minorHAnsi" w:hAnsiTheme="minorHAnsi"/>
              </w:rPr>
              <w:t xml:space="preserve"> et al. 2024 (MMWR Suppl.); National Academies of Sciences 2019</w:t>
            </w:r>
          </w:p>
        </w:tc>
        <w:tc>
          <w:tcPr>
            <w:tcW w:w="2600" w:type="dxa"/>
            <w:tcMar>
              <w:top w:w="100" w:type="dxa"/>
              <w:left w:w="120" w:type="dxa"/>
              <w:bottom w:w="100" w:type="dxa"/>
              <w:right w:w="120" w:type="dxa"/>
            </w:tcMar>
          </w:tcPr>
          <w:p w14:paraId="5E8FE2F1" w14:textId="77777777" w:rsidR="005B4263" w:rsidRPr="00A23D0D" w:rsidRDefault="00000000">
            <w:pPr>
              <w:rPr>
                <w:rFonts w:asciiTheme="minorHAnsi" w:hAnsiTheme="minorHAnsi"/>
              </w:rPr>
            </w:pPr>
            <w:r w:rsidRPr="00A23D0D">
              <w:rPr>
                <w:rFonts w:asciiTheme="minorHAnsi" w:hAnsiTheme="minorHAnsi"/>
              </w:rPr>
              <w:t>CDC found this associated with lower prevalence across all indicators (largest effect range of the six factors CDC tested). National Academies report frames stable caregiving as supporting resilience, especially under adversity.</w:t>
            </w:r>
          </w:p>
        </w:tc>
      </w:tr>
      <w:tr w:rsidR="005B4263" w:rsidRPr="00A23D0D" w14:paraId="20CB57B2" w14:textId="77777777">
        <w:tblPrEx>
          <w:tblCellMar>
            <w:top w:w="0" w:type="dxa"/>
            <w:bottom w:w="0" w:type="dxa"/>
          </w:tblCellMar>
        </w:tblPrEx>
        <w:tc>
          <w:tcPr>
            <w:tcW w:w="1700" w:type="dxa"/>
            <w:tcMar>
              <w:top w:w="100" w:type="dxa"/>
              <w:left w:w="120" w:type="dxa"/>
              <w:bottom w:w="100" w:type="dxa"/>
              <w:right w:w="120" w:type="dxa"/>
            </w:tcMar>
          </w:tcPr>
          <w:p w14:paraId="5BEE269F" w14:textId="77777777" w:rsidR="005B4263" w:rsidRPr="00A23D0D" w:rsidRDefault="00000000">
            <w:pPr>
              <w:rPr>
                <w:rFonts w:asciiTheme="minorHAnsi" w:hAnsiTheme="minorHAnsi"/>
              </w:rPr>
            </w:pPr>
            <w:r w:rsidRPr="00A23D0D">
              <w:rPr>
                <w:rFonts w:asciiTheme="minorHAnsi" w:hAnsiTheme="minorHAnsi"/>
              </w:rPr>
              <w:t>QN103 (School connectedness)</w:t>
            </w:r>
          </w:p>
        </w:tc>
        <w:tc>
          <w:tcPr>
            <w:tcW w:w="2600" w:type="dxa"/>
            <w:tcMar>
              <w:top w:w="100" w:type="dxa"/>
              <w:left w:w="120" w:type="dxa"/>
              <w:bottom w:w="100" w:type="dxa"/>
              <w:right w:w="120" w:type="dxa"/>
            </w:tcMar>
          </w:tcPr>
          <w:p w14:paraId="5A4C8E1B" w14:textId="77777777" w:rsidR="005B4263" w:rsidRPr="00A23D0D" w:rsidRDefault="00000000">
            <w:pPr>
              <w:rPr>
                <w:rFonts w:asciiTheme="minorHAnsi" w:hAnsiTheme="minorHAnsi"/>
              </w:rPr>
            </w:pPr>
            <w:r w:rsidRPr="00A23D0D">
              <w:rPr>
                <w:rFonts w:asciiTheme="minorHAnsi" w:hAnsiTheme="minorHAnsi"/>
              </w:rPr>
              <w:t>Feels close to people at school</w:t>
            </w:r>
          </w:p>
        </w:tc>
        <w:tc>
          <w:tcPr>
            <w:tcW w:w="2600" w:type="dxa"/>
            <w:tcMar>
              <w:top w:w="100" w:type="dxa"/>
              <w:left w:w="120" w:type="dxa"/>
              <w:bottom w:w="100" w:type="dxa"/>
              <w:right w:w="120" w:type="dxa"/>
            </w:tcMar>
          </w:tcPr>
          <w:p w14:paraId="45F494AC" w14:textId="77777777" w:rsidR="005B4263" w:rsidRPr="00A23D0D" w:rsidRDefault="00000000">
            <w:pPr>
              <w:rPr>
                <w:rFonts w:asciiTheme="minorHAnsi" w:hAnsiTheme="minorHAnsi"/>
              </w:rPr>
            </w:pPr>
            <w:r w:rsidRPr="00A23D0D">
              <w:rPr>
                <w:rFonts w:asciiTheme="minorHAnsi" w:hAnsiTheme="minorHAnsi"/>
              </w:rPr>
              <w:t>CDC/</w:t>
            </w:r>
            <w:proofErr w:type="spellStart"/>
            <w:r w:rsidRPr="00A23D0D">
              <w:rPr>
                <w:rFonts w:asciiTheme="minorHAnsi" w:hAnsiTheme="minorHAnsi"/>
              </w:rPr>
              <w:t>Verlenden</w:t>
            </w:r>
            <w:proofErr w:type="spellEnd"/>
            <w:r w:rsidRPr="00A23D0D">
              <w:rPr>
                <w:rFonts w:asciiTheme="minorHAnsi" w:hAnsiTheme="minorHAnsi"/>
              </w:rPr>
              <w:t xml:space="preserve"> et al. 2024 (MMWR Suppl.); Wilkins et al. 2023, MMWR Suppl.</w:t>
            </w:r>
          </w:p>
        </w:tc>
        <w:tc>
          <w:tcPr>
            <w:tcW w:w="2600" w:type="dxa"/>
            <w:tcMar>
              <w:top w:w="100" w:type="dxa"/>
              <w:left w:w="120" w:type="dxa"/>
              <w:bottom w:w="100" w:type="dxa"/>
              <w:right w:w="120" w:type="dxa"/>
            </w:tcMar>
          </w:tcPr>
          <w:p w14:paraId="52F875C8" w14:textId="77777777" w:rsidR="005B4263" w:rsidRPr="00A23D0D" w:rsidRDefault="00000000">
            <w:pPr>
              <w:rPr>
                <w:rFonts w:asciiTheme="minorHAnsi" w:hAnsiTheme="minorHAnsi"/>
              </w:rPr>
            </w:pPr>
            <w:r w:rsidRPr="00A23D0D">
              <w:rPr>
                <w:rFonts w:asciiTheme="minorHAnsi" w:hAnsiTheme="minorHAnsi"/>
              </w:rPr>
              <w:t xml:space="preserve">CDC found high school connectedness associated with lower prevalence of </w:t>
            </w:r>
            <w:r w:rsidRPr="00A23D0D">
              <w:rPr>
                <w:rFonts w:asciiTheme="minorHAnsi" w:hAnsiTheme="minorHAnsi"/>
              </w:rPr>
              <w:lastRenderedPageBreak/>
              <w:t>every indicator studied. Wilkins et al. is CDC's dedicated 2021 YRBS report specifically on school connectedness as a protective factor.</w:t>
            </w:r>
          </w:p>
        </w:tc>
      </w:tr>
      <w:tr w:rsidR="005B4263" w:rsidRPr="00A23D0D" w14:paraId="609A2856" w14:textId="77777777">
        <w:tblPrEx>
          <w:tblCellMar>
            <w:top w:w="0" w:type="dxa"/>
            <w:bottom w:w="0" w:type="dxa"/>
          </w:tblCellMar>
        </w:tblPrEx>
        <w:tc>
          <w:tcPr>
            <w:tcW w:w="1700" w:type="dxa"/>
            <w:tcMar>
              <w:top w:w="100" w:type="dxa"/>
              <w:left w:w="120" w:type="dxa"/>
              <w:bottom w:w="100" w:type="dxa"/>
              <w:right w:w="120" w:type="dxa"/>
            </w:tcMar>
          </w:tcPr>
          <w:p w14:paraId="33EFF991" w14:textId="77777777" w:rsidR="005B4263" w:rsidRPr="00A23D0D" w:rsidRDefault="00000000">
            <w:pPr>
              <w:rPr>
                <w:rFonts w:asciiTheme="minorHAnsi" w:hAnsiTheme="minorHAnsi"/>
              </w:rPr>
            </w:pPr>
            <w:r w:rsidRPr="00A23D0D">
              <w:rPr>
                <w:rFonts w:asciiTheme="minorHAnsi" w:hAnsiTheme="minorHAnsi"/>
              </w:rPr>
              <w:lastRenderedPageBreak/>
              <w:t>QN104 (Parental monitoring)</w:t>
            </w:r>
          </w:p>
        </w:tc>
        <w:tc>
          <w:tcPr>
            <w:tcW w:w="2600" w:type="dxa"/>
            <w:tcMar>
              <w:top w:w="100" w:type="dxa"/>
              <w:left w:w="120" w:type="dxa"/>
              <w:bottom w:w="100" w:type="dxa"/>
              <w:right w:w="120" w:type="dxa"/>
            </w:tcMar>
          </w:tcPr>
          <w:p w14:paraId="18460878" w14:textId="77777777" w:rsidR="005B4263" w:rsidRPr="00A23D0D" w:rsidRDefault="00000000">
            <w:pPr>
              <w:rPr>
                <w:rFonts w:asciiTheme="minorHAnsi" w:hAnsiTheme="minorHAnsi"/>
              </w:rPr>
            </w:pPr>
            <w:r w:rsidRPr="00A23D0D">
              <w:rPr>
                <w:rFonts w:asciiTheme="minorHAnsi" w:hAnsiTheme="minorHAnsi"/>
              </w:rPr>
              <w:t>Parents/adults usually or always know where student is and who with</w:t>
            </w:r>
          </w:p>
        </w:tc>
        <w:tc>
          <w:tcPr>
            <w:tcW w:w="2600" w:type="dxa"/>
            <w:tcMar>
              <w:top w:w="100" w:type="dxa"/>
              <w:left w:w="120" w:type="dxa"/>
              <w:bottom w:w="100" w:type="dxa"/>
              <w:right w:w="120" w:type="dxa"/>
            </w:tcMar>
          </w:tcPr>
          <w:p w14:paraId="51BFA06F" w14:textId="77777777" w:rsidR="005B4263" w:rsidRPr="00A23D0D" w:rsidRDefault="00000000">
            <w:pPr>
              <w:rPr>
                <w:rFonts w:asciiTheme="minorHAnsi" w:hAnsiTheme="minorHAnsi"/>
              </w:rPr>
            </w:pPr>
            <w:r w:rsidRPr="00A23D0D">
              <w:rPr>
                <w:rFonts w:asciiTheme="minorHAnsi" w:hAnsiTheme="minorHAnsi"/>
              </w:rPr>
              <w:t>CDC/</w:t>
            </w:r>
            <w:proofErr w:type="spellStart"/>
            <w:r w:rsidRPr="00A23D0D">
              <w:rPr>
                <w:rFonts w:asciiTheme="minorHAnsi" w:hAnsiTheme="minorHAnsi"/>
              </w:rPr>
              <w:t>Verlenden</w:t>
            </w:r>
            <w:proofErr w:type="spellEnd"/>
            <w:r w:rsidRPr="00A23D0D">
              <w:rPr>
                <w:rFonts w:asciiTheme="minorHAnsi" w:hAnsiTheme="minorHAnsi"/>
              </w:rPr>
              <w:t xml:space="preserve"> et al. 2024 (MMWR Suppl.); Dittus et al. 2023, MMWR Suppl.</w:t>
            </w:r>
          </w:p>
        </w:tc>
        <w:tc>
          <w:tcPr>
            <w:tcW w:w="2600" w:type="dxa"/>
            <w:tcMar>
              <w:top w:w="100" w:type="dxa"/>
              <w:left w:w="120" w:type="dxa"/>
              <w:bottom w:w="100" w:type="dxa"/>
              <w:right w:w="120" w:type="dxa"/>
            </w:tcMar>
          </w:tcPr>
          <w:p w14:paraId="3F7AAF0C" w14:textId="77777777" w:rsidR="005B4263" w:rsidRPr="00A23D0D" w:rsidRDefault="00000000">
            <w:pPr>
              <w:rPr>
                <w:rFonts w:asciiTheme="minorHAnsi" w:hAnsiTheme="minorHAnsi"/>
              </w:rPr>
            </w:pPr>
            <w:r w:rsidRPr="00A23D0D">
              <w:rPr>
                <w:rFonts w:asciiTheme="minorHAnsi" w:hAnsiTheme="minorHAnsi"/>
              </w:rPr>
              <w:t>CDC found high parental monitoring associated with lower prevalence of nearly all indicators. Dittus et al. is CDC's dedicated 2021 YRBS report specifically on parental monitoring.</w:t>
            </w:r>
          </w:p>
        </w:tc>
      </w:tr>
    </w:tbl>
    <w:p w14:paraId="150A684D" w14:textId="77777777" w:rsidR="005B4263" w:rsidRPr="00A23D0D" w:rsidRDefault="005B4263">
      <w:pPr>
        <w:spacing w:after="200"/>
        <w:rPr>
          <w:rFonts w:asciiTheme="minorHAnsi" w:hAnsiTheme="minorHAnsi"/>
        </w:rPr>
      </w:pPr>
    </w:p>
    <w:p w14:paraId="4B500B84" w14:textId="77777777" w:rsidR="005B4263" w:rsidRPr="00A23D0D" w:rsidRDefault="00000000">
      <w:pPr>
        <w:pStyle w:val="Heading1"/>
        <w:spacing w:before="300" w:after="150"/>
        <w:rPr>
          <w:rFonts w:asciiTheme="minorHAnsi" w:hAnsiTheme="minorHAnsi"/>
        </w:rPr>
      </w:pPr>
      <w:r w:rsidRPr="00A23D0D">
        <w:rPr>
          <w:rFonts w:asciiTheme="minorHAnsi" w:hAnsiTheme="minorHAnsi"/>
        </w:rPr>
        <w:t>Key points to make in the report</w:t>
      </w:r>
    </w:p>
    <w:p w14:paraId="58D6B3F9" w14:textId="77777777" w:rsidR="005B4263" w:rsidRPr="00A23D0D" w:rsidRDefault="00000000">
      <w:pPr>
        <w:spacing w:after="150"/>
        <w:rPr>
          <w:rFonts w:asciiTheme="minorHAnsi" w:hAnsiTheme="minorHAnsi"/>
        </w:rPr>
      </w:pPr>
      <w:r w:rsidRPr="00A23D0D">
        <w:rPr>
          <w:rFonts w:asciiTheme="minorHAnsi" w:hAnsiTheme="minorHAnsi"/>
          <w:sz w:val="22"/>
          <w:szCs w:val="22"/>
        </w:rPr>
        <w:t>CDC ran their own companion analysis of the 2023 YRBS (</w:t>
      </w:r>
      <w:proofErr w:type="spellStart"/>
      <w:r w:rsidRPr="00A23D0D">
        <w:rPr>
          <w:rFonts w:asciiTheme="minorHAnsi" w:hAnsiTheme="minorHAnsi"/>
          <w:sz w:val="22"/>
          <w:szCs w:val="22"/>
        </w:rPr>
        <w:t>Verlenden</w:t>
      </w:r>
      <w:proofErr w:type="spellEnd"/>
      <w:r w:rsidRPr="00A23D0D">
        <w:rPr>
          <w:rFonts w:asciiTheme="minorHAnsi" w:hAnsiTheme="minorHAnsi"/>
          <w:sz w:val="22"/>
          <w:szCs w:val="22"/>
        </w:rPr>
        <w:t xml:space="preserve"> et al., 2024</w:t>
      </w:r>
      <w:proofErr w:type="gramStart"/>
      <w:r w:rsidRPr="00A23D0D">
        <w:rPr>
          <w:rFonts w:asciiTheme="minorHAnsi" w:hAnsiTheme="minorHAnsi"/>
          <w:sz w:val="22"/>
          <w:szCs w:val="22"/>
        </w:rPr>
        <w:t>), and</w:t>
      </w:r>
      <w:proofErr w:type="gramEnd"/>
      <w:r w:rsidRPr="00A23D0D">
        <w:rPr>
          <w:rFonts w:asciiTheme="minorHAnsi" w:hAnsiTheme="minorHAnsi"/>
          <w:sz w:val="22"/>
          <w:szCs w:val="22"/>
        </w:rPr>
        <w:t xml:space="preserve"> used Taylor series linearisation and SUDAAN to get weighted prevalence estimates and adjusted prevalence ratios for protective factors. That's the same design-based approach used here, so it's a solid precedent for the method, not just the variables.</w:t>
      </w:r>
    </w:p>
    <w:p w14:paraId="3FC33C50" w14:textId="77777777" w:rsidR="005B4263" w:rsidRPr="00A23D0D" w:rsidRDefault="00000000">
      <w:pPr>
        <w:spacing w:after="150"/>
        <w:rPr>
          <w:rFonts w:asciiTheme="minorHAnsi" w:hAnsiTheme="minorHAnsi"/>
        </w:rPr>
      </w:pPr>
      <w:r w:rsidRPr="00A23D0D">
        <w:rPr>
          <w:rFonts w:asciiTheme="minorHAnsi" w:hAnsiTheme="minorHAnsi"/>
          <w:sz w:val="22"/>
          <w:szCs w:val="22"/>
        </w:rPr>
        <w:t>Sleep, basic needs met, school connectedness and parental monitoring are literally the variables CDC picked as protective factors for the 2023 YRBS. That's about as strong a justification for including them as you can get.</w:t>
      </w:r>
    </w:p>
    <w:p w14:paraId="3FED8F45" w14:textId="77777777" w:rsidR="005B4263" w:rsidRPr="00A23D0D" w:rsidRDefault="00000000">
      <w:pPr>
        <w:spacing w:after="150"/>
        <w:rPr>
          <w:rFonts w:asciiTheme="minorHAnsi" w:hAnsiTheme="minorHAnsi"/>
        </w:rPr>
      </w:pPr>
      <w:r w:rsidRPr="00A23D0D">
        <w:rPr>
          <w:rFonts w:asciiTheme="minorHAnsi" w:hAnsiTheme="minorHAnsi"/>
          <w:sz w:val="22"/>
          <w:szCs w:val="22"/>
        </w:rPr>
        <w:t>Grades (QN87) isn't one of CDC's six protective factors, and the wider research on academic performance and suicide risk is more mixed depending on the subgroup (differs by sex and ethnicity in a few studies). Worth naming as a limitation in the report rather than presenting it with the same confidence as the other four.</w:t>
      </w:r>
    </w:p>
    <w:p w14:paraId="179E2B7A" w14:textId="77777777" w:rsidR="005B4263" w:rsidRPr="00A23D0D" w:rsidRDefault="00000000">
      <w:pPr>
        <w:spacing w:after="150"/>
        <w:rPr>
          <w:rFonts w:asciiTheme="minorHAnsi" w:hAnsiTheme="minorHAnsi"/>
        </w:rPr>
      </w:pPr>
      <w:r w:rsidRPr="00A23D0D">
        <w:rPr>
          <w:rFonts w:asciiTheme="minorHAnsi" w:hAnsiTheme="minorHAnsi"/>
          <w:sz w:val="22"/>
          <w:szCs w:val="22"/>
        </w:rPr>
        <w:t>CDC's own paper is upfront that causality and direction can't be inferred from cross-sectional YRBS data, and that protective factors overlap enough that you can't fully tease apart their individual contributions. Handy line to cite for the causal-restraint wording the brief asks for.</w:t>
      </w:r>
    </w:p>
    <w:p w14:paraId="29F69FE5" w14:textId="77777777" w:rsidR="005B4263" w:rsidRPr="00A23D0D" w:rsidRDefault="00000000">
      <w:pPr>
        <w:pStyle w:val="Heading1"/>
        <w:spacing w:before="300" w:after="150"/>
        <w:rPr>
          <w:rFonts w:asciiTheme="minorHAnsi" w:hAnsiTheme="minorHAnsi"/>
        </w:rPr>
      </w:pPr>
      <w:r w:rsidRPr="00A23D0D">
        <w:rPr>
          <w:rFonts w:asciiTheme="minorHAnsi" w:hAnsiTheme="minorHAnsi"/>
        </w:rPr>
        <w:t>How these findings compare to published research</w:t>
      </w:r>
    </w:p>
    <w:p w14:paraId="7560CCFC" w14:textId="77777777" w:rsidR="005B4263" w:rsidRPr="00A23D0D" w:rsidRDefault="00000000">
      <w:pPr>
        <w:spacing w:after="150"/>
        <w:rPr>
          <w:rFonts w:asciiTheme="minorHAnsi" w:hAnsiTheme="minorHAnsi"/>
        </w:rPr>
      </w:pPr>
      <w:r w:rsidRPr="00A23D0D">
        <w:rPr>
          <w:rFonts w:asciiTheme="minorHAnsi" w:hAnsiTheme="minorHAnsi"/>
          <w:sz w:val="22"/>
          <w:szCs w:val="22"/>
        </w:rPr>
        <w:t>CDC ran a regression on the 2023 YRBS and worked out adjusted prevalence ratios for each protective factor, controlling for sex, sexual identity, grade, and race/ethnicity. A ratio under 1.0 means lower prevalence in the group with the protective factor - 0.53 roughly means half the risk. The table below puts my own (unadjusted) ratios for QN85, QN99, QN103 and QN104 next to CDC's adjusted numbers, plus outside literature for grades, since CDC didn't test that one themselves.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2650"/>
        <w:gridCol w:w="2650"/>
        <w:gridCol w:w="2100"/>
      </w:tblGrid>
      <w:tr w:rsidR="005B4263" w:rsidRPr="00A23D0D" w14:paraId="537940DF" w14:textId="77777777">
        <w:tblPrEx>
          <w:tblCellMar>
            <w:top w:w="0" w:type="dxa"/>
            <w:bottom w:w="0" w:type="dxa"/>
          </w:tblCellMar>
        </w:tblPrEx>
        <w:trPr>
          <w:tblHeader/>
        </w:trPr>
        <w:tc>
          <w:tcPr>
            <w:tcW w:w="2100" w:type="dxa"/>
            <w:shd w:val="clear" w:color="auto" w:fill="1F3864"/>
            <w:tcMar>
              <w:top w:w="100" w:type="dxa"/>
              <w:left w:w="120" w:type="dxa"/>
              <w:bottom w:w="100" w:type="dxa"/>
              <w:right w:w="120" w:type="dxa"/>
            </w:tcMar>
          </w:tcPr>
          <w:p w14:paraId="1DA4D39D" w14:textId="77777777" w:rsidR="005B4263" w:rsidRPr="00A23D0D" w:rsidRDefault="00000000">
            <w:pPr>
              <w:rPr>
                <w:rFonts w:asciiTheme="minorHAnsi" w:hAnsiTheme="minorHAnsi"/>
              </w:rPr>
            </w:pPr>
            <w:r w:rsidRPr="00A23D0D">
              <w:rPr>
                <w:rFonts w:asciiTheme="minorHAnsi" w:hAnsiTheme="minorHAnsi"/>
                <w:b/>
                <w:bCs/>
                <w:color w:val="FFFFFF"/>
              </w:rPr>
              <w:t>Factor</w:t>
            </w:r>
          </w:p>
        </w:tc>
        <w:tc>
          <w:tcPr>
            <w:tcW w:w="2650" w:type="dxa"/>
            <w:shd w:val="clear" w:color="auto" w:fill="1F3864"/>
            <w:tcMar>
              <w:top w:w="100" w:type="dxa"/>
              <w:left w:w="120" w:type="dxa"/>
              <w:bottom w:w="100" w:type="dxa"/>
              <w:right w:w="120" w:type="dxa"/>
            </w:tcMar>
          </w:tcPr>
          <w:p w14:paraId="5756EF72" w14:textId="77777777" w:rsidR="005B4263" w:rsidRPr="00A23D0D" w:rsidRDefault="00000000">
            <w:pPr>
              <w:rPr>
                <w:rFonts w:asciiTheme="minorHAnsi" w:hAnsiTheme="minorHAnsi"/>
              </w:rPr>
            </w:pPr>
            <w:r w:rsidRPr="00A23D0D">
              <w:rPr>
                <w:rFonts w:asciiTheme="minorHAnsi" w:hAnsiTheme="minorHAnsi"/>
                <w:b/>
                <w:bCs/>
                <w:color w:val="FFFFFF"/>
              </w:rPr>
              <w:t>CDC adjusted PR range (2023 YRBS)</w:t>
            </w:r>
          </w:p>
        </w:tc>
        <w:tc>
          <w:tcPr>
            <w:tcW w:w="2650" w:type="dxa"/>
            <w:shd w:val="clear" w:color="auto" w:fill="1F3864"/>
            <w:tcMar>
              <w:top w:w="100" w:type="dxa"/>
              <w:left w:w="120" w:type="dxa"/>
              <w:bottom w:w="100" w:type="dxa"/>
              <w:right w:w="120" w:type="dxa"/>
            </w:tcMar>
          </w:tcPr>
          <w:p w14:paraId="3D2CD835" w14:textId="77777777" w:rsidR="005B4263" w:rsidRPr="00A23D0D" w:rsidRDefault="00000000">
            <w:pPr>
              <w:rPr>
                <w:rFonts w:asciiTheme="minorHAnsi" w:hAnsiTheme="minorHAnsi"/>
              </w:rPr>
            </w:pPr>
            <w:r w:rsidRPr="00A23D0D">
              <w:rPr>
                <w:rFonts w:asciiTheme="minorHAnsi" w:hAnsiTheme="minorHAnsi"/>
                <w:b/>
                <w:bCs/>
                <w:color w:val="FFFFFF"/>
              </w:rPr>
              <w:t>This analysis's ratio range (unadjusted)</w:t>
            </w:r>
          </w:p>
        </w:tc>
        <w:tc>
          <w:tcPr>
            <w:tcW w:w="2100" w:type="dxa"/>
            <w:shd w:val="clear" w:color="auto" w:fill="1F3864"/>
            <w:tcMar>
              <w:top w:w="100" w:type="dxa"/>
              <w:left w:w="120" w:type="dxa"/>
              <w:bottom w:w="100" w:type="dxa"/>
              <w:right w:w="120" w:type="dxa"/>
            </w:tcMar>
          </w:tcPr>
          <w:p w14:paraId="7C6F4364" w14:textId="77777777" w:rsidR="005B4263" w:rsidRPr="00A23D0D" w:rsidRDefault="00000000">
            <w:pPr>
              <w:rPr>
                <w:rFonts w:asciiTheme="minorHAnsi" w:hAnsiTheme="minorHAnsi"/>
              </w:rPr>
            </w:pPr>
            <w:r w:rsidRPr="00A23D0D">
              <w:rPr>
                <w:rFonts w:asciiTheme="minorHAnsi" w:hAnsiTheme="minorHAnsi"/>
                <w:b/>
                <w:bCs/>
                <w:color w:val="FFFFFF"/>
              </w:rPr>
              <w:t>Agreement</w:t>
            </w:r>
          </w:p>
        </w:tc>
      </w:tr>
      <w:tr w:rsidR="005B4263" w:rsidRPr="00A23D0D" w14:paraId="0ACD98BB" w14:textId="77777777">
        <w:tblPrEx>
          <w:tblCellMar>
            <w:top w:w="0" w:type="dxa"/>
            <w:bottom w:w="0" w:type="dxa"/>
          </w:tblCellMar>
        </w:tblPrEx>
        <w:tc>
          <w:tcPr>
            <w:tcW w:w="2100" w:type="dxa"/>
            <w:tcMar>
              <w:top w:w="100" w:type="dxa"/>
              <w:left w:w="120" w:type="dxa"/>
              <w:bottom w:w="100" w:type="dxa"/>
              <w:right w:w="120" w:type="dxa"/>
            </w:tcMar>
          </w:tcPr>
          <w:p w14:paraId="6DBA9A6D" w14:textId="77777777" w:rsidR="005B4263" w:rsidRPr="00A23D0D" w:rsidRDefault="00000000">
            <w:pPr>
              <w:rPr>
                <w:rFonts w:asciiTheme="minorHAnsi" w:hAnsiTheme="minorHAnsi"/>
              </w:rPr>
            </w:pPr>
            <w:r w:rsidRPr="00A23D0D">
              <w:rPr>
                <w:rFonts w:asciiTheme="minorHAnsi" w:hAnsiTheme="minorHAnsi"/>
              </w:rPr>
              <w:t>Sleep (QN85)</w:t>
            </w:r>
          </w:p>
        </w:tc>
        <w:tc>
          <w:tcPr>
            <w:tcW w:w="2650" w:type="dxa"/>
            <w:tcMar>
              <w:top w:w="100" w:type="dxa"/>
              <w:left w:w="120" w:type="dxa"/>
              <w:bottom w:w="100" w:type="dxa"/>
              <w:right w:w="120" w:type="dxa"/>
            </w:tcMar>
          </w:tcPr>
          <w:p w14:paraId="2AC34B9F" w14:textId="77777777" w:rsidR="005B4263" w:rsidRPr="00A23D0D" w:rsidRDefault="00000000">
            <w:pPr>
              <w:rPr>
                <w:rFonts w:asciiTheme="minorHAnsi" w:hAnsiTheme="minorHAnsi"/>
              </w:rPr>
            </w:pPr>
            <w:r w:rsidRPr="00A23D0D">
              <w:rPr>
                <w:rFonts w:asciiTheme="minorHAnsi" w:hAnsiTheme="minorHAnsi"/>
              </w:rPr>
              <w:t>0.53-0.67</w:t>
            </w:r>
          </w:p>
        </w:tc>
        <w:tc>
          <w:tcPr>
            <w:tcW w:w="2650" w:type="dxa"/>
            <w:tcMar>
              <w:top w:w="100" w:type="dxa"/>
              <w:left w:w="120" w:type="dxa"/>
              <w:bottom w:w="100" w:type="dxa"/>
              <w:right w:w="120" w:type="dxa"/>
            </w:tcMar>
          </w:tcPr>
          <w:p w14:paraId="2138EEB3" w14:textId="77777777" w:rsidR="005B4263" w:rsidRPr="00A23D0D" w:rsidRDefault="00000000">
            <w:pPr>
              <w:rPr>
                <w:rFonts w:asciiTheme="minorHAnsi" w:hAnsiTheme="minorHAnsi"/>
              </w:rPr>
            </w:pPr>
            <w:r w:rsidRPr="00A23D0D">
              <w:rPr>
                <w:rFonts w:asciiTheme="minorHAnsi" w:hAnsiTheme="minorHAnsi"/>
              </w:rPr>
              <w:t>0.48-0.49</w:t>
            </w:r>
          </w:p>
        </w:tc>
        <w:tc>
          <w:tcPr>
            <w:tcW w:w="2100" w:type="dxa"/>
            <w:tcMar>
              <w:top w:w="100" w:type="dxa"/>
              <w:left w:w="120" w:type="dxa"/>
              <w:bottom w:w="100" w:type="dxa"/>
              <w:right w:w="120" w:type="dxa"/>
            </w:tcMar>
          </w:tcPr>
          <w:p w14:paraId="202A1E00" w14:textId="77777777" w:rsidR="005B4263" w:rsidRPr="00A23D0D" w:rsidRDefault="00000000">
            <w:pPr>
              <w:rPr>
                <w:rFonts w:asciiTheme="minorHAnsi" w:hAnsiTheme="minorHAnsi"/>
              </w:rPr>
            </w:pPr>
            <w:r w:rsidRPr="00A23D0D">
              <w:rPr>
                <w:rFonts w:asciiTheme="minorHAnsi" w:hAnsiTheme="minorHAnsi"/>
              </w:rPr>
              <w:t>Close match</w:t>
            </w:r>
          </w:p>
        </w:tc>
      </w:tr>
      <w:tr w:rsidR="005B4263" w:rsidRPr="00A23D0D" w14:paraId="515605E3" w14:textId="77777777">
        <w:tblPrEx>
          <w:tblCellMar>
            <w:top w:w="0" w:type="dxa"/>
            <w:bottom w:w="0" w:type="dxa"/>
          </w:tblCellMar>
        </w:tblPrEx>
        <w:tc>
          <w:tcPr>
            <w:tcW w:w="2100" w:type="dxa"/>
            <w:tcMar>
              <w:top w:w="100" w:type="dxa"/>
              <w:left w:w="120" w:type="dxa"/>
              <w:bottom w:w="100" w:type="dxa"/>
              <w:right w:w="120" w:type="dxa"/>
            </w:tcMar>
          </w:tcPr>
          <w:p w14:paraId="0C68F04A" w14:textId="77777777" w:rsidR="005B4263" w:rsidRPr="00A23D0D" w:rsidRDefault="00000000">
            <w:pPr>
              <w:rPr>
                <w:rFonts w:asciiTheme="minorHAnsi" w:hAnsiTheme="minorHAnsi"/>
              </w:rPr>
            </w:pPr>
            <w:r w:rsidRPr="00A23D0D">
              <w:rPr>
                <w:rFonts w:asciiTheme="minorHAnsi" w:hAnsiTheme="minorHAnsi"/>
              </w:rPr>
              <w:t>Basic needs met (QN99)</w:t>
            </w:r>
          </w:p>
        </w:tc>
        <w:tc>
          <w:tcPr>
            <w:tcW w:w="2650" w:type="dxa"/>
            <w:tcMar>
              <w:top w:w="100" w:type="dxa"/>
              <w:left w:w="120" w:type="dxa"/>
              <w:bottom w:w="100" w:type="dxa"/>
              <w:right w:w="120" w:type="dxa"/>
            </w:tcMar>
          </w:tcPr>
          <w:p w14:paraId="30D6FCC2" w14:textId="77777777" w:rsidR="005B4263" w:rsidRPr="00A23D0D" w:rsidRDefault="00000000">
            <w:pPr>
              <w:rPr>
                <w:rFonts w:asciiTheme="minorHAnsi" w:hAnsiTheme="minorHAnsi"/>
              </w:rPr>
            </w:pPr>
            <w:r w:rsidRPr="00A23D0D">
              <w:rPr>
                <w:rFonts w:asciiTheme="minorHAnsi" w:hAnsiTheme="minorHAnsi"/>
              </w:rPr>
              <w:t>0.41-0.80</w:t>
            </w:r>
          </w:p>
        </w:tc>
        <w:tc>
          <w:tcPr>
            <w:tcW w:w="2650" w:type="dxa"/>
            <w:tcMar>
              <w:top w:w="100" w:type="dxa"/>
              <w:left w:w="120" w:type="dxa"/>
              <w:bottom w:w="100" w:type="dxa"/>
              <w:right w:w="120" w:type="dxa"/>
            </w:tcMar>
          </w:tcPr>
          <w:p w14:paraId="42AB68F5" w14:textId="77777777" w:rsidR="005B4263" w:rsidRPr="00A23D0D" w:rsidRDefault="00000000">
            <w:pPr>
              <w:rPr>
                <w:rFonts w:asciiTheme="minorHAnsi" w:hAnsiTheme="minorHAnsi"/>
              </w:rPr>
            </w:pPr>
            <w:r w:rsidRPr="00A23D0D">
              <w:rPr>
                <w:rFonts w:asciiTheme="minorHAnsi" w:hAnsiTheme="minorHAnsi"/>
              </w:rPr>
              <w:t>0.23-0.66</w:t>
            </w:r>
          </w:p>
        </w:tc>
        <w:tc>
          <w:tcPr>
            <w:tcW w:w="2100" w:type="dxa"/>
            <w:tcMar>
              <w:top w:w="100" w:type="dxa"/>
              <w:left w:w="120" w:type="dxa"/>
              <w:bottom w:w="100" w:type="dxa"/>
              <w:right w:w="120" w:type="dxa"/>
            </w:tcMar>
          </w:tcPr>
          <w:p w14:paraId="44E6479C" w14:textId="77777777" w:rsidR="005B4263" w:rsidRPr="00A23D0D" w:rsidRDefault="00000000">
            <w:pPr>
              <w:rPr>
                <w:rFonts w:asciiTheme="minorHAnsi" w:hAnsiTheme="minorHAnsi"/>
              </w:rPr>
            </w:pPr>
            <w:r w:rsidRPr="00A23D0D">
              <w:rPr>
                <w:rFonts w:asciiTheme="minorHAnsi" w:hAnsiTheme="minorHAnsi"/>
              </w:rPr>
              <w:t>Close match</w:t>
            </w:r>
          </w:p>
        </w:tc>
      </w:tr>
      <w:tr w:rsidR="005B4263" w:rsidRPr="00A23D0D" w14:paraId="1EA16599" w14:textId="77777777">
        <w:tblPrEx>
          <w:tblCellMar>
            <w:top w:w="0" w:type="dxa"/>
            <w:bottom w:w="0" w:type="dxa"/>
          </w:tblCellMar>
        </w:tblPrEx>
        <w:tc>
          <w:tcPr>
            <w:tcW w:w="2100" w:type="dxa"/>
            <w:tcMar>
              <w:top w:w="100" w:type="dxa"/>
              <w:left w:w="120" w:type="dxa"/>
              <w:bottom w:w="100" w:type="dxa"/>
              <w:right w:w="120" w:type="dxa"/>
            </w:tcMar>
          </w:tcPr>
          <w:p w14:paraId="6C2CA39D" w14:textId="77777777" w:rsidR="005B4263" w:rsidRPr="00A23D0D" w:rsidRDefault="00000000">
            <w:pPr>
              <w:rPr>
                <w:rFonts w:asciiTheme="minorHAnsi" w:hAnsiTheme="minorHAnsi"/>
              </w:rPr>
            </w:pPr>
            <w:r w:rsidRPr="00A23D0D">
              <w:rPr>
                <w:rFonts w:asciiTheme="minorHAnsi" w:hAnsiTheme="minorHAnsi"/>
              </w:rPr>
              <w:lastRenderedPageBreak/>
              <w:t>Parental monitoring (QN104)</w:t>
            </w:r>
          </w:p>
        </w:tc>
        <w:tc>
          <w:tcPr>
            <w:tcW w:w="2650" w:type="dxa"/>
            <w:tcMar>
              <w:top w:w="100" w:type="dxa"/>
              <w:left w:w="120" w:type="dxa"/>
              <w:bottom w:w="100" w:type="dxa"/>
              <w:right w:w="120" w:type="dxa"/>
            </w:tcMar>
          </w:tcPr>
          <w:p w14:paraId="078DA930" w14:textId="77777777" w:rsidR="005B4263" w:rsidRPr="00A23D0D" w:rsidRDefault="00000000">
            <w:pPr>
              <w:rPr>
                <w:rFonts w:asciiTheme="minorHAnsi" w:hAnsiTheme="minorHAnsi"/>
              </w:rPr>
            </w:pPr>
            <w:r w:rsidRPr="00A23D0D">
              <w:rPr>
                <w:rFonts w:asciiTheme="minorHAnsi" w:hAnsiTheme="minorHAnsi"/>
              </w:rPr>
              <w:t>0.51-0.74</w:t>
            </w:r>
          </w:p>
        </w:tc>
        <w:tc>
          <w:tcPr>
            <w:tcW w:w="2650" w:type="dxa"/>
            <w:tcMar>
              <w:top w:w="100" w:type="dxa"/>
              <w:left w:w="120" w:type="dxa"/>
              <w:bottom w:w="100" w:type="dxa"/>
              <w:right w:w="120" w:type="dxa"/>
            </w:tcMar>
          </w:tcPr>
          <w:p w14:paraId="60A04052" w14:textId="77777777" w:rsidR="005B4263" w:rsidRPr="00A23D0D" w:rsidRDefault="00000000">
            <w:pPr>
              <w:rPr>
                <w:rFonts w:asciiTheme="minorHAnsi" w:hAnsiTheme="minorHAnsi"/>
              </w:rPr>
            </w:pPr>
            <w:r w:rsidRPr="00A23D0D">
              <w:rPr>
                <w:rFonts w:asciiTheme="minorHAnsi" w:hAnsiTheme="minorHAnsi"/>
              </w:rPr>
              <w:t>0.34-0.66</w:t>
            </w:r>
          </w:p>
        </w:tc>
        <w:tc>
          <w:tcPr>
            <w:tcW w:w="2100" w:type="dxa"/>
            <w:tcMar>
              <w:top w:w="100" w:type="dxa"/>
              <w:left w:w="120" w:type="dxa"/>
              <w:bottom w:w="100" w:type="dxa"/>
              <w:right w:w="120" w:type="dxa"/>
            </w:tcMar>
          </w:tcPr>
          <w:p w14:paraId="7ED0783B" w14:textId="77777777" w:rsidR="005B4263" w:rsidRPr="00A23D0D" w:rsidRDefault="00000000">
            <w:pPr>
              <w:rPr>
                <w:rFonts w:asciiTheme="minorHAnsi" w:hAnsiTheme="minorHAnsi"/>
              </w:rPr>
            </w:pPr>
            <w:r w:rsidRPr="00A23D0D">
              <w:rPr>
                <w:rFonts w:asciiTheme="minorHAnsi" w:hAnsiTheme="minorHAnsi"/>
              </w:rPr>
              <w:t>Close match</w:t>
            </w:r>
          </w:p>
        </w:tc>
      </w:tr>
      <w:tr w:rsidR="005B4263" w:rsidRPr="00A23D0D" w14:paraId="2BAFD4D1" w14:textId="77777777">
        <w:tblPrEx>
          <w:tblCellMar>
            <w:top w:w="0" w:type="dxa"/>
            <w:bottom w:w="0" w:type="dxa"/>
          </w:tblCellMar>
        </w:tblPrEx>
        <w:tc>
          <w:tcPr>
            <w:tcW w:w="2100" w:type="dxa"/>
            <w:tcMar>
              <w:top w:w="100" w:type="dxa"/>
              <w:left w:w="120" w:type="dxa"/>
              <w:bottom w:w="100" w:type="dxa"/>
              <w:right w:w="120" w:type="dxa"/>
            </w:tcMar>
          </w:tcPr>
          <w:p w14:paraId="30C3634B" w14:textId="77777777" w:rsidR="005B4263" w:rsidRPr="00A23D0D" w:rsidRDefault="00000000">
            <w:pPr>
              <w:rPr>
                <w:rFonts w:asciiTheme="minorHAnsi" w:hAnsiTheme="minorHAnsi"/>
              </w:rPr>
            </w:pPr>
            <w:r w:rsidRPr="00A23D0D">
              <w:rPr>
                <w:rFonts w:asciiTheme="minorHAnsi" w:hAnsiTheme="minorHAnsi"/>
              </w:rPr>
              <w:t>School connectedness (QN103)</w:t>
            </w:r>
          </w:p>
        </w:tc>
        <w:tc>
          <w:tcPr>
            <w:tcW w:w="2650" w:type="dxa"/>
            <w:tcMar>
              <w:top w:w="100" w:type="dxa"/>
              <w:left w:w="120" w:type="dxa"/>
              <w:bottom w:w="100" w:type="dxa"/>
              <w:right w:w="120" w:type="dxa"/>
            </w:tcMar>
          </w:tcPr>
          <w:p w14:paraId="52C4FD60" w14:textId="77777777" w:rsidR="005B4263" w:rsidRPr="00A23D0D" w:rsidRDefault="00000000">
            <w:pPr>
              <w:rPr>
                <w:rFonts w:asciiTheme="minorHAnsi" w:hAnsiTheme="minorHAnsi"/>
              </w:rPr>
            </w:pPr>
            <w:r w:rsidRPr="00A23D0D">
              <w:rPr>
                <w:rFonts w:asciiTheme="minorHAnsi" w:hAnsiTheme="minorHAnsi"/>
              </w:rPr>
              <w:t>0.63-0.70</w:t>
            </w:r>
          </w:p>
        </w:tc>
        <w:tc>
          <w:tcPr>
            <w:tcW w:w="2650" w:type="dxa"/>
            <w:tcMar>
              <w:top w:w="100" w:type="dxa"/>
              <w:left w:w="120" w:type="dxa"/>
              <w:bottom w:w="100" w:type="dxa"/>
              <w:right w:w="120" w:type="dxa"/>
            </w:tcMar>
          </w:tcPr>
          <w:p w14:paraId="6A393080" w14:textId="77777777" w:rsidR="005B4263" w:rsidRPr="00A23D0D" w:rsidRDefault="00000000">
            <w:pPr>
              <w:rPr>
                <w:rFonts w:asciiTheme="minorHAnsi" w:hAnsiTheme="minorHAnsi"/>
              </w:rPr>
            </w:pPr>
            <w:r w:rsidRPr="00A23D0D">
              <w:rPr>
                <w:rFonts w:asciiTheme="minorHAnsi" w:hAnsiTheme="minorHAnsi"/>
              </w:rPr>
              <w:t>0.52-0.56</w:t>
            </w:r>
          </w:p>
        </w:tc>
        <w:tc>
          <w:tcPr>
            <w:tcW w:w="2100" w:type="dxa"/>
            <w:tcMar>
              <w:top w:w="100" w:type="dxa"/>
              <w:left w:w="120" w:type="dxa"/>
              <w:bottom w:w="100" w:type="dxa"/>
              <w:right w:w="120" w:type="dxa"/>
            </w:tcMar>
          </w:tcPr>
          <w:p w14:paraId="2F069C88" w14:textId="77777777" w:rsidR="005B4263" w:rsidRPr="00A23D0D" w:rsidRDefault="00000000">
            <w:pPr>
              <w:rPr>
                <w:rFonts w:asciiTheme="minorHAnsi" w:hAnsiTheme="minorHAnsi"/>
              </w:rPr>
            </w:pPr>
            <w:r w:rsidRPr="00A23D0D">
              <w:rPr>
                <w:rFonts w:asciiTheme="minorHAnsi" w:hAnsiTheme="minorHAnsi"/>
              </w:rPr>
              <w:t>Close match</w:t>
            </w:r>
          </w:p>
        </w:tc>
      </w:tr>
      <w:tr w:rsidR="005B4263" w:rsidRPr="00A23D0D" w14:paraId="1695036C" w14:textId="77777777">
        <w:tblPrEx>
          <w:tblCellMar>
            <w:top w:w="0" w:type="dxa"/>
            <w:bottom w:w="0" w:type="dxa"/>
          </w:tblCellMar>
        </w:tblPrEx>
        <w:tc>
          <w:tcPr>
            <w:tcW w:w="2100" w:type="dxa"/>
            <w:tcMar>
              <w:top w:w="100" w:type="dxa"/>
              <w:left w:w="120" w:type="dxa"/>
              <w:bottom w:w="100" w:type="dxa"/>
              <w:right w:w="120" w:type="dxa"/>
            </w:tcMar>
          </w:tcPr>
          <w:p w14:paraId="13840D60" w14:textId="77777777" w:rsidR="005B4263" w:rsidRPr="00A23D0D" w:rsidRDefault="00000000">
            <w:pPr>
              <w:rPr>
                <w:rFonts w:asciiTheme="minorHAnsi" w:hAnsiTheme="minorHAnsi"/>
              </w:rPr>
            </w:pPr>
            <w:r w:rsidRPr="00A23D0D">
              <w:rPr>
                <w:rFonts w:asciiTheme="minorHAnsi" w:hAnsiTheme="minorHAnsi"/>
              </w:rPr>
              <w:t>Grades (QN87)</w:t>
            </w:r>
          </w:p>
        </w:tc>
        <w:tc>
          <w:tcPr>
            <w:tcW w:w="2650" w:type="dxa"/>
            <w:tcMar>
              <w:top w:w="100" w:type="dxa"/>
              <w:left w:w="120" w:type="dxa"/>
              <w:bottom w:w="100" w:type="dxa"/>
              <w:right w:w="120" w:type="dxa"/>
            </w:tcMar>
          </w:tcPr>
          <w:p w14:paraId="4C01DF3C" w14:textId="77777777" w:rsidR="005B4263" w:rsidRPr="00A23D0D" w:rsidRDefault="00000000">
            <w:pPr>
              <w:rPr>
                <w:rFonts w:asciiTheme="minorHAnsi" w:hAnsiTheme="minorHAnsi"/>
              </w:rPr>
            </w:pPr>
            <w:r w:rsidRPr="00A23D0D">
              <w:rPr>
                <w:rFonts w:asciiTheme="minorHAnsi" w:hAnsiTheme="minorHAnsi"/>
              </w:rPr>
              <w:t>Not tested by CDC</w:t>
            </w:r>
          </w:p>
        </w:tc>
        <w:tc>
          <w:tcPr>
            <w:tcW w:w="2650" w:type="dxa"/>
            <w:tcMar>
              <w:top w:w="100" w:type="dxa"/>
              <w:left w:w="120" w:type="dxa"/>
              <w:bottom w:w="100" w:type="dxa"/>
              <w:right w:w="120" w:type="dxa"/>
            </w:tcMar>
          </w:tcPr>
          <w:p w14:paraId="7EDDE5F2" w14:textId="77777777" w:rsidR="005B4263" w:rsidRPr="00A23D0D" w:rsidRDefault="00000000">
            <w:pPr>
              <w:rPr>
                <w:rFonts w:asciiTheme="minorHAnsi" w:hAnsiTheme="minorHAnsi"/>
              </w:rPr>
            </w:pPr>
            <w:r w:rsidRPr="00A23D0D">
              <w:rPr>
                <w:rFonts w:asciiTheme="minorHAnsi" w:hAnsiTheme="minorHAnsi"/>
              </w:rPr>
              <w:t>0.34-0.66</w:t>
            </w:r>
          </w:p>
        </w:tc>
        <w:tc>
          <w:tcPr>
            <w:tcW w:w="2100" w:type="dxa"/>
            <w:tcMar>
              <w:top w:w="100" w:type="dxa"/>
              <w:left w:w="120" w:type="dxa"/>
              <w:bottom w:w="100" w:type="dxa"/>
              <w:right w:w="120" w:type="dxa"/>
            </w:tcMar>
          </w:tcPr>
          <w:p w14:paraId="21CB7D5C" w14:textId="77777777" w:rsidR="005B4263" w:rsidRPr="00A23D0D" w:rsidRDefault="00000000">
            <w:pPr>
              <w:rPr>
                <w:rFonts w:asciiTheme="minorHAnsi" w:hAnsiTheme="minorHAnsi"/>
              </w:rPr>
            </w:pPr>
            <w:r w:rsidRPr="00A23D0D">
              <w:rPr>
                <w:rFonts w:asciiTheme="minorHAnsi" w:hAnsiTheme="minorHAnsi"/>
              </w:rPr>
              <w:t>Directionally consistent with outside literature (see below)</w:t>
            </w:r>
          </w:p>
        </w:tc>
      </w:tr>
    </w:tbl>
    <w:p w14:paraId="6DB10745" w14:textId="77777777" w:rsidR="005B4263" w:rsidRPr="00A23D0D" w:rsidRDefault="005B4263">
      <w:pPr>
        <w:spacing w:after="200"/>
        <w:rPr>
          <w:rFonts w:asciiTheme="minorHAnsi" w:hAnsiTheme="minorHAnsi"/>
        </w:rPr>
      </w:pPr>
    </w:p>
    <w:p w14:paraId="3B70D562" w14:textId="77777777" w:rsidR="005B4263" w:rsidRPr="00A23D0D" w:rsidRDefault="00000000">
      <w:pPr>
        <w:spacing w:after="150"/>
        <w:rPr>
          <w:rFonts w:asciiTheme="minorHAnsi" w:hAnsiTheme="minorHAnsi"/>
        </w:rPr>
      </w:pPr>
      <w:r w:rsidRPr="00A23D0D">
        <w:rPr>
          <w:rFonts w:asciiTheme="minorHAnsi" w:hAnsiTheme="minorHAnsi"/>
          <w:sz w:val="22"/>
          <w:szCs w:val="22"/>
        </w:rPr>
        <w:t>For sleep, basic needs, parental monitoring and school connectedness, my unadjusted ratios sit close to - and sometimes a bit stronger than - CDC's adjusted ones from the same dataset. That's expected, since I'm not controlling for demographics the way CDC did, but it's a good sign that the pattern I found lines up with their official published results rather than being some quirk of my own analysis.</w:t>
      </w:r>
    </w:p>
    <w:p w14:paraId="72B6D90E" w14:textId="77777777" w:rsidR="005B4263" w:rsidRPr="00A23D0D" w:rsidRDefault="00000000">
      <w:pPr>
        <w:spacing w:after="150"/>
        <w:rPr>
          <w:rFonts w:asciiTheme="minorHAnsi" w:hAnsiTheme="minorHAnsi"/>
        </w:rPr>
      </w:pPr>
      <w:r w:rsidRPr="00A23D0D">
        <w:rPr>
          <w:rFonts w:asciiTheme="minorHAnsi" w:hAnsiTheme="minorHAnsi"/>
          <w:sz w:val="22"/>
          <w:szCs w:val="22"/>
        </w:rPr>
        <w:t>Grades needed outside sources since CDC didn't test it. A Mexican national survey found students with fair or poor grades had over twice the odds of a suicide attempt compared with students who rated their performance as very good (OR = 2.35, 95% CI 1.56-3.54) - roughly the mirror image of my own ratio (0.34-0.66) and a similar size. A large Swedish cohort found close to a fivefold higher suicide-attempt risk in the lowest GPA quartile versus the highest, though that's comparing the two extremes of GPA rather than a simple yes/no split, so the size isn't directly comparable - just the direction. One review also flagged that GPA was strongly linked to fewer suicide attempts for Hispanic boys specifically, but not girls, in a study it cites - a reminder that the grades link isn't as consistent across groups as the other four factors are.</w:t>
      </w:r>
    </w:p>
    <w:p w14:paraId="6BB1E0B9" w14:textId="77777777" w:rsidR="005B4263" w:rsidRPr="00A23D0D" w:rsidRDefault="00000000">
      <w:pPr>
        <w:spacing w:after="150"/>
        <w:rPr>
          <w:rFonts w:asciiTheme="minorHAnsi" w:hAnsiTheme="minorHAnsi"/>
        </w:rPr>
      </w:pPr>
      <w:r w:rsidRPr="00A23D0D">
        <w:rPr>
          <w:rFonts w:asciiTheme="minorHAnsi" w:hAnsiTheme="minorHAnsi"/>
          <w:sz w:val="22"/>
          <w:szCs w:val="22"/>
        </w:rPr>
        <w:t xml:space="preserve">Sentence I'd </w:t>
      </w:r>
      <w:proofErr w:type="gramStart"/>
      <w:r w:rsidRPr="00A23D0D">
        <w:rPr>
          <w:rFonts w:asciiTheme="minorHAnsi" w:hAnsiTheme="minorHAnsi"/>
          <w:sz w:val="22"/>
          <w:szCs w:val="22"/>
        </w:rPr>
        <w:t>actually use</w:t>
      </w:r>
      <w:proofErr w:type="gramEnd"/>
      <w:r w:rsidRPr="00A23D0D">
        <w:rPr>
          <w:rFonts w:asciiTheme="minorHAnsi" w:hAnsiTheme="minorHAnsi"/>
          <w:sz w:val="22"/>
          <w:szCs w:val="22"/>
        </w:rPr>
        <w:t xml:space="preserve"> in the report: my unadjusted prevalence ratios for sleep, basic needs, parental monitoring and school connectedness closely mirror CDC's own adjusted prevalence ratios for the 2023 YRBS, which gives some external validation to these findings. Grades showed a similarly sized association, consistent in direction with prior literature, though this factor is less consistently supported across studies and subgroups than the other four.</w:t>
      </w:r>
    </w:p>
    <w:p w14:paraId="2207161D" w14:textId="77777777" w:rsidR="005B4263" w:rsidRPr="00A23D0D" w:rsidRDefault="00000000">
      <w:pPr>
        <w:pStyle w:val="Heading1"/>
        <w:spacing w:before="300" w:after="150"/>
        <w:rPr>
          <w:rFonts w:asciiTheme="minorHAnsi" w:hAnsiTheme="minorHAnsi"/>
        </w:rPr>
      </w:pPr>
      <w:r w:rsidRPr="00A23D0D">
        <w:rPr>
          <w:rFonts w:asciiTheme="minorHAnsi" w:hAnsiTheme="minorHAnsi"/>
        </w:rPr>
        <w:t>Reference list</w:t>
      </w:r>
    </w:p>
    <w:p w14:paraId="04E82896" w14:textId="77777777" w:rsidR="005B4263" w:rsidRPr="00A23D0D" w:rsidRDefault="00000000">
      <w:pPr>
        <w:pStyle w:val="Heading2"/>
        <w:spacing w:before="200" w:after="100"/>
        <w:rPr>
          <w:rFonts w:asciiTheme="minorHAnsi" w:hAnsiTheme="minorHAnsi"/>
        </w:rPr>
      </w:pPr>
      <w:r w:rsidRPr="00A23D0D">
        <w:rPr>
          <w:rFonts w:asciiTheme="minorHAnsi" w:hAnsiTheme="minorHAnsi"/>
        </w:rPr>
        <w:t>Primary source</w:t>
      </w:r>
    </w:p>
    <w:p w14:paraId="5969B1FF" w14:textId="77777777" w:rsidR="005B4263" w:rsidRPr="00A23D0D" w:rsidRDefault="00000000">
      <w:pPr>
        <w:spacing w:after="120"/>
        <w:ind w:left="360" w:hanging="360"/>
        <w:rPr>
          <w:rFonts w:asciiTheme="minorHAnsi" w:hAnsiTheme="minorHAnsi"/>
        </w:rPr>
      </w:pPr>
      <w:proofErr w:type="spellStart"/>
      <w:r w:rsidRPr="00A23D0D">
        <w:rPr>
          <w:rFonts w:asciiTheme="minorHAnsi" w:hAnsiTheme="minorHAnsi"/>
          <w:sz w:val="22"/>
          <w:szCs w:val="22"/>
        </w:rPr>
        <w:t>Verlenden</w:t>
      </w:r>
      <w:proofErr w:type="spellEnd"/>
      <w:r w:rsidRPr="00A23D0D">
        <w:rPr>
          <w:rFonts w:asciiTheme="minorHAnsi" w:hAnsiTheme="minorHAnsi"/>
          <w:sz w:val="22"/>
          <w:szCs w:val="22"/>
        </w:rPr>
        <w:t xml:space="preserve"> JV, </w:t>
      </w:r>
      <w:proofErr w:type="spellStart"/>
      <w:r w:rsidRPr="00A23D0D">
        <w:rPr>
          <w:rFonts w:asciiTheme="minorHAnsi" w:hAnsiTheme="minorHAnsi"/>
          <w:sz w:val="22"/>
          <w:szCs w:val="22"/>
        </w:rPr>
        <w:t>Fodeman</w:t>
      </w:r>
      <w:proofErr w:type="spellEnd"/>
      <w:r w:rsidRPr="00A23D0D">
        <w:rPr>
          <w:rFonts w:asciiTheme="minorHAnsi" w:hAnsiTheme="minorHAnsi"/>
          <w:sz w:val="22"/>
          <w:szCs w:val="22"/>
        </w:rPr>
        <w:t xml:space="preserve"> A, Wilkins N, Everett Jones S, Moore S, Cornett K, Sims V, Saelee R, Brener ND. Mental Health and Suicide Risk Among High School Students and Protective Factors - Youth Risk </w:t>
      </w:r>
      <w:proofErr w:type="spellStart"/>
      <w:r w:rsidRPr="00A23D0D">
        <w:rPr>
          <w:rFonts w:asciiTheme="minorHAnsi" w:hAnsiTheme="minorHAnsi"/>
          <w:sz w:val="22"/>
          <w:szCs w:val="22"/>
        </w:rPr>
        <w:t>Behavior</w:t>
      </w:r>
      <w:proofErr w:type="spellEnd"/>
      <w:r w:rsidRPr="00A23D0D">
        <w:rPr>
          <w:rFonts w:asciiTheme="minorHAnsi" w:hAnsiTheme="minorHAnsi"/>
          <w:sz w:val="22"/>
          <w:szCs w:val="22"/>
        </w:rPr>
        <w:t xml:space="preserve"> Survey, United States, 2023. MMWR Suppl. 2024;73(4):79-86. https://www.cdc.gov/mmwr/volumes/73/su/pdfs/su7304a9-H.pdf</w:t>
      </w:r>
    </w:p>
    <w:p w14:paraId="46DE639F" w14:textId="77777777" w:rsidR="005B4263" w:rsidRPr="00A23D0D" w:rsidRDefault="00000000">
      <w:pPr>
        <w:pStyle w:val="Heading2"/>
        <w:spacing w:before="200" w:after="100"/>
        <w:rPr>
          <w:rFonts w:asciiTheme="minorHAnsi" w:hAnsiTheme="minorHAnsi"/>
        </w:rPr>
      </w:pPr>
      <w:r w:rsidRPr="00A23D0D">
        <w:rPr>
          <w:rFonts w:asciiTheme="minorHAnsi" w:hAnsiTheme="minorHAnsi"/>
        </w:rPr>
        <w:t>Supporting sources - Sleep (QN85)</w:t>
      </w:r>
    </w:p>
    <w:p w14:paraId="5CA09863" w14:textId="77777777" w:rsidR="005B4263" w:rsidRPr="00A23D0D" w:rsidRDefault="00000000">
      <w:pPr>
        <w:spacing w:after="120"/>
        <w:ind w:left="360" w:hanging="360"/>
        <w:rPr>
          <w:rFonts w:asciiTheme="minorHAnsi" w:hAnsiTheme="minorHAnsi"/>
        </w:rPr>
      </w:pPr>
      <w:r w:rsidRPr="00A23D0D">
        <w:rPr>
          <w:rFonts w:asciiTheme="minorHAnsi" w:hAnsiTheme="minorHAnsi"/>
          <w:sz w:val="22"/>
          <w:szCs w:val="22"/>
        </w:rPr>
        <w:t xml:space="preserve">Hamilton JL, </w:t>
      </w:r>
      <w:proofErr w:type="spellStart"/>
      <w:r w:rsidRPr="00A23D0D">
        <w:rPr>
          <w:rFonts w:asciiTheme="minorHAnsi" w:hAnsiTheme="minorHAnsi"/>
          <w:sz w:val="22"/>
          <w:szCs w:val="22"/>
        </w:rPr>
        <w:t>Tsypes</w:t>
      </w:r>
      <w:proofErr w:type="spellEnd"/>
      <w:r w:rsidRPr="00A23D0D">
        <w:rPr>
          <w:rFonts w:asciiTheme="minorHAnsi" w:hAnsiTheme="minorHAnsi"/>
          <w:sz w:val="22"/>
          <w:szCs w:val="22"/>
        </w:rPr>
        <w:t xml:space="preserve"> A, Zelazny J, et al. Sleep influences daily suicidal ideation through affective reactivity to interpersonal events among high-risk adolescents and young adults. J Child </w:t>
      </w:r>
      <w:proofErr w:type="spellStart"/>
      <w:r w:rsidRPr="00A23D0D">
        <w:rPr>
          <w:rFonts w:asciiTheme="minorHAnsi" w:hAnsiTheme="minorHAnsi"/>
          <w:sz w:val="22"/>
          <w:szCs w:val="22"/>
        </w:rPr>
        <w:t>Psychol</w:t>
      </w:r>
      <w:proofErr w:type="spellEnd"/>
      <w:r w:rsidRPr="00A23D0D">
        <w:rPr>
          <w:rFonts w:asciiTheme="minorHAnsi" w:hAnsiTheme="minorHAnsi"/>
          <w:sz w:val="22"/>
          <w:szCs w:val="22"/>
        </w:rPr>
        <w:t xml:space="preserve"> Psychiatry. </w:t>
      </w:r>
      <w:proofErr w:type="gramStart"/>
      <w:r w:rsidRPr="00A23D0D">
        <w:rPr>
          <w:rFonts w:asciiTheme="minorHAnsi" w:hAnsiTheme="minorHAnsi"/>
          <w:sz w:val="22"/>
          <w:szCs w:val="22"/>
        </w:rPr>
        <w:t>2023;64:27</w:t>
      </w:r>
      <w:proofErr w:type="gramEnd"/>
      <w:r w:rsidRPr="00A23D0D">
        <w:rPr>
          <w:rFonts w:asciiTheme="minorHAnsi" w:hAnsiTheme="minorHAnsi"/>
          <w:sz w:val="22"/>
          <w:szCs w:val="22"/>
        </w:rPr>
        <w:t>-38.</w:t>
      </w:r>
    </w:p>
    <w:p w14:paraId="1802EEB3" w14:textId="77777777" w:rsidR="005B4263" w:rsidRPr="00A23D0D" w:rsidRDefault="00000000">
      <w:pPr>
        <w:pStyle w:val="Heading2"/>
        <w:spacing w:before="200" w:after="100"/>
        <w:rPr>
          <w:rFonts w:asciiTheme="minorHAnsi" w:hAnsiTheme="minorHAnsi"/>
        </w:rPr>
      </w:pPr>
      <w:r w:rsidRPr="00A23D0D">
        <w:rPr>
          <w:rFonts w:asciiTheme="minorHAnsi" w:hAnsiTheme="minorHAnsi"/>
        </w:rPr>
        <w:t>Supporting sources - Grades (QN87)</w:t>
      </w:r>
    </w:p>
    <w:p w14:paraId="438C0F9C" w14:textId="77777777" w:rsidR="005B4263" w:rsidRPr="00A23D0D" w:rsidRDefault="00000000">
      <w:pPr>
        <w:spacing w:after="120"/>
        <w:ind w:left="360" w:hanging="360"/>
        <w:rPr>
          <w:rFonts w:asciiTheme="minorHAnsi" w:hAnsiTheme="minorHAnsi"/>
        </w:rPr>
      </w:pPr>
      <w:proofErr w:type="spellStart"/>
      <w:r w:rsidRPr="00A23D0D">
        <w:rPr>
          <w:rFonts w:asciiTheme="minorHAnsi" w:hAnsiTheme="minorHAnsi"/>
          <w:sz w:val="22"/>
          <w:szCs w:val="22"/>
        </w:rPr>
        <w:lastRenderedPageBreak/>
        <w:t>Sorberg</w:t>
      </w:r>
      <w:proofErr w:type="spellEnd"/>
      <w:r w:rsidRPr="00A23D0D">
        <w:rPr>
          <w:rFonts w:asciiTheme="minorHAnsi" w:hAnsiTheme="minorHAnsi"/>
          <w:sz w:val="22"/>
          <w:szCs w:val="22"/>
        </w:rPr>
        <w:t xml:space="preserve"> Wallin A, et al. The causal effect of education and cognitive performance on risk for suicide attempt: a combined instrumental variable and co-relative approach in a Swedish national cohort. PLOS Medicine / related Acta </w:t>
      </w:r>
      <w:proofErr w:type="spellStart"/>
      <w:r w:rsidRPr="00A23D0D">
        <w:rPr>
          <w:rFonts w:asciiTheme="minorHAnsi" w:hAnsiTheme="minorHAnsi"/>
          <w:sz w:val="22"/>
          <w:szCs w:val="22"/>
        </w:rPr>
        <w:t>Psychiatr</w:t>
      </w:r>
      <w:proofErr w:type="spellEnd"/>
      <w:r w:rsidRPr="00A23D0D">
        <w:rPr>
          <w:rFonts w:asciiTheme="minorHAnsi" w:hAnsiTheme="minorHAnsi"/>
          <w:sz w:val="22"/>
          <w:szCs w:val="22"/>
        </w:rPr>
        <w:t xml:space="preserve"> Scand reporting. https://pmc.ncbi.nlm.nih.gov/articles/PMC8957535/ (reported on in: ScienceDaily, 'Academic performance predicts risk of suicide attempt in adults', https://www.sciencedaily.com/releases/2017/11/171108092303.htm - </w:t>
      </w:r>
      <w:proofErr w:type="gramStart"/>
      <w:r w:rsidRPr="00A23D0D">
        <w:rPr>
          <w:rFonts w:asciiTheme="minorHAnsi" w:hAnsiTheme="minorHAnsi"/>
          <w:sz w:val="22"/>
          <w:szCs w:val="22"/>
        </w:rPr>
        <w:t>finding:</w:t>
      </w:r>
      <w:proofErr w:type="gramEnd"/>
      <w:r w:rsidRPr="00A23D0D">
        <w:rPr>
          <w:rFonts w:asciiTheme="minorHAnsi" w:hAnsiTheme="minorHAnsi"/>
          <w:sz w:val="22"/>
          <w:szCs w:val="22"/>
        </w:rPr>
        <w:t xml:space="preserve"> approximately fivefold higher suicide-attempt risk in lowest vs highest GPA quartile, adjusting for childhood IQ)</w:t>
      </w:r>
    </w:p>
    <w:p w14:paraId="6F3FB18E" w14:textId="77777777" w:rsidR="005B4263" w:rsidRPr="00A23D0D" w:rsidRDefault="00000000">
      <w:pPr>
        <w:spacing w:after="120"/>
        <w:ind w:left="360" w:hanging="360"/>
        <w:rPr>
          <w:rFonts w:asciiTheme="minorHAnsi" w:hAnsiTheme="minorHAnsi"/>
        </w:rPr>
      </w:pPr>
      <w:r w:rsidRPr="00A23D0D">
        <w:rPr>
          <w:rFonts w:asciiTheme="minorHAnsi" w:hAnsiTheme="minorHAnsi"/>
          <w:sz w:val="22"/>
          <w:szCs w:val="22"/>
        </w:rPr>
        <w:t>Academic performance in childhood and the risk of attempting suicide as an adult. ScienceDirect. https://www.sciencedirect.com/science/article/abs/pii/S0213616317300319</w:t>
      </w:r>
    </w:p>
    <w:p w14:paraId="798B8546" w14:textId="77777777" w:rsidR="005B4263" w:rsidRPr="00A23D0D" w:rsidRDefault="00000000">
      <w:pPr>
        <w:spacing w:after="120"/>
        <w:ind w:left="360" w:hanging="360"/>
        <w:rPr>
          <w:rFonts w:asciiTheme="minorHAnsi" w:hAnsiTheme="minorHAnsi"/>
        </w:rPr>
      </w:pPr>
      <w:r w:rsidRPr="00A23D0D">
        <w:rPr>
          <w:rFonts w:asciiTheme="minorHAnsi" w:hAnsiTheme="minorHAnsi"/>
          <w:sz w:val="22"/>
          <w:szCs w:val="22"/>
        </w:rPr>
        <w:t xml:space="preserve">Mendoza Solis A, et al. Association between attempted suicide and academic performance indicators among middle and high school students in Mexico: results from a national survey. Child </w:t>
      </w:r>
      <w:proofErr w:type="spellStart"/>
      <w:r w:rsidRPr="00A23D0D">
        <w:rPr>
          <w:rFonts w:asciiTheme="minorHAnsi" w:hAnsiTheme="minorHAnsi"/>
          <w:sz w:val="22"/>
          <w:szCs w:val="22"/>
        </w:rPr>
        <w:t>Adolesc</w:t>
      </w:r>
      <w:proofErr w:type="spellEnd"/>
      <w:r w:rsidRPr="00A23D0D">
        <w:rPr>
          <w:rFonts w:asciiTheme="minorHAnsi" w:hAnsiTheme="minorHAnsi"/>
          <w:sz w:val="22"/>
          <w:szCs w:val="22"/>
        </w:rPr>
        <w:t xml:space="preserve"> Psychiatry Ment Health. https://capmh.biomedcentral.com/articles/10.1186/s13034-018-0215-6 / https://pmc.ncbi.nlm.nih.gov/articles/PMC5781286/ - </w:t>
      </w:r>
      <w:proofErr w:type="gramStart"/>
      <w:r w:rsidRPr="00A23D0D">
        <w:rPr>
          <w:rFonts w:asciiTheme="minorHAnsi" w:hAnsiTheme="minorHAnsi"/>
          <w:sz w:val="22"/>
          <w:szCs w:val="22"/>
        </w:rPr>
        <w:t>finding:</w:t>
      </w:r>
      <w:proofErr w:type="gramEnd"/>
      <w:r w:rsidRPr="00A23D0D">
        <w:rPr>
          <w:rFonts w:asciiTheme="minorHAnsi" w:hAnsiTheme="minorHAnsi"/>
          <w:sz w:val="22"/>
          <w:szCs w:val="22"/>
        </w:rPr>
        <w:t xml:space="preserve"> fair/poor academic performance associated with OR = 2.35 (95% CI 1.56-3.54) for suicide attempt versus very good performance.</w:t>
      </w:r>
    </w:p>
    <w:p w14:paraId="7884D5D2" w14:textId="77777777" w:rsidR="005B4263" w:rsidRPr="00A23D0D" w:rsidRDefault="00000000">
      <w:pPr>
        <w:spacing w:after="120"/>
        <w:ind w:left="360" w:hanging="360"/>
        <w:rPr>
          <w:rFonts w:asciiTheme="minorHAnsi" w:hAnsiTheme="minorHAnsi"/>
        </w:rPr>
      </w:pPr>
      <w:r w:rsidRPr="00A23D0D">
        <w:rPr>
          <w:rFonts w:asciiTheme="minorHAnsi" w:hAnsiTheme="minorHAnsi"/>
          <w:sz w:val="22"/>
          <w:szCs w:val="22"/>
        </w:rPr>
        <w:t>School Risk and Protective Factors of Suicide: A Cultural Model of Suicide Risk and Protective Factors in Schools. https://pmc.ncbi.nlm.nih.gov/articles/PMC9354860/ - cites Borowsky IW, et al. 2001 for the finding that GPA was strongly related to lower suicide attempts among Hispanic boys (OR = 0.15) but not girls (mixed findings by ethnicity/sex - cite for the caveat, not just the positive finding).</w:t>
      </w:r>
    </w:p>
    <w:p w14:paraId="1B0BE230" w14:textId="77777777" w:rsidR="005B4263" w:rsidRPr="00A23D0D" w:rsidRDefault="00000000">
      <w:pPr>
        <w:pStyle w:val="Heading2"/>
        <w:spacing w:before="200" w:after="100"/>
        <w:rPr>
          <w:rFonts w:asciiTheme="minorHAnsi" w:hAnsiTheme="minorHAnsi"/>
        </w:rPr>
      </w:pPr>
      <w:r w:rsidRPr="00A23D0D">
        <w:rPr>
          <w:rFonts w:asciiTheme="minorHAnsi" w:hAnsiTheme="minorHAnsi"/>
        </w:rPr>
        <w:t>Supporting sources - Basic needs met (QN99)</w:t>
      </w:r>
    </w:p>
    <w:p w14:paraId="31F0F985" w14:textId="77777777" w:rsidR="005B4263" w:rsidRPr="00A23D0D" w:rsidRDefault="00000000">
      <w:pPr>
        <w:spacing w:after="120"/>
        <w:ind w:left="360" w:hanging="360"/>
        <w:rPr>
          <w:rFonts w:asciiTheme="minorHAnsi" w:hAnsiTheme="minorHAnsi"/>
        </w:rPr>
      </w:pPr>
      <w:r w:rsidRPr="00A23D0D">
        <w:rPr>
          <w:rFonts w:asciiTheme="minorHAnsi" w:hAnsiTheme="minorHAnsi"/>
          <w:sz w:val="22"/>
          <w:szCs w:val="22"/>
        </w:rPr>
        <w:t xml:space="preserve">National Academies of Sciences, Engineering, and Medicine. Fostering Healthy Mental, Emotional, and </w:t>
      </w:r>
      <w:proofErr w:type="spellStart"/>
      <w:r w:rsidRPr="00A23D0D">
        <w:rPr>
          <w:rFonts w:asciiTheme="minorHAnsi" w:hAnsiTheme="minorHAnsi"/>
          <w:sz w:val="22"/>
          <w:szCs w:val="22"/>
        </w:rPr>
        <w:t>Behavioral</w:t>
      </w:r>
      <w:proofErr w:type="spellEnd"/>
      <w:r w:rsidRPr="00A23D0D">
        <w:rPr>
          <w:rFonts w:asciiTheme="minorHAnsi" w:hAnsiTheme="minorHAnsi"/>
          <w:sz w:val="22"/>
          <w:szCs w:val="22"/>
        </w:rPr>
        <w:t xml:space="preserve"> Development in Children and Youth: A National Agenda. Washington, DC: The National Academies Press; 2019. https://doi.org/10.17226/25201</w:t>
      </w:r>
    </w:p>
    <w:p w14:paraId="04A131FF" w14:textId="77777777" w:rsidR="005B4263" w:rsidRPr="00A23D0D" w:rsidRDefault="00000000">
      <w:pPr>
        <w:pStyle w:val="Heading2"/>
        <w:spacing w:before="200" w:after="100"/>
        <w:rPr>
          <w:rFonts w:asciiTheme="minorHAnsi" w:hAnsiTheme="minorHAnsi"/>
        </w:rPr>
      </w:pPr>
      <w:r w:rsidRPr="00A23D0D">
        <w:rPr>
          <w:rFonts w:asciiTheme="minorHAnsi" w:hAnsiTheme="minorHAnsi"/>
        </w:rPr>
        <w:t>Supporting sources - School connectedness (QN103)</w:t>
      </w:r>
    </w:p>
    <w:p w14:paraId="3707AC79" w14:textId="77777777" w:rsidR="005B4263" w:rsidRPr="00A23D0D" w:rsidRDefault="00000000">
      <w:pPr>
        <w:spacing w:after="120"/>
        <w:ind w:left="360" w:hanging="360"/>
        <w:rPr>
          <w:rFonts w:asciiTheme="minorHAnsi" w:hAnsiTheme="minorHAnsi"/>
        </w:rPr>
      </w:pPr>
      <w:r w:rsidRPr="00A23D0D">
        <w:rPr>
          <w:rFonts w:asciiTheme="minorHAnsi" w:hAnsiTheme="minorHAnsi"/>
          <w:sz w:val="22"/>
          <w:szCs w:val="22"/>
        </w:rPr>
        <w:t xml:space="preserve">Wilkins NJ, Krause KH, </w:t>
      </w:r>
      <w:proofErr w:type="spellStart"/>
      <w:r w:rsidRPr="00A23D0D">
        <w:rPr>
          <w:rFonts w:asciiTheme="minorHAnsi" w:hAnsiTheme="minorHAnsi"/>
          <w:sz w:val="22"/>
          <w:szCs w:val="22"/>
        </w:rPr>
        <w:t>Verlenden</w:t>
      </w:r>
      <w:proofErr w:type="spellEnd"/>
      <w:r w:rsidRPr="00A23D0D">
        <w:rPr>
          <w:rFonts w:asciiTheme="minorHAnsi" w:hAnsiTheme="minorHAnsi"/>
          <w:sz w:val="22"/>
          <w:szCs w:val="22"/>
        </w:rPr>
        <w:t xml:space="preserve"> JV, et al. School connectedness and risk </w:t>
      </w:r>
      <w:proofErr w:type="spellStart"/>
      <w:r w:rsidRPr="00A23D0D">
        <w:rPr>
          <w:rFonts w:asciiTheme="minorHAnsi" w:hAnsiTheme="minorHAnsi"/>
          <w:sz w:val="22"/>
          <w:szCs w:val="22"/>
        </w:rPr>
        <w:t>behaviors</w:t>
      </w:r>
      <w:proofErr w:type="spellEnd"/>
      <w:r w:rsidRPr="00A23D0D">
        <w:rPr>
          <w:rFonts w:asciiTheme="minorHAnsi" w:hAnsiTheme="minorHAnsi"/>
          <w:sz w:val="22"/>
          <w:szCs w:val="22"/>
        </w:rPr>
        <w:t xml:space="preserve"> and experiences among high school students - Youth Risk </w:t>
      </w:r>
      <w:proofErr w:type="spellStart"/>
      <w:r w:rsidRPr="00A23D0D">
        <w:rPr>
          <w:rFonts w:asciiTheme="minorHAnsi" w:hAnsiTheme="minorHAnsi"/>
          <w:sz w:val="22"/>
          <w:szCs w:val="22"/>
        </w:rPr>
        <w:t>Behavior</w:t>
      </w:r>
      <w:proofErr w:type="spellEnd"/>
      <w:r w:rsidRPr="00A23D0D">
        <w:rPr>
          <w:rFonts w:asciiTheme="minorHAnsi" w:hAnsiTheme="minorHAnsi"/>
          <w:sz w:val="22"/>
          <w:szCs w:val="22"/>
        </w:rPr>
        <w:t xml:space="preserve"> Survey, United States, 2021. MMWR Suppl. 2023;72(Suppl-1):13-21.</w:t>
      </w:r>
    </w:p>
    <w:p w14:paraId="3C707792" w14:textId="77777777" w:rsidR="005B4263" w:rsidRPr="00A23D0D" w:rsidRDefault="00000000">
      <w:pPr>
        <w:pStyle w:val="Heading2"/>
        <w:spacing w:before="200" w:after="100"/>
        <w:rPr>
          <w:rFonts w:asciiTheme="minorHAnsi" w:hAnsiTheme="minorHAnsi"/>
        </w:rPr>
      </w:pPr>
      <w:r w:rsidRPr="00A23D0D">
        <w:rPr>
          <w:rFonts w:asciiTheme="minorHAnsi" w:hAnsiTheme="minorHAnsi"/>
        </w:rPr>
        <w:t>Supporting sources - Parental monitoring (QN104)</w:t>
      </w:r>
    </w:p>
    <w:p w14:paraId="41A7FF2B" w14:textId="77777777" w:rsidR="005B4263" w:rsidRPr="00A23D0D" w:rsidRDefault="00000000">
      <w:pPr>
        <w:spacing w:after="120"/>
        <w:ind w:left="360" w:hanging="360"/>
        <w:rPr>
          <w:rFonts w:asciiTheme="minorHAnsi" w:hAnsiTheme="minorHAnsi"/>
        </w:rPr>
      </w:pPr>
      <w:r w:rsidRPr="00A23D0D">
        <w:rPr>
          <w:rFonts w:asciiTheme="minorHAnsi" w:hAnsiTheme="minorHAnsi"/>
          <w:sz w:val="22"/>
          <w:szCs w:val="22"/>
        </w:rPr>
        <w:t xml:space="preserve">Dittus PJ, Li J, </w:t>
      </w:r>
      <w:proofErr w:type="spellStart"/>
      <w:r w:rsidRPr="00A23D0D">
        <w:rPr>
          <w:rFonts w:asciiTheme="minorHAnsi" w:hAnsiTheme="minorHAnsi"/>
          <w:sz w:val="22"/>
          <w:szCs w:val="22"/>
        </w:rPr>
        <w:t>Verlenden</w:t>
      </w:r>
      <w:proofErr w:type="spellEnd"/>
      <w:r w:rsidRPr="00A23D0D">
        <w:rPr>
          <w:rFonts w:asciiTheme="minorHAnsi" w:hAnsiTheme="minorHAnsi"/>
          <w:sz w:val="22"/>
          <w:szCs w:val="22"/>
        </w:rPr>
        <w:t xml:space="preserve"> JV, et al. Parental monitoring and risk </w:t>
      </w:r>
      <w:proofErr w:type="spellStart"/>
      <w:r w:rsidRPr="00A23D0D">
        <w:rPr>
          <w:rFonts w:asciiTheme="minorHAnsi" w:hAnsiTheme="minorHAnsi"/>
          <w:sz w:val="22"/>
          <w:szCs w:val="22"/>
        </w:rPr>
        <w:t>behaviors</w:t>
      </w:r>
      <w:proofErr w:type="spellEnd"/>
      <w:r w:rsidRPr="00A23D0D">
        <w:rPr>
          <w:rFonts w:asciiTheme="minorHAnsi" w:hAnsiTheme="minorHAnsi"/>
          <w:sz w:val="22"/>
          <w:szCs w:val="22"/>
        </w:rPr>
        <w:t xml:space="preserve"> and experiences among high school students - Youth Risk </w:t>
      </w:r>
      <w:proofErr w:type="spellStart"/>
      <w:r w:rsidRPr="00A23D0D">
        <w:rPr>
          <w:rFonts w:asciiTheme="minorHAnsi" w:hAnsiTheme="minorHAnsi"/>
          <w:sz w:val="22"/>
          <w:szCs w:val="22"/>
        </w:rPr>
        <w:t>Behavior</w:t>
      </w:r>
      <w:proofErr w:type="spellEnd"/>
      <w:r w:rsidRPr="00A23D0D">
        <w:rPr>
          <w:rFonts w:asciiTheme="minorHAnsi" w:hAnsiTheme="minorHAnsi"/>
          <w:sz w:val="22"/>
          <w:szCs w:val="22"/>
        </w:rPr>
        <w:t xml:space="preserve"> Survey, United States, 2021. MMWR Suppl. 2023;72(Suppl-1):37-44.</w:t>
      </w:r>
    </w:p>
    <w:p w14:paraId="253601FA" w14:textId="38E54F47" w:rsidR="005B4263" w:rsidRPr="00A23D0D" w:rsidRDefault="005B4263">
      <w:pPr>
        <w:rPr>
          <w:rFonts w:asciiTheme="minorHAnsi" w:hAnsiTheme="minorHAnsi"/>
        </w:rPr>
      </w:pPr>
    </w:p>
    <w:sectPr w:rsidR="005B4263" w:rsidRPr="00A23D0D">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994E30"/>
    <w:multiLevelType w:val="hybridMultilevel"/>
    <w:tmpl w:val="9678F716"/>
    <w:lvl w:ilvl="0" w:tplc="9EE0A1EC">
      <w:start w:val="1"/>
      <w:numFmt w:val="bullet"/>
      <w:lvlText w:val="●"/>
      <w:lvlJc w:val="left"/>
      <w:pPr>
        <w:ind w:left="720" w:hanging="360"/>
      </w:pPr>
    </w:lvl>
    <w:lvl w:ilvl="1" w:tplc="75666AD2">
      <w:start w:val="1"/>
      <w:numFmt w:val="bullet"/>
      <w:lvlText w:val="○"/>
      <w:lvlJc w:val="left"/>
      <w:pPr>
        <w:ind w:left="1440" w:hanging="360"/>
      </w:pPr>
    </w:lvl>
    <w:lvl w:ilvl="2" w:tplc="6FCEAEAE">
      <w:start w:val="1"/>
      <w:numFmt w:val="bullet"/>
      <w:lvlText w:val="■"/>
      <w:lvlJc w:val="left"/>
      <w:pPr>
        <w:ind w:left="2160" w:hanging="360"/>
      </w:pPr>
    </w:lvl>
    <w:lvl w:ilvl="3" w:tplc="F1CCD3C6">
      <w:start w:val="1"/>
      <w:numFmt w:val="bullet"/>
      <w:lvlText w:val="●"/>
      <w:lvlJc w:val="left"/>
      <w:pPr>
        <w:ind w:left="2880" w:hanging="360"/>
      </w:pPr>
    </w:lvl>
    <w:lvl w:ilvl="4" w:tplc="E1A8A606">
      <w:start w:val="1"/>
      <w:numFmt w:val="bullet"/>
      <w:lvlText w:val="○"/>
      <w:lvlJc w:val="left"/>
      <w:pPr>
        <w:ind w:left="3600" w:hanging="360"/>
      </w:pPr>
    </w:lvl>
    <w:lvl w:ilvl="5" w:tplc="9CEA2BF6">
      <w:start w:val="1"/>
      <w:numFmt w:val="bullet"/>
      <w:lvlText w:val="■"/>
      <w:lvlJc w:val="left"/>
      <w:pPr>
        <w:ind w:left="4320" w:hanging="360"/>
      </w:pPr>
    </w:lvl>
    <w:lvl w:ilvl="6" w:tplc="E4F65D26">
      <w:start w:val="1"/>
      <w:numFmt w:val="bullet"/>
      <w:lvlText w:val="●"/>
      <w:lvlJc w:val="left"/>
      <w:pPr>
        <w:ind w:left="5040" w:hanging="360"/>
      </w:pPr>
    </w:lvl>
    <w:lvl w:ilvl="7" w:tplc="05E477A2">
      <w:start w:val="1"/>
      <w:numFmt w:val="bullet"/>
      <w:lvlText w:val="●"/>
      <w:lvlJc w:val="left"/>
      <w:pPr>
        <w:ind w:left="5760" w:hanging="360"/>
      </w:pPr>
    </w:lvl>
    <w:lvl w:ilvl="8" w:tplc="EB2CB3C0">
      <w:start w:val="1"/>
      <w:numFmt w:val="bullet"/>
      <w:lvlText w:val="●"/>
      <w:lvlJc w:val="left"/>
      <w:pPr>
        <w:ind w:left="6480" w:hanging="360"/>
      </w:pPr>
    </w:lvl>
  </w:abstractNum>
  <w:num w:numId="1" w16cid:durableId="21269643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4263"/>
    <w:rsid w:val="005B4263"/>
    <w:rsid w:val="00982370"/>
    <w:rsid w:val="00A23D0D"/>
    <w:rsid w:val="00CA0AB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F2EE5F"/>
  <w15:docId w15:val="{40D0A2B6-E6FA-4113-ACBD-7D3CE3DEFC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1437</Words>
  <Characters>8191</Characters>
  <Application>Microsoft Office Word</Application>
  <DocSecurity>0</DocSecurity>
  <Lines>68</Lines>
  <Paragraphs>19</Paragraphs>
  <ScaleCrop>false</ScaleCrop>
  <Company/>
  <LinksUpToDate>false</LinksUpToDate>
  <CharactersWithSpaces>9609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Aliya Ojiako [qzgb7881]</cp:lastModifiedBy>
  <cp:revision>3</cp:revision>
  <dcterms:created xsi:type="dcterms:W3CDTF">2026-08-09T16:26:00Z</dcterms:created>
  <dcterms:modified xsi:type="dcterms:W3CDTF">2026-08-09T16:27:00Z</dcterms:modified>
</cp:coreProperties>
</file>