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宠物健康档案与随访计划</w:t>
      </w:r>
    </w:p>
    <w:p>
      <w:r>
        <w:t>本文件用于建立可持续更新的个体健康档案，随访节奏按物种、体型与年龄分层，具体项目应由主诊兽医按体检结果调整。</w:t>
      </w:r>
    </w:p>
    <w:p>
      <w:pPr>
        <w:pStyle w:val="Heading2"/>
      </w:pPr>
      <w:r>
        <w:t>建档必录项目</w:t>
      </w:r>
    </w:p>
    <w:p>
      <w:r>
        <w:t>身份信息：名字、物种、品种或外观描述、性别与绝育状态、出生日期或到家的估算日期、体重与体况评分基线、芯片号、照片（正侧位各一张）。</w:t>
      </w:r>
    </w:p>
    <w:p>
      <w:r>
        <w:t>免疫与驱虫：每针疫苗的产品名称与批号、接种日期、下次加强时间、接种后反应；体内外驱虫的成分、给药日期与下次时间；粪检结果。</w:t>
      </w:r>
    </w:p>
    <w:p>
      <w:r>
        <w:t>日常基线：每日喂食量与粮品牌、餐次、饮水量的大致范围、排便习惯、运动量与睡眠时间。基线数据是发现异常的唯一参照，务必在健康期先记录两周。</w:t>
      </w:r>
    </w:p>
    <w:p>
      <w:r>
        <w:t>异常事件：每次呕吐腹泻、皮肤问题、排尿异常、外伤的日期、表现、持续时间、当次就诊结论与用药。</w:t>
      </w:r>
    </w:p>
    <w:p>
      <w:pPr>
        <w:pStyle w:val="Heading2"/>
      </w:pPr>
      <w:r>
        <w:t>随访节奏参考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体检频率</w:t>
            </w:r>
          </w:p>
        </w:tc>
        <w:tc>
          <w:tcPr>
            <w:tcW w:type="dxa" w:w="2160"/>
          </w:tcPr>
          <w:p>
            <w:r>
              <w:t>重点检查项</w:t>
            </w:r>
          </w:p>
        </w:tc>
        <w:tc>
          <w:tcPr>
            <w:tcW w:type="dxa" w:w="2160"/>
          </w:tcPr>
          <w:p>
            <w:r>
              <w:t>主人日常监测</w:t>
            </w:r>
          </w:p>
        </w:tc>
      </w:tr>
      <w:tr>
        <w:tc>
          <w:tcPr>
            <w:tcW w:type="dxa" w:w="2160"/>
          </w:tcPr>
          <w:p>
            <w:r>
              <w:t>幼年期（至1岁）</w:t>
            </w:r>
          </w:p>
        </w:tc>
        <w:tc>
          <w:tcPr>
            <w:tcW w:type="dxa" w:w="2160"/>
          </w:tcPr>
          <w:p>
            <w:r>
              <w:t>首免期按医嘱每2至4周</w:t>
            </w:r>
          </w:p>
        </w:tc>
        <w:tc>
          <w:tcPr>
            <w:tcW w:type="dxa" w:w="2160"/>
          </w:tcPr>
          <w:p>
            <w:r>
              <w:t>粪检、体重增长、口腔与骨骼发育</w:t>
            </w:r>
          </w:p>
        </w:tc>
        <w:tc>
          <w:tcPr>
            <w:tcW w:type="dxa" w:w="2160"/>
          </w:tcPr>
          <w:p>
            <w:r>
              <w:t>每周称重、记录餐次与粪便</w:t>
            </w:r>
          </w:p>
        </w:tc>
      </w:tr>
      <w:tr>
        <w:tc>
          <w:tcPr>
            <w:tcW w:type="dxa" w:w="2160"/>
          </w:tcPr>
          <w:p>
            <w:r>
              <w:t>成年期（1至7岁）</w:t>
            </w:r>
          </w:p>
        </w:tc>
        <w:tc>
          <w:tcPr>
            <w:tcW w:type="dxa" w:w="2160"/>
          </w:tcPr>
          <w:p>
            <w:r>
              <w:t>每年一次</w:t>
            </w:r>
          </w:p>
        </w:tc>
        <w:tc>
          <w:tcPr>
            <w:tcW w:type="dxa" w:w="2160"/>
          </w:tcPr>
          <w:p>
            <w:r>
              <w:t>体格、口腔、体况评分、疫苗加强</w:t>
            </w:r>
          </w:p>
        </w:tc>
        <w:tc>
          <w:tcPr>
            <w:tcW w:type="dxa" w:w="2160"/>
          </w:tcPr>
          <w:p>
            <w:r>
              <w:t>每月体重、每季体况自查</w:t>
            </w:r>
          </w:p>
        </w:tc>
      </w:tr>
      <w:tr>
        <w:tc>
          <w:tcPr>
            <w:tcW w:type="dxa" w:w="2160"/>
          </w:tcPr>
          <w:p>
            <w:r>
              <w:t>老年前期（7至10岁）</w:t>
            </w:r>
          </w:p>
        </w:tc>
        <w:tc>
          <w:tcPr>
            <w:tcW w:type="dxa" w:w="2160"/>
          </w:tcPr>
          <w:p>
            <w:r>
              <w:t>每6至12个月</w:t>
            </w:r>
          </w:p>
        </w:tc>
        <w:tc>
          <w:tcPr>
            <w:tcW w:type="dxa" w:w="2160"/>
          </w:tcPr>
          <w:p>
            <w:r>
              <w:t>血检生化、尿检、血压、心音</w:t>
            </w:r>
          </w:p>
        </w:tc>
        <w:tc>
          <w:tcPr>
            <w:tcW w:type="dxa" w:w="2160"/>
          </w:tcPr>
          <w:p>
            <w:r>
              <w:t>每周体重、饮水量与尿团变化</w:t>
            </w:r>
          </w:p>
        </w:tc>
      </w:tr>
      <w:tr>
        <w:tc>
          <w:tcPr>
            <w:tcW w:type="dxa" w:w="2160"/>
          </w:tcPr>
          <w:p>
            <w:r>
              <w:t>高龄（10岁以上）</w:t>
            </w:r>
          </w:p>
        </w:tc>
        <w:tc>
          <w:tcPr>
            <w:tcW w:type="dxa" w:w="2160"/>
          </w:tcPr>
          <w:p>
            <w:r>
              <w:t>每6个月</w:t>
            </w:r>
          </w:p>
        </w:tc>
        <w:tc>
          <w:tcPr>
            <w:tcW w:type="dxa" w:w="2160"/>
          </w:tcPr>
          <w:p>
            <w:r>
              <w:t>SDMA与肌酐、T4（猫）、影像、关节疼痛评估</w:t>
            </w:r>
          </w:p>
        </w:tc>
        <w:tc>
          <w:tcPr>
            <w:tcW w:type="dxa" w:w="2160"/>
          </w:tcPr>
          <w:p>
            <w:r>
              <w:t>呼吸频率、夜间行为、上下跳跃能力</w:t>
            </w:r>
          </w:p>
        </w:tc>
      </w:tr>
      <w:tr>
        <w:tc>
          <w:tcPr>
            <w:tcW w:type="dxa" w:w="2160"/>
          </w:tcPr>
          <w:p>
            <w:r>
              <w:t>慢病管理中</w:t>
            </w:r>
          </w:p>
        </w:tc>
        <w:tc>
          <w:tcPr>
            <w:tcW w:type="dxa" w:w="2160"/>
          </w:tcPr>
          <w:p>
            <w:r>
              <w:t>按病种1至3个月</w:t>
            </w:r>
          </w:p>
        </w:tc>
        <w:tc>
          <w:tcPr>
            <w:tcW w:type="dxa" w:w="2160"/>
          </w:tcPr>
          <w:p>
            <w:r>
              <w:t>疾病专项指标复查与用药调整</w:t>
            </w:r>
          </w:p>
        </w:tc>
        <w:tc>
          <w:tcPr>
            <w:tcW w:type="dxa" w:w="2160"/>
          </w:tcPr>
          <w:p>
            <w:r>
              <w:t>按医嘱记录症状量表</w:t>
            </w:r>
          </w:p>
        </w:tc>
      </w:tr>
    </w:tbl>
    <w:p>
      <w:pPr>
        <w:pStyle w:val="Heading2"/>
      </w:pPr>
      <w:r>
        <w:t>就诊资料携带清单</w:t>
      </w:r>
    </w:p>
    <w:p>
      <w:r>
        <w:t>疫苗本与驱虫记录、正在使用的所有药物与补充剂（含剂量）、既往检查报告与影像片、近期症状视频与照片、饮食记录（品牌与每日量）、以及一份写着问题列表的纸（诊室容易遗忘要问的内容）。</w:t>
      </w:r>
    </w:p>
    <w:p>
      <w:pPr>
        <w:pStyle w:val="Heading2"/>
      </w:pPr>
      <w:r>
        <w:t>档案更新与安全</w:t>
      </w:r>
    </w:p>
    <w:p>
      <w:r>
        <w:t>每次就诊后 24 小时内补录结论与下次随访日期，避免信息衰减。纸质档案易丢失，建议同时保存电子扫描件并备份；家庭成员都应能访问急诊医院与夜间医院的联系方式。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宠物健康档案与随访计划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