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000000"/>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000000"/>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000000"/>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000000"/>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000000"/>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rPr>
          <w:color w:val="000000"/>
        </w:rP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rPr>
          <w:color w:val="000000"/>
        </w:rP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rPr>
          <w:color w:val="000000"/>
        </w:rP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rPr>
          <w:color w:val="000000"/>
        </w:rP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rPr>
          <w:color w:val="000000"/>
        </w:rP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rPr>
          <w:color w:val="000000"/>
        </w:rP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rPr>
          <w:color w:val="000000"/>
        </w:rPr>
        <w:t>Method definitions</w:t>
      </w:r>
    </w:p>
    <w:p>
      <w:pPr>
        <w:pStyle w:val="Heading2"/>
        <w:keepNext/>
      </w:pPr>
      <w:r>
        <w:rPr>
          <w:color w:val="000000"/>
        </w:rP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rPr>
          <w:color w:val="000000"/>
        </w:rP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rPr>
          <w:color w:val="000000"/>
        </w:rP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26-method, seven-score results and analysis</w:t>
      </w:r>
    </w:p>
    <w:p>
      <w:pPr>
        <w:spacing w:after="200"/>
      </w:pPr>
      <w:r>
        <w:rPr>
          <w:rFonts w:ascii="Arial Unicode MS" w:hAnsi="Arial Unicode MS" w:eastAsia="Arial Unicode MS"/>
          <w:b w:val="0"/>
          <w:color w:val="4B5563"/>
          <w:sz w:val="24"/>
        </w:rPr>
        <w:t>Cube · seed 3072 · 477 audited base cells + optional 8-cell C2/C3 endpoints</w:t>
      </w:r>
    </w:p>
    <w:p>
      <w:pPr>
        <w:spacing w:after="120"/>
      </w:pPr>
      <w:r>
        <w:rPr>
          <w:rFonts w:ascii="Arial Unicode MS" w:hAnsi="Arial Unicode MS" w:eastAsia="Arial Unicode MS"/>
          <w:b/>
          <w:color w:val="7A5A00"/>
          <w:sz w:val="21"/>
        </w:rPr>
        <w:t>The preceding pages preserve the detailed Legacy and V0/V1 method reference from the previous document. This final section is backed by the complete 477-cell audit, while its single master matrix also reserves the strict C2-E10/C3-E12 endpoint cells. Every displayed result uses the same 50 start-goal pairs; the companion ledgers retain all 23,850 Boolean outcomes. All training uses one seed, so no statistical-significance claim is made.</w:t>
      </w:r>
    </w:p>
    <w:p>
      <w:pPr>
        <w:pStyle w:val="Heading1"/>
        <w:keepNext/>
        <w:pageBreakBefore w:val="0"/>
        <w:spacing w:after="100"/>
      </w:pPr>
      <w:r>
        <w:rPr>
          <w:rFonts w:ascii="Arial Unicode MS" w:hAnsi="Arial Unicode MS" w:eastAsia="Arial Unicode MS"/>
          <w:b/>
          <w:color w:val="000000"/>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00000"/>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bl>
    <w:p>
      <w:pPr>
        <w:spacing w:after="80"/>
      </w:pPr>
    </w:p>
    <w:p>
      <w:pPr>
        <w:spacing w:after="120"/>
      </w:pPr>
      <w:r>
        <w:rPr>
          <w:rFonts w:ascii="Arial Unicode MS" w:hAnsi="Arial Unicode MS" w:eastAsia="Arial Unicode MS"/>
          <w:b/>
          <w:color w:val="111827"/>
          <w:sz w:val="21"/>
        </w:rPr>
        <w:t>The original analysis is fixed E10 only. The two fingerprinted files above retain all 477 scalar cells and all 23,850 per-pair Boolean outcomes.</w:t>
      </w:r>
    </w:p>
    <w:p>
      <w:pPr>
        <w:pStyle w:val="Heading1"/>
        <w:keepNext/>
        <w:pageBreakBefore/>
        <w:spacing w:after="100"/>
      </w:pPr>
      <w:r>
        <w:rPr>
          <w:rFonts w:ascii="Arial Unicode MS" w:hAnsi="Arial Unicode MS" w:eastAsia="Arial Unicode MS"/>
          <w:b/>
          <w:color w:val="000000"/>
          <w:sz w:val="32"/>
        </w:rPr>
        <w:t>How the seven evaluation methods are run</w:t>
      </w:r>
    </w:p>
    <w:p>
      <w:pPr>
        <w:spacing w:after="120"/>
      </w:pPr>
      <w:r>
        <w:rPr>
          <w:rFonts w:ascii="Arial Unicode MS" w:hAnsi="Arial Unicode MS" w:eastAsia="Arial Unicode MS"/>
          <w:b w:val="0"/>
          <w:color w:val="111827"/>
          <w:sz w:val="21"/>
        </w:rPr>
        <w:t>This section defines the seven columns in the 26-method matrix. z0 is the latent of the current real observation, z_g is the latent of the supplied goal image, and z_k^F is the imagined latent after k LeWM steps.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V1-C2, V2 and V2-EMA use e=E_A(A) from the shared Action Encoder. V1-C3 State-V has no action input after F produces z5.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J_first = ||z5^F - z_g||_2^2 - 0.25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the Q term is not multiplied by gamma^4.</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J_first2 = zscore_candidates(J_F) - 0.25 zscore_candidates(Q_G(z0,A1,g))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gamma. Population z-score statistics are recomputed inside each CEM candidate set; they never persist across iterations or episodes.</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00000"/>
          <w:sz w:val="32"/>
        </w:rPr>
        <w:t>26-method, seven-score master comparison and color legend</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 beside C. Yellow fill marks the best value in that row. Blue fill marks the best value in that score column within the same version. Teal fill marks a value that satisfies both conditions; all ties are marked. A neutral dash is missing and is ignored by both comparisons.</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w:t>
      </w:r>
    </w:p>
    <w:p>
      <w:pPr>
        <w:pStyle w:val="Heading2"/>
        <w:keepNext/>
        <w:pageBreakBefore/>
        <w:spacing w:after="100"/>
      </w:pPr>
      <w:r>
        <w:rPr>
          <w:rFonts w:ascii="Arial Unicode MS" w:hAnsi="Arial Unicode MS" w:eastAsia="Arial Unicode MS"/>
          <w:b/>
          <w:color w:val="000000"/>
          <w:sz w:val="25"/>
        </w:rPr>
        <w:t>One 26 by 7 master matrix with training losses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00000"/>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is V1-G3: 27/50 (54%); under an equal-weight five-score average, V1-F, V1-G3 tie at 48.8%; the highest fixed cell is V1-C + F + first-Q: 28/50 (56%). Across all 24 configurations, F + first-Q has the largest descriptive mean (44.8%). These are single-seed comparisons.</w:t>
      </w:r>
    </w:p>
    <w:p>
      <w:pPr>
        <w:pStyle w:val="Heading2"/>
        <w:keepNext/>
        <w:pageBreakBefore w:val="0"/>
        <w:spacing w:after="100"/>
      </w:pPr>
      <w:r>
        <w:rPr>
          <w:rFonts w:ascii="Arial Unicode MS" w:hAnsi="Arial Unicode MS" w:eastAsia="Arial Unicode MS"/>
          <w:b/>
          <w:color w:val="000000"/>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blue fills in the master matrix. It deliberately resets the column comparison at every version boundary.</w:t>
      </w:r>
    </w:p>
    <w:p>
      <w:pPr>
        <w:pStyle w:val="Heading2"/>
        <w:keepNext/>
        <w:pageBreakBefore w:val="0"/>
        <w:spacing w:after="100"/>
      </w:pPr>
      <w:r>
        <w:rPr>
          <w:rFonts w:ascii="Arial Unicode MS" w:hAnsi="Arial Unicode MS" w:eastAsia="Arial Unicode MS"/>
          <w:b/>
          <w:color w:val="000000"/>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000000"/>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000000"/>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000000"/>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00000"/>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000000"/>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00000"/>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TOTAL</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 O50 selection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00000"/>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bl>
    <w:p>
      <w:pPr>
        <w:spacing w:after="80"/>
      </w:pPr>
    </w:p>
    <w:p>
      <w:pPr>
        <w:pStyle w:val="Heading1"/>
        <w:keepNext/>
        <w:pageBreakBefore/>
        <w:spacing w:after="100"/>
      </w:pPr>
      <w:r>
        <w:rPr>
          <w:rFonts w:ascii="Arial Unicode MS" w:hAnsi="Arial Unicode MS" w:eastAsia="Arial Unicode MS"/>
          <w:b/>
          <w:color w:val="000000"/>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terminal cost - 0.25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z_cand(F terminal cost) - 0.25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00000"/>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000000"/>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00000"/>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00000"/>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000000"/>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000000"/>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00000"/>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000000"/>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00000"/>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 477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23,850 / 23,850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One training seed; base rows fixed E10, C2 E10 and C3 E12</w:t>
            </w:r>
          </w:p>
        </w:tc>
      </w:tr>
    </w:tbl>
    <w:p>
      <w:pPr>
        <w:spacing w:after="80"/>
      </w:pPr>
    </w:p>
    <w:p>
      <w:r>
        <w:br w:type="page"/>
      </w:r>
    </w:p>
    <w:p>
      <w:pPr>
        <w:pStyle w:val="Heading1"/>
      </w:pPr>
      <w:r>
        <w:rPr>
          <w:color w:val="000000"/>
        </w:rPr>
        <w:t>First Q alpha sensitivity</w:t>
      </w:r>
    </w:p>
    <w:p>
      <w:pPr>
        <w:spacing w:after="160"/>
      </w:pPr>
      <w:r>
        <w:t>This section compares First-Q fusion weights on fixed checkpoints. The highest observed result is V1-C3 Z-score First-Q2 at alpha=0.1: 31/50 (62%). Because alpha was selected on the same O50 pairs, this is an exploratory tuning result, not a replacement for a pre-registered endpoint.</w:t>
      </w:r>
    </w:p>
    <w:p>
      <w:pPr>
        <w:pStyle w:val="Heading2"/>
      </w:pPr>
      <w:r>
        <w:rPr>
          <w:color w:val="000000"/>
        </w:rPr>
        <w:t>Score paths and fixed training objectives</w:t>
      </w:r>
    </w:p>
    <w:p>
      <w:pPr>
        <w:spacing w:after="100"/>
      </w:pPr>
      <w:r>
        <w:t>No model was retrained in this sweep. Both C3 scores use the V1-C3 E12 checkpoint and retain training loss L_C3. Original First-Q uses the V1-C E10 checkpoint and retains training loss L_C. Only the CEM inference cost changes.</w:t>
      </w:r>
    </w:p>
    <w:p>
      <w:pPr>
        <w:spacing w:after="40"/>
        <w:jc w:val="center"/>
      </w:pPr>
      <w:r>
        <w:drawing>
          <wp:inline xmlns:a="http://schemas.openxmlformats.org/drawingml/2006/main" xmlns:pic="http://schemas.openxmlformats.org/drawingml/2006/picture">
            <wp:extent cx="5120640" cy="481673"/>
            <wp:docPr id="8" name="Picture 8"/>
            <wp:cNvGraphicFramePr>
              <a:graphicFrameLocks noChangeAspect="1"/>
            </wp:cNvGraphicFramePr>
            <a:graphic>
              <a:graphicData uri="http://schemas.openxmlformats.org/drawingml/2006/picture">
                <pic:pic>
                  <pic:nvPicPr>
                    <pic:cNvPr id="0" name="c3_raw.png"/>
                    <pic:cNvPicPr/>
                  </pic:nvPicPr>
                  <pic:blipFill>
                    <a:blip r:embed="rId40"/>
                    <a:stretch>
                      <a:fillRect/>
                    </a:stretch>
                  </pic:blipFill>
                  <pic:spPr>
                    <a:xfrm>
                      <a:off x="0" y="0"/>
                      <a:ext cx="5120640" cy="481673"/>
                    </a:xfrm>
                    <a:prstGeom prst="rect"/>
                  </pic:spPr>
                </pic:pic>
              </a:graphicData>
            </a:graphic>
          </wp:inline>
        </w:drawing>
      </w:r>
    </w:p>
    <w:p>
      <w:pPr>
        <w:spacing w:after="40"/>
        <w:jc w:val="center"/>
      </w:pPr>
      <w:r>
        <w:drawing>
          <wp:inline xmlns:a="http://schemas.openxmlformats.org/drawingml/2006/main" xmlns:pic="http://schemas.openxmlformats.org/drawingml/2006/picture">
            <wp:extent cx="6675120" cy="499742"/>
            <wp:docPr id="9" name="Picture 9"/>
            <wp:cNvGraphicFramePr>
              <a:graphicFrameLocks noChangeAspect="1"/>
            </wp:cNvGraphicFramePr>
            <a:graphic>
              <a:graphicData uri="http://schemas.openxmlformats.org/drawingml/2006/picture">
                <pic:pic>
                  <pic:nvPicPr>
                    <pic:cNvPr id="0" name="c3_z.png"/>
                    <pic:cNvPicPr/>
                  </pic:nvPicPr>
                  <pic:blipFill>
                    <a:blip r:embed="rId41"/>
                    <a:stretch>
                      <a:fillRect/>
                    </a:stretch>
                  </pic:blipFill>
                  <pic:spPr>
                    <a:xfrm>
                      <a:off x="0" y="0"/>
                      <a:ext cx="6675120" cy="499742"/>
                    </a:xfrm>
                    <a:prstGeom prst="rect"/>
                  </pic:spPr>
                </pic:pic>
              </a:graphicData>
            </a:graphic>
          </wp:inline>
        </w:drawing>
      </w:r>
    </w:p>
    <w:p>
      <w:pPr>
        <w:spacing w:after="40"/>
        <w:jc w:val="center"/>
      </w:pPr>
      <w:r>
        <w:drawing>
          <wp:inline xmlns:a="http://schemas.openxmlformats.org/drawingml/2006/main" xmlns:pic="http://schemas.openxmlformats.org/drawingml/2006/picture">
            <wp:extent cx="5212080" cy="572425"/>
            <wp:docPr id="10" name="Picture 10"/>
            <wp:cNvGraphicFramePr>
              <a:graphicFrameLocks noChangeAspect="1"/>
            </wp:cNvGraphicFramePr>
            <a:graphic>
              <a:graphicData uri="http://schemas.openxmlformats.org/drawingml/2006/picture">
                <pic:pic>
                  <pic:nvPicPr>
                    <pic:cNvPr id="0" name="v1c.png"/>
                    <pic:cNvPicPr/>
                  </pic:nvPicPr>
                  <pic:blipFill>
                    <a:blip r:embed="rId42"/>
                    <a:stretch>
                      <a:fillRect/>
                    </a:stretch>
                  </pic:blipFill>
                  <pic:spPr>
                    <a:xfrm>
                      <a:off x="0" y="0"/>
                      <a:ext cx="5212080" cy="572425"/>
                    </a:xfrm>
                    <a:prstGeom prst="rect"/>
                  </pic:spPr>
                </pic:pic>
              </a:graphicData>
            </a:graphic>
          </wp:inline>
        </w:drawing>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600"/>
        <w:gridCol w:w="3600"/>
        <w:gridCol w:w="3600"/>
        <w:gridCol w:w="3600"/>
      </w:tblGrid>
      <w:tr>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Score</w:t>
            </w:r>
          </w:p>
        </w:tc>
        <w:tc>
          <w:tcPr>
            <w:tcW w:type="dxa" w:w="2088"/>
            <w:shd w:fill="1F4E78"/>
            <w:vAlign w:val="center"/>
            <w:tcMar>
              <w:top w:w="70" w:type="dxa"/>
              <w:start w:w="80" w:type="dxa"/>
              <w:bottom w:w="70" w:type="dxa"/>
              <w:end w:w="80" w:type="dxa"/>
            </w:tcMar>
          </w:tcPr>
          <w:p>
            <w:pPr>
              <w:spacing w:before="0" w:after="0" w:line="252" w:lineRule="auto"/>
              <w:jc w:val="center"/>
            </w:pPr>
            <w:r>
              <w:rPr>
                <w:b/>
                <w:color w:val="FFFFFF"/>
                <w:sz w:val="16"/>
              </w:rPr>
              <w:t>Fixed checkpoint and loss</w:t>
            </w:r>
          </w:p>
        </w:tc>
        <w:tc>
          <w:tcPr>
            <w:tcW w:type="dxa" w:w="5112"/>
            <w:shd w:fill="1F4E78"/>
            <w:vAlign w:val="center"/>
            <w:tcMar>
              <w:top w:w="70" w:type="dxa"/>
              <w:start w:w="80" w:type="dxa"/>
              <w:bottom w:w="70" w:type="dxa"/>
              <w:end w:w="80" w:type="dxa"/>
            </w:tcMar>
          </w:tcPr>
          <w:p>
            <w:pPr>
              <w:spacing w:before="0" w:after="0" w:line="252" w:lineRule="auto"/>
              <w:jc w:val="center"/>
            </w:pPr>
            <w:r>
              <w:rPr>
                <w:b/>
                <w:color w:val="FFFFFF"/>
                <w:sz w:val="16"/>
              </w:rPr>
              <w:t>Input path</w:t>
            </w:r>
          </w:p>
        </w:tc>
        <w:tc>
          <w:tcPr>
            <w:tcW w:type="dxa" w:w="4824"/>
            <w:shd w:fill="1F4E78"/>
            <w:vAlign w:val="center"/>
            <w:tcMar>
              <w:top w:w="70" w:type="dxa"/>
              <w:start w:w="80" w:type="dxa"/>
              <w:bottom w:w="70" w:type="dxa"/>
              <w:end w:w="80" w:type="dxa"/>
            </w:tcMar>
          </w:tcPr>
          <w:p>
            <w:pPr>
              <w:spacing w:before="0" w:after="0" w:line="252" w:lineRule="auto"/>
              <w:jc w:val="center"/>
            </w:pPr>
            <w:r>
              <w:rPr>
                <w:b/>
                <w:color w:val="FFFFFF"/>
                <w:sz w:val="16"/>
              </w:rPr>
              <w:t>CEM minimized objective</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C3 Raw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EMA State-V reads the F five-step terminal latent;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Raw State-V cost minus α times raw First-Q.</w:t>
            </w:r>
          </w:p>
        </w:tc>
      </w:tr>
      <w:tr>
        <w:tc>
          <w:tcPr>
            <w:tcW w:type="dxa" w:w="2376"/>
            <w:shd w:fill="EAF2F8"/>
            <w:vAlign w:val="center"/>
            <w:tcMar>
              <w:top w:w="70" w:type="dxa"/>
              <w:start w:w="80" w:type="dxa"/>
              <w:bottom w:w="70" w:type="dxa"/>
              <w:end w:w="80" w:type="dxa"/>
            </w:tcMar>
          </w:tcPr>
          <w:p>
            <w:pPr>
              <w:spacing w:before="0" w:after="0" w:line="252" w:lineRule="auto"/>
              <w:jc w:val="left"/>
            </w:pPr>
            <w:r>
              <w:rPr>
                <w:b/>
                <w:color w:val="000000"/>
                <w:sz w:val="16"/>
              </w:rPr>
              <w:t>C3 Z-score First-Q2</w:t>
            </w:r>
          </w:p>
        </w:tc>
        <w:tc>
          <w:tcPr>
            <w:tcW w:type="dxa" w:w="2088"/>
            <w:shd w:fill="EAF2F8"/>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EAF2F8"/>
            <w:vAlign w:val="center"/>
            <w:tcMar>
              <w:top w:w="70" w:type="dxa"/>
              <w:start w:w="80" w:type="dxa"/>
              <w:bottom w:w="70" w:type="dxa"/>
              <w:end w:w="80" w:type="dxa"/>
            </w:tcMar>
          </w:tcPr>
          <w:p>
            <w:pPr>
              <w:spacing w:before="0" w:after="0" w:line="252" w:lineRule="auto"/>
              <w:jc w:val="left"/>
            </w:pPr>
            <w:r>
              <w:rPr>
                <w:b w:val="0"/>
                <w:color w:val="000000"/>
                <w:sz w:val="16"/>
              </w:rPr>
              <w:t>The same State-V and First-Q paths; each is population-z-scored inside the current CEM candidate set.</w:t>
            </w:r>
          </w:p>
        </w:tc>
        <w:tc>
          <w:tcPr>
            <w:tcW w:type="dxa" w:w="4824"/>
            <w:shd w:fill="EAF2F8"/>
            <w:vAlign w:val="center"/>
            <w:tcMar>
              <w:top w:w="70" w:type="dxa"/>
              <w:start w:w="80" w:type="dxa"/>
              <w:bottom w:w="70" w:type="dxa"/>
              <w:end w:w="80" w:type="dxa"/>
            </w:tcMar>
          </w:tcPr>
          <w:p>
            <w:pPr>
              <w:spacing w:before="0" w:after="0" w:line="252" w:lineRule="auto"/>
              <w:jc w:val="left"/>
            </w:pPr>
            <w:r>
              <w:rPr>
                <w:b w:val="0"/>
                <w:color w:val="000000"/>
                <w:sz w:val="16"/>
              </w:rPr>
              <w:t>Normalized State-V cost minus α times normalized First-Q.</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Original V1-C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 E10</w:t>
              <w:br/>
              <w:t>L_C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F rolls five blocks to z5;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Terminal latent goal distance minus α times raw First-Q.</w:t>
            </w:r>
          </w:p>
        </w:tc>
      </w:tr>
    </w:tbl>
    <w:p/>
    <w:p>
      <w:pPr>
        <w:pStyle w:val="Heading2"/>
      </w:pPr>
      <w:r>
        <w:rPr>
          <w:color w:val="000000"/>
        </w:rPr>
        <w:t>Unified O50 alpha-result matrix</w:t>
      </w:r>
    </w:p>
    <w:p>
      <w:pPr>
        <w:spacing w:after="100"/>
      </w:pPr>
      <w:r>
        <w:t>Every cell uses the same 50 start-goal pairs. Alpha=0 was not rerun: for C3 it equals the existing State-V result, and for V1-C it equals the existing F-only result. Yellow marks each row best, blue marks each column best, and cyan marks a cell that is both; all ties are retained.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1108"/>
        <w:gridCol w:w="1108"/>
        <w:gridCol w:w="1108"/>
        <w:gridCol w:w="1108"/>
        <w:gridCol w:w="1108"/>
        <w:gridCol w:w="1108"/>
        <w:gridCol w:w="1108"/>
        <w:gridCol w:w="1108"/>
        <w:gridCol w:w="1108"/>
        <w:gridCol w:w="1108"/>
        <w:gridCol w:w="1108"/>
        <w:gridCol w:w="1108"/>
        <w:gridCol w:w="1108"/>
      </w:tblGrid>
      <w:tr>
        <w:tc>
          <w:tcPr>
            <w:tcW w:type="dxa" w:w="2951"/>
            <w:shd w:fill="1F4E78"/>
            <w:vAlign w:val="center"/>
            <w:tcMar>
              <w:top w:w="70" w:type="dxa"/>
              <w:start w:w="80" w:type="dxa"/>
              <w:bottom w:w="70" w:type="dxa"/>
              <w:end w:w="80" w:type="dxa"/>
            </w:tcMar>
          </w:tcPr>
          <w:p>
            <w:pPr>
              <w:spacing w:before="0" w:after="0" w:line="252" w:lineRule="auto"/>
              <w:jc w:val="center"/>
            </w:pPr>
            <w:r>
              <w:rPr>
                <w:b/>
                <w:color w:val="FFFFFF"/>
                <w:sz w:val="14"/>
              </w:rPr>
              <w:t>Fixed checkpoint and score</w:t>
            </w:r>
          </w:p>
        </w:tc>
        <w:tc>
          <w:tcPr>
            <w:tcW w:type="dxa" w:w="1036"/>
            <w:shd w:fill="1F4E78"/>
            <w:vAlign w:val="center"/>
            <w:tcMar>
              <w:top w:w="70" w:type="dxa"/>
              <w:start w:w="80" w:type="dxa"/>
              <w:bottom w:w="70" w:type="dxa"/>
              <w:end w:w="80" w:type="dxa"/>
            </w:tcMar>
          </w:tcPr>
          <w:p>
            <w:pPr>
              <w:spacing w:before="0" w:after="0" w:line="252" w:lineRule="auto"/>
              <w:jc w:val="center"/>
            </w:pPr>
            <w:r>
              <w:rPr>
                <w:b/>
                <w:color w:val="FFFFFF"/>
                <w:sz w:val="14"/>
              </w:rPr>
              <w:t>Training loss</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α=0</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0.075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2</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V1-C3 Raw</w:t>
              <w:br/>
              <w:t>State-V + 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2CC"/>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r>
      <w:tr>
        <w:tc>
          <w:tcPr>
            <w:tcW w:type="dxa" w:w="2951"/>
            <w:shd w:fill="EAF2F8"/>
            <w:vAlign w:val="center"/>
            <w:tcMar>
              <w:top w:w="70" w:type="dxa"/>
              <w:start w:w="80" w:type="dxa"/>
              <w:bottom w:w="70" w:type="dxa"/>
              <w:end w:w="80" w:type="dxa"/>
            </w:tcMar>
          </w:tcPr>
          <w:p>
            <w:pPr>
              <w:spacing w:before="0" w:after="0" w:line="252" w:lineRule="auto"/>
              <w:jc w:val="left"/>
            </w:pPr>
            <w:r>
              <w:rPr>
                <w:b/>
                <w:color w:val="000000"/>
                <w:sz w:val="14"/>
              </w:rPr>
              <w:t>V1-C3 Z-score</w:t>
              <w:br/>
              <w:t>State-V + First-Q2</w:t>
            </w:r>
          </w:p>
        </w:tc>
        <w:tc>
          <w:tcPr>
            <w:tcW w:type="dxa" w:w="1036"/>
            <w:shd w:fill="EAF2F8"/>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31/50</w:t>
              <w:br/>
              <w:t>62%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 Original</w:t>
              <w:br/>
              <w:t>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bl>
    <w:p>
      <w:pPr>
        <w:pStyle w:val="Heading2"/>
      </w:pPr>
      <w:r>
        <w:rPr>
          <w:color w:val="000000"/>
        </w:rPr>
        <w:t>Paired analysis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880"/>
        <w:gridCol w:w="2880"/>
        <w:gridCol w:w="2880"/>
        <w:gridCol w:w="2880"/>
        <w:gridCol w:w="2880"/>
      </w:tblGrid>
      <w:tr>
        <w:tc>
          <w:tcPr>
            <w:tcW w:type="dxa" w:w="5760"/>
            <w:shd w:fill="1F4E78"/>
            <w:vAlign w:val="center"/>
            <w:tcMar>
              <w:top w:w="70" w:type="dxa"/>
              <w:start w:w="80" w:type="dxa"/>
              <w:bottom w:w="70" w:type="dxa"/>
              <w:end w:w="80" w:type="dxa"/>
            </w:tcMar>
          </w:tcPr>
          <w:p>
            <w:pPr>
              <w:spacing w:before="0" w:after="0" w:line="252" w:lineRule="auto"/>
              <w:jc w:val="center"/>
            </w:pPr>
            <w:r>
              <w:rPr>
                <w:b/>
                <w:color w:val="FFFFFF"/>
                <w:sz w:val="16"/>
              </w:rPr>
              <w:t>Comparison</w:t>
            </w:r>
          </w:p>
        </w:tc>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Success-count change</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New-only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Reference-only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Exact McNemar p</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C3 State-V α=0</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26 → 31</w:t>
              <w:br/>
              <w:t>+10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6</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0.125</w:t>
            </w:r>
          </w:p>
        </w:tc>
      </w:tr>
      <w:tr>
        <w:tc>
          <w:tcPr>
            <w:tcW w:type="dxa" w:w="5760"/>
            <w:shd w:fill="EAF2F8"/>
            <w:vAlign w:val="center"/>
            <w:tcMar>
              <w:top w:w="70" w:type="dxa"/>
              <w:start w:w="80" w:type="dxa"/>
              <w:bottom w:w="70" w:type="dxa"/>
              <w:end w:w="80" w:type="dxa"/>
            </w:tcMar>
          </w:tcPr>
          <w:p>
            <w:pPr>
              <w:spacing w:before="0" w:after="0" w:line="252" w:lineRule="auto"/>
              <w:jc w:val="left"/>
            </w:pPr>
            <w:r>
              <w:rPr>
                <w:b w:val="0"/>
                <w:color w:val="000000"/>
                <w:sz w:val="16"/>
              </w:rPr>
              <w:t>C3 Z-score α=0.1 vs V1-C First-Q α=0.25</w:t>
            </w:r>
          </w:p>
        </w:tc>
        <w:tc>
          <w:tcPr>
            <w:tcW w:type="dxa" w:w="2376"/>
            <w:shd w:fill="EAF2F8"/>
            <w:vAlign w:val="center"/>
            <w:tcMar>
              <w:top w:w="70" w:type="dxa"/>
              <w:start w:w="80" w:type="dxa"/>
              <w:bottom w:w="70" w:type="dxa"/>
              <w:end w:w="80" w:type="dxa"/>
            </w:tcMar>
          </w:tcPr>
          <w:p>
            <w:pPr>
              <w:spacing w:before="0" w:after="0" w:line="252" w:lineRule="auto"/>
              <w:jc w:val="center"/>
            </w:pPr>
            <w:r>
              <w:rPr>
                <w:b w:val="0"/>
                <w:color w:val="000000"/>
                <w:sz w:val="16"/>
              </w:rPr>
              <w:t>28 → 31</w:t>
              <w:br/>
              <w:t>+6 pp</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0.375</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Legacy Hybrid F+G</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27 → 31</w:t>
              <w:br/>
              <w:t>+8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8</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0.3877</w:t>
            </w:r>
          </w:p>
        </w:tc>
      </w:tr>
    </w:tbl>
    <w:p>
      <w:pPr>
        <w:pStyle w:val="Heading2"/>
      </w:pPr>
      <w:r>
        <w:rPr>
          <w:color w:val="000000"/>
        </w:rPr>
        <w:t>Interpretation and next step</w:t>
      </w:r>
    </w:p>
    <w:p>
      <w:pPr>
        <w:spacing w:after="100"/>
      </w:pPr>
      <w:r>
        <w:rPr>
          <w:b/>
          <w:color w:val="000000"/>
        </w:rPr>
        <w:t>Highest observed result. C3 Z-score alpha=0.1 reaches 31/50 (62%), five more successful pairs than C3 State-V. However, paired p=0.125 and the weight was selected on the same O50 set, so this is not an unbiased formal optimum.</w:t>
      </w:r>
      <w:r/>
    </w:p>
    <w:p>
      <w:pPr>
        <w:spacing w:after="100"/>
      </w:pPr>
      <w:r>
        <w:rPr>
          <w:b/>
          <w:color w:val="000000"/>
        </w:rPr>
        <w:t>Scale calibration is decisive. C3 Raw at alpha=0.1 only ties State-V, and alpha&gt;=0.25 falls to 42%-44%. After candidate-wise z-scoring, a small First-Q weight can contribute complementary first-step reachability information.</w:t>
      </w:r>
      <w:r/>
    </w:p>
    <w:p>
      <w:pPr>
        <w:spacing w:after="100"/>
      </w:pPr>
      <w:r>
        <w:rPr>
          <w:b/>
          <w:color w:val="000000"/>
        </w:rPr>
        <w:t>The optimum is sharp. Alpha=0.075, 0.1 and 0.15 yield 54%, 62% and 46%, respectively. CEM elite ranking is sensitive to small weight changes; alpha=0.1 is not yet a demonstrated stable plateau.</w:t>
      </w:r>
      <w:r/>
    </w:p>
    <w:p>
      <w:pPr>
        <w:spacing w:after="100"/>
      </w:pPr>
      <w:r>
        <w:rPr>
          <w:b/>
          <w:color w:val="000000"/>
        </w:rPr>
        <w:t>Original First-Q is more tolerant. V1-C reaches 28/50 (56%) at alpha=0.25 and alpha=1, and 27/50 (54%) at alpha=0.5, but it does not match the best observed C3 Z-score result in this sweep.</w:t>
      </w:r>
      <w:r/>
    </w:p>
    <w:p>
      <w:pPr>
        <w:spacing w:after="100"/>
      </w:pPr>
      <w:r>
        <w:rPr>
          <w:b/>
          <w:color w:val="000000"/>
        </w:rPr>
        <w:t>Reproduction boundary. Historical C3 Z-score alpha=0.25 was 27/50, versus 26/50 here. Three pairs flipped, for a net difference of one; changes of one or two episodes should not be overinterpreted.</w:t>
      </w:r>
      <w:r/>
    </w:p>
    <w:p>
      <w:pPr>
        <w:spacing w:after="100"/>
      </w:pPr>
      <w:r>
        <w:rPr>
          <w:b/>
          <w:color w:val="000000"/>
        </w:rPr>
        <w:t>Next: choose alpha on disjoint development pairs, then confirm it on untouched test pairs and multiple planning seeds. If C3 is extended, calibrate State-V and First-Q so fusion no longer has a sharp alpha sensitivity.</w:t>
      </w:r>
      <w:r/>
    </w:p>
    <w:p>
      <w:pPr>
        <w:spacing w:before="80" w:after="0"/>
      </w:pPr>
      <w:r>
        <w:rPr>
          <w:color w:val="595959"/>
          <w:sz w:val="16"/>
        </w:rPr>
        <w:t>Evidence: 20 new O50 cells and 1,000 pair-level outcomes; fixed selection SHA-256 e46ea81cce2e6a9a5df05ba04893b4181cbd8979340111a012c30f1efa2d7ee7.</w:t>
      </w:r>
    </w:p>
    <w:sectPr w:rsidR="00FC693F" w:rsidRPr="0006063C" w:rsidSect="00034616">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