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five-score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2E74B5"/>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2E74B5"/>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2E74B5"/>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2E74B5"/>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2E74B5"/>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t>Method definitions</w:t>
      </w:r>
    </w:p>
    <w:p>
      <w:pPr>
        <w:pStyle w:val="Heading2"/>
        <w:keepNext/>
      </w:pPr>
      <w: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fixed E10 results, methods and analysis</w:t>
      </w:r>
    </w:p>
    <w:p>
      <w:pPr>
        <w:spacing w:after="200"/>
      </w:pPr>
      <w:r>
        <w:rPr>
          <w:rFonts w:ascii="Arial Unicode MS" w:hAnsi="Arial Unicode MS" w:eastAsia="Arial Unicode MS"/>
          <w:b w:val="0"/>
          <w:color w:val="4B5563"/>
          <w:sz w:val="24"/>
        </w:rPr>
        <w:t>Cube · seed 3072 · 477 O50 cells · legacy + V0 + V1 + V2 + V2-EMA-SG</w:t>
      </w:r>
    </w:p>
    <w:p>
      <w:pPr>
        <w:spacing w:after="120"/>
      </w:pPr>
      <w:r>
        <w:rPr>
          <w:rFonts w:ascii="Arial Unicode MS" w:hAnsi="Arial Unicode MS" w:eastAsia="Arial Unicode MS"/>
          <w:b/>
          <w:color w:val="7A5A00"/>
          <w:sz w:val="21"/>
        </w:rPr>
        <w:t>The preceding pages preserve the detailed Legacy and V0/V1 method reference from the previous document. This final section is backed by the complete 477-cell audit, while its main result table uses only E10. Every displayed result uses the same 50 start-goal pairs; the companion ledgers retain all 23,850 Boolean outcomes. All training uses one seed, so no statistical-significance claim is made.</w:t>
      </w:r>
    </w:p>
    <w:p>
      <w:pPr>
        <w:pStyle w:val="Heading1"/>
        <w:keepNext/>
        <w:pageBreakBefore w:val="0"/>
        <w:spacing w:after="100"/>
      </w:pPr>
      <w:r>
        <w:rPr>
          <w:rFonts w:ascii="Arial Unicode MS" w:hAnsi="Arial Unicode MS" w:eastAsia="Arial Unicode MS"/>
          <w:b/>
          <w:color w:val="0B2545"/>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B2545"/>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bl>
    <w:p>
      <w:pPr>
        <w:spacing w:after="80"/>
      </w:pPr>
    </w:p>
    <w:p>
      <w:pPr>
        <w:spacing w:after="120"/>
      </w:pPr>
      <w:r>
        <w:rPr>
          <w:rFonts w:ascii="Arial Unicode MS" w:hAnsi="Arial Unicode MS" w:eastAsia="Arial Unicode MS"/>
          <w:b/>
          <w:color w:val="111827"/>
          <w:sz w:val="21"/>
        </w:rPr>
        <w:t>The main matrix is fixed E10 only. The two fingerprinted files above retain all 477 scalar cells and all 23,850 per-pair Boolean outcomes.</w:t>
      </w:r>
    </w:p>
    <w:p>
      <w:pPr>
        <w:pStyle w:val="Heading1"/>
        <w:keepNext/>
        <w:pageBreakBefore/>
        <w:spacing w:after="100"/>
      </w:pPr>
      <w:r>
        <w:rPr>
          <w:rFonts w:ascii="Arial Unicode MS" w:hAnsi="Arial Unicode MS" w:eastAsia="Arial Unicode MS"/>
          <w:b/>
          <w:color w:val="0B2545"/>
          <w:sz w:val="32"/>
        </w:rPr>
        <w:t>How the five evaluation methods are run</w:t>
      </w:r>
    </w:p>
    <w:p>
      <w:pPr>
        <w:spacing w:after="120"/>
      </w:pPr>
      <w:r>
        <w:rPr>
          <w:rFonts w:ascii="Arial Unicode MS" w:hAnsi="Arial Unicode MS" w:eastAsia="Arial Unicode MS"/>
          <w:b w:val="0"/>
          <w:color w:val="111827"/>
          <w:sz w:val="21"/>
        </w:rPr>
        <w:t>This section defines the five columns in the C-G3 matrix. z0 is the latent of the current real observation, z_g is the latent of the supplied goal image, and z_k^F is the imagined latent after k LeWM steps. The goal readout is w(g)=sqrt(192) z_g/||z_g||_2 and Q_G(z,A,g)=G(z,e,w(g))^T w(g).</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 columns in one row use the same fixed epoch-10 checkpoint; no score-specific retraining</w:t>
            </w:r>
          </w:p>
        </w:tc>
      </w:tr>
    </w:tbl>
    <w:p>
      <w:pPr>
        <w:spacing w:after="80"/>
      </w:pPr>
    </w:p>
    <w:p>
      <w:pPr>
        <w:spacing w:after="120"/>
      </w:pPr>
      <w:r>
        <w:rPr>
          <w:rFonts w:ascii="Arial Unicode MS" w:hAnsi="Arial Unicode MS" w:eastAsia="Arial Unicode MS"/>
          <w:b/>
          <w:color w:val="111827"/>
          <w:sz w:val="21"/>
        </w:rPr>
        <w:t>Action input differs only by training version: V0 passes the normalized 25D action block directly to G; V1, V2 and V2-EMA use e=E_A(A) from the shared Action Encoder. Every A_k is one 25D block of five consecutive 5D primitive actions.</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J_first = ||z5^F - z_g||_2^2 - 0.25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the Q term is not multiplied by gamma^4.</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spacing w:after="100"/>
      </w:pPr>
      <w:r>
        <w:rPr>
          <w:rFonts w:ascii="Arial Unicode MS" w:hAnsi="Arial Unicode MS" w:eastAsia="Arial Unicode MS"/>
          <w:b/>
          <w:color w:val="0B2545"/>
          <w:sz w:val="32"/>
        </w:rPr>
        <w:t>C-G3 fixed E10 comparison and color legend</w:t>
      </w:r>
    </w:p>
    <w:p>
      <w:pPr>
        <w:spacing w:after="120"/>
      </w:pPr>
      <w:r>
        <w:rPr>
          <w:rFonts w:ascii="Arial Unicode MS" w:hAnsi="Arial Unicode MS" w:eastAsia="Arial Unicode MS"/>
          <w:b/>
          <w:color w:val="111827"/>
          <w:sz w:val="21"/>
        </w:rPr>
        <w:t>Read across a row to compare five evaluation scores for one training method; read down a column only inside one version block to compare C/D/F/G1/G2/G3. Yellow fill marks the best value in that row. Blue fill marks the best value in that score column within the same version. Teal fill marks a value that satisfies both conditions; all ties are marked.</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scores for one training method; all ties are marked</w:t>
            </w:r>
          </w:p>
        </w:tc>
      </w:tr>
      <w:tr>
        <w:trPr>
          <w:cantSplit/>
        </w:trPr>
        <w:tc>
          <w:tcPr>
            <w:tcW w:type="dxa" w:w="2200"/>
            <w:vAlign w:val="center"/>
            <w:tcMar>
              <w:top w:w="80" w:type="dxa"/>
              <w:bottom w:w="80" w:type="dxa"/>
              <w:start w:w="120" w:type="dxa"/>
              <w:end w:w="120" w:type="dxa"/>
            </w:tcMar>
            <w:shd w:fill="DDEBF7"/>
          </w:tcPr>
          <w:p>
            <w:pPr>
              <w:spacing w:before="0" w:after="0" w:line="252" w:lineRule="auto"/>
              <w:jc w:val="left"/>
            </w:pPr>
            <w:r/>
            <w:r>
              <w:rPr>
                <w:rFonts w:ascii="Arial Unicode MS" w:hAnsi="Arial Unicode MS" w:eastAsia="Arial Unicode MS"/>
                <w:b w:val="0"/>
                <w:sz w:val="18"/>
              </w:rPr>
              <w:t>Blue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Six methods inside the same version only; all ties are marked</w:t>
            </w:r>
          </w:p>
        </w:tc>
      </w:tr>
      <w:tr>
        <w:trPr>
          <w:cantSplit/>
        </w:trPr>
        <w:tc>
          <w:tcPr>
            <w:tcW w:type="dxa" w:w="2200"/>
            <w:vAlign w:val="center"/>
            <w:tcMar>
              <w:top w:w="80" w:type="dxa"/>
              <w:bottom w:w="80" w:type="dxa"/>
              <w:start w:w="120" w:type="dxa"/>
              <w:end w:w="120" w:type="dxa"/>
            </w:tcMar>
            <w:shd w:fill="B7DEE8"/>
          </w:tcPr>
          <w:p>
            <w:pPr>
              <w:spacing w:before="0" w:after="0" w:line="252" w:lineRule="auto"/>
              <w:jc w:val="left"/>
            </w:pPr>
            <w:r/>
            <w:r>
              <w:rPr>
                <w:rFonts w:ascii="Arial Unicode MS" w:hAnsi="Arial Unicode MS" w:eastAsia="Arial Unicode MS"/>
                <w:b w:val="0"/>
                <w:sz w:val="18"/>
              </w:rPr>
              <w:t>Teal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bl>
    <w:p>
      <w:pPr>
        <w:spacing w:after="80"/>
      </w:pPr>
    </w:p>
    <w:p>
      <w:pPr>
        <w:pStyle w:val="Heading2"/>
        <w:keepNext/>
        <w:pageBreakBefore/>
        <w:spacing w:after="100"/>
      </w:pPr>
      <w:r>
        <w:rPr>
          <w:rFonts w:ascii="Arial Unicode MS" w:hAnsi="Arial Unicode MS" w:eastAsia="Arial Unicode MS"/>
          <w:b/>
          <w:color w:val="174A6E"/>
          <w:sz w:val="25"/>
        </w:rPr>
        <w:t>Complete 24 by 5 fixed E10 matrix</w:t>
      </w:r>
    </w:p>
    <w:tbl>
      <w:tblPr>
        <w:tblStyle w:val="TableGrid"/>
        <w:tblW w:type="dxa" w:w="14400"/>
        <w:tblLayout w:type="fixed"/>
        <w:tblLook w:firstColumn="1" w:firstRow="1" w:lastColumn="0" w:lastRow="0" w:noHBand="0" w:noVBand="1" w:val="04A0"/>
        <w:tblInd w:w="120" w:type="dxa"/>
      </w:tblPr>
      <w:tblGrid>
        <w:gridCol w:w="1200"/>
        <w:gridCol w:w="900"/>
        <w:gridCol w:w="2460"/>
        <w:gridCol w:w="2460"/>
        <w:gridCol w:w="2460"/>
        <w:gridCol w:w="2460"/>
        <w:gridCol w:w="2460"/>
      </w:tblGrid>
      <w:tr>
        <w:trPr>
          <w:tblHeader w:val="true"/>
          <w:cantSplit/>
        </w:trPr>
        <w:tc>
          <w:tcPr>
            <w:tcW w:type="dxa" w:w="12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24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24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24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24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24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r>
      <w:tr>
        <w:trPr>
          <w:cantSplit/>
        </w:trPr>
        <w:tc>
          <w:tcPr>
            <w:tcW w:type="dxa" w:w="12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9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2460"/>
            <w:vAlign w:val="center"/>
            <w:tcMar>
              <w:top w:w="55" w:type="dxa"/>
              <w:bottom w:w="55" w:type="dxa"/>
              <w:start w:w="120" w:type="dxa"/>
              <w:end w:w="120" w:type="dxa"/>
            </w:tcMar>
            <w:tcBorders>
              <w:top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tcBorders>
              <w:top w:val="single" w:sz="24" w:space="0" w:color="475569"/>
            </w:tcBorders>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246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r>
      <w:tr>
        <w:trPr>
          <w:cantSplit/>
        </w:trPr>
        <w:tc>
          <w:tcPr>
            <w:tcW w:type="dxa" w:w="1200"/>
            <w:vAlign w:val="center"/>
            <w:tcMar>
              <w:top w:w="55" w:type="dxa"/>
              <w:bottom w:w="55" w:type="dxa"/>
              <w:start w:w="120" w:type="dxa"/>
              <w:end w:w="120" w:type="dxa"/>
            </w:tcMar>
            <w:shd w:fill="E2E8F0"/>
            <w:vMerge/>
            <w:tcBorders>
              <w:bottom w:val="single" w:sz="24" w:space="0" w:color="475569"/>
            </w:tcBorders>
          </w:tcPr>
          <w:p/>
        </w:tc>
        <w:tc>
          <w:tcPr>
            <w:tcW w:type="dxa" w:w="9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2460"/>
            <w:vAlign w:val="center"/>
            <w:tcMar>
              <w:top w:w="55" w:type="dxa"/>
              <w:bottom w:w="55" w:type="dxa"/>
              <w:start w:w="120" w:type="dxa"/>
              <w:end w:w="120" w:type="dxa"/>
            </w:tcMar>
            <w:tcBorders>
              <w:bottom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shd w:fill="D1FAE5"/>
            <w:vMerge w:val="restart"/>
            <w:tcBorders>
              <w:top w:val="single" w:sz="24" w:space="0" w:color="047857"/>
              <w:bottom w:val="single" w:sz="24" w:space="0" w:color="047857"/>
            </w:tcBorders>
          </w:tcPr>
          <w:p>
            <w:pPr>
              <w:jc w:val="center"/>
            </w:pPr>
            <w:r>
              <w:rPr>
                <w:b/>
                <w:color w:val="047857"/>
                <w:sz w:val="20"/>
              </w:rPr>
              <w:t>V1</w:t>
            </w:r>
          </w:p>
        </w:tc>
        <w:tc>
          <w:tcPr>
            <w:tcW w:type="dxa" w:w="9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246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2460"/>
            <w:vAlign w:val="center"/>
            <w:tcMar>
              <w:top w:w="55" w:type="dxa"/>
              <w:bottom w:w="55" w:type="dxa"/>
              <w:start w:w="120" w:type="dxa"/>
              <w:end w:w="120" w:type="dxa"/>
            </w:tcMar>
            <w:tcBorders>
              <w:top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28/50 (56%)</w:t>
            </w:r>
          </w:p>
        </w:tc>
        <w:tc>
          <w:tcPr>
            <w:tcW w:type="dxa" w:w="246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shd w:fill="D1FAE5"/>
            <w:vMerge/>
            <w:tcBorders>
              <w:bottom w:val="single" w:sz="24" w:space="0" w:color="047857"/>
            </w:tcBorders>
          </w:tcPr>
          <w:p/>
        </w:tc>
        <w:tc>
          <w:tcPr>
            <w:tcW w:type="dxa" w:w="9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2460"/>
            <w:vAlign w:val="center"/>
            <w:tcMar>
              <w:top w:w="55" w:type="dxa"/>
              <w:bottom w:w="55" w:type="dxa"/>
              <w:start w:w="120" w:type="dxa"/>
              <w:end w:w="120" w:type="dxa"/>
            </w:tcMar>
            <w:tcBorders>
              <w:bottom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246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246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r>
      <w:tr>
        <w:trPr>
          <w:cantSplit/>
        </w:trPr>
        <w:tc>
          <w:tcPr>
            <w:tcW w:type="dxa" w:w="12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9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246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2460"/>
            <w:vAlign w:val="center"/>
            <w:tcMar>
              <w:top w:w="55" w:type="dxa"/>
              <w:bottom w:w="55" w:type="dxa"/>
              <w:start w:w="120" w:type="dxa"/>
              <w:end w:w="120" w:type="dxa"/>
            </w:tcMar>
            <w:tcBorders>
              <w:top w:val="single" w:sz="24" w:space="0" w:color="B45309"/>
            </w:tcBorders>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Borders>
              <w:top w:val="single" w:sz="24" w:space="0" w:color="B45309"/>
            </w:tcBorders>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r>
      <w:tr>
        <w:trPr>
          <w:cantSplit/>
        </w:trPr>
        <w:tc>
          <w:tcPr>
            <w:tcW w:type="dxa" w:w="1200"/>
            <w:vAlign w:val="center"/>
            <w:tcMar>
              <w:top w:w="55" w:type="dxa"/>
              <w:bottom w:w="55" w:type="dxa"/>
              <w:start w:w="120" w:type="dxa"/>
              <w:end w:w="120" w:type="dxa"/>
            </w:tcMar>
            <w:shd w:fill="FEF3C7"/>
            <w:vMerge/>
            <w:tcBorders>
              <w:bottom w:val="single" w:sz="24" w:space="0" w:color="B45309"/>
            </w:tcBorders>
          </w:tcPr>
          <w:p/>
        </w:tc>
        <w:tc>
          <w:tcPr>
            <w:tcW w:type="dxa" w:w="9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24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24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24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246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r>
      <w:tr>
        <w:trPr>
          <w:cantSplit/>
        </w:trPr>
        <w:tc>
          <w:tcPr>
            <w:tcW w:type="dxa" w:w="12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9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24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22/50 (44%)</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17/50 (34%)</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22/50 (44%)</w:t>
            </w:r>
          </w:p>
        </w:tc>
        <w:tc>
          <w:tcPr>
            <w:tcW w:type="dxa" w:w="24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23/50 (46%)</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4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r>
      <w:tr>
        <w:trPr>
          <w:cantSplit/>
        </w:trPr>
        <w:tc>
          <w:tcPr>
            <w:tcW w:type="dxa" w:w="1200"/>
            <w:vAlign w:val="center"/>
            <w:tcMar>
              <w:top w:w="55" w:type="dxa"/>
              <w:bottom w:w="55" w:type="dxa"/>
              <w:start w:w="120" w:type="dxa"/>
              <w:end w:w="120" w:type="dxa"/>
            </w:tcMar>
            <w:shd w:fill="EDE9FE"/>
            <w:vMerge/>
            <w:tcBorders>
              <w:bottom w:val="single" w:sz="24" w:space="0" w:color="6D28D9"/>
            </w:tcBorders>
          </w:tcPr>
          <w:p/>
        </w:tc>
        <w:tc>
          <w:tcPr>
            <w:tcW w:type="dxa" w:w="9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24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24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246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B2545"/>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is V1-G3: 27/50 (54%); under an equal-weight five-score average, V1-F, V1-G3 tie at 48.8%; the highest fixed cell is V1-C + F + first-Q: 28/50 (56%). Across all 24 configurations, F + first-Q has the largest descriptive mean (44.8%). These are single-seed comparisons.</w:t>
      </w:r>
    </w:p>
    <w:p>
      <w:pPr>
        <w:pStyle w:val="Heading2"/>
        <w:keepNext/>
        <w:pageBreakBefore w:val="0"/>
        <w:spacing w:after="100"/>
      </w:pPr>
      <w:r>
        <w:rPr>
          <w:rFonts w:ascii="Arial Unicode MS" w:hAnsi="Arial Unicode MS" w:eastAsia="Arial Unicode MS"/>
          <w:b/>
          <w:color w:val="174A6E"/>
          <w:sz w:val="25"/>
        </w:rPr>
        <w:t>Within-version column winners</w:t>
      </w:r>
    </w:p>
    <w:tbl>
      <w:tblPr>
        <w:tblStyle w:val="TableGrid"/>
        <w:tblW w:type="dxa" w:w="14400"/>
        <w:tblLayout w:type="fixed"/>
        <w:tblLook w:firstColumn="1" w:firstRow="1" w:lastColumn="0" w:lastRow="0" w:noHBand="0" w:noVBand="1" w:val="04A0"/>
        <w:tblInd w:w="120" w:type="dxa"/>
      </w:tblPr>
      <w:tblGrid>
        <w:gridCol w:w="1800"/>
        <w:gridCol w:w="2520"/>
        <w:gridCol w:w="2520"/>
        <w:gridCol w:w="2520"/>
        <w:gridCol w:w="2520"/>
        <w:gridCol w:w="252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28/50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r>
    </w:tbl>
    <w:p>
      <w:pPr>
        <w:spacing w:after="80"/>
      </w:pPr>
    </w:p>
    <w:p>
      <w:pPr>
        <w:spacing w:after="120"/>
      </w:pPr>
      <w:r>
        <w:rPr>
          <w:rFonts w:ascii="Arial Unicode MS" w:hAnsi="Arial Unicode MS" w:eastAsia="Arial Unicode MS"/>
          <w:b w:val="0"/>
          <w:color w:val="111827"/>
          <w:sz w:val="21"/>
        </w:rPr>
        <w:t>This table is the textual counterpart of the blue fills in the master matrix. It deliberately resets the column comparison at every version boundary.</w:t>
      </w:r>
    </w:p>
    <w:p>
      <w:pPr>
        <w:pStyle w:val="Heading2"/>
        <w:keepNext/>
        <w:pageBreakBefore w:val="0"/>
        <w:spacing w:after="100"/>
      </w:pPr>
      <w:r>
        <w:rPr>
          <w:rFonts w:ascii="Arial Unicode MS" w:hAnsi="Arial Unicode MS" w:eastAsia="Arial Unicode MS"/>
          <w:b/>
          <w:color w:val="174A6E"/>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174A6E"/>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B2545"/>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174A6E"/>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B2545"/>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TOTAL</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 O50 selection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r>
    </w:tbl>
    <w:p>
      <w:pPr>
        <w:spacing w:after="80"/>
      </w:pPr>
    </w:p>
    <w:p>
      <w:pPr>
        <w:spacing w:after="120"/>
      </w:pPr>
      <w:r>
        <w:rPr>
          <w:rFonts w:ascii="Arial Unicode MS" w:hAnsi="Arial Unicode MS" w:eastAsia="Arial Unicode MS"/>
          <w:b w:val="0"/>
          <w:color w:val="111827"/>
          <w:sz w:val="21"/>
        </w:rPr>
        <w:t>The decision matrix deliberately uses one fixed E10 checkpoint.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B2545"/>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bl>
    <w:p>
      <w:pPr>
        <w:spacing w:after="80"/>
      </w:pPr>
    </w:p>
    <w:p>
      <w:pPr>
        <w:pStyle w:val="Heading1"/>
        <w:keepNext/>
        <w:pageBreakBefore/>
        <w:spacing w:after="100"/>
      </w:pPr>
      <w:r>
        <w:rPr>
          <w:rFonts w:ascii="Arial Unicode MS" w:hAnsi="Arial Unicode MS" w:eastAsia="Arial Unicode MS"/>
          <w:b/>
          <w:color w:val="0B2545"/>
          <w:sz w:val="32"/>
        </w:rPr>
        <w:t>Five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terminal cost - 0.25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bl>
    <w:p>
      <w:pPr>
        <w:spacing w:after="80"/>
      </w:pPr>
    </w:p>
    <w:p>
      <w:pPr>
        <w:pStyle w:val="Heading1"/>
        <w:keepNext/>
        <w:pageBreakBefore/>
        <w:spacing w:after="100"/>
      </w:pPr>
      <w:r>
        <w:rPr>
          <w:rFonts w:ascii="Arial Unicode MS" w:hAnsi="Arial Unicode MS" w:eastAsia="Arial Unicode MS"/>
          <w:b/>
          <w:color w:val="0B2545"/>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All numeric rows and E3-E10 O50 trajectories remain in the companion ledgers.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1"/>
        <w:keepNext/>
        <w:pageBreakBefore/>
        <w:spacing w:after="100"/>
      </w:pPr>
      <w:r>
        <w:rPr>
          <w:rFonts w:ascii="Arial Unicode MS" w:hAnsi="Arial Unicode MS" w:eastAsia="Arial Unicode MS"/>
          <w:b/>
          <w:color w:val="0B2545"/>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174A6E"/>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174A6E"/>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174A6E"/>
          <w:sz w:val="25"/>
        </w:rPr>
        <w:t>F+G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B2545"/>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174A6E"/>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174A6E"/>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2"/>
        <w:keepNext/>
        <w:pageBreakBefore/>
        <w:spacing w:after="100"/>
      </w:pPr>
      <w:r>
        <w:rPr>
          <w:rFonts w:ascii="Arial Unicode MS" w:hAnsi="Arial Unicode MS" w:eastAsia="Arial Unicode MS"/>
          <w:b/>
          <w:color w:val="174A6E"/>
          <w:sz w:val="25"/>
        </w:rPr>
        <w:t>F+G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174A6E"/>
          <w:sz w:val="25"/>
        </w:rPr>
        <w:t>F +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174A6E"/>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B2545"/>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174A6E"/>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pStyle w:val="Heading2"/>
        <w:keepNext/>
        <w:pageBreakBefore w:val="0"/>
        <w:spacing w:after="100"/>
      </w:pPr>
      <w:r>
        <w:rPr>
          <w:rFonts w:ascii="Arial Unicode MS" w:hAnsi="Arial Unicode MS" w:eastAsia="Arial Unicode MS"/>
          <w:b/>
          <w:color w:val="174A6E"/>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B2545"/>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 477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23,850 / 23,850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One training seed; the decision matrix is fixed E10 only</w:t>
            </w:r>
          </w:p>
        </w:tc>
      </w:tr>
    </w:tbl>
    <w:p>
      <w:pPr>
        <w:spacing w:after="80"/>
      </w:pPr>
    </w:p>
    <w:sectPr w:rsidR="00FC693F" w:rsidRPr="0006063C" w:rsidSect="00034616">
      <w:headerReference w:type="default" r:id="rId17"/>
      <w:headerReference w:type="even" r:id="rId18"/>
      <w:footerReference w:type="default" r:id="rId19"/>
      <w:footerReference w:type="even" r:id="rId20"/>
      <w:pgSz w:w="15840" w:h="12240" w:orient="landscape"/>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complete ledger · Cube O50 · 477 verified cells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complete ledger · Cube O50 · 477 verified cells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O50 cells and fixed E10 five-score comparison</dc:subject>
  <dc:creator/>
  <cp:keywords>TD-JEPA, Actor-Free TD-LeWM, fixed E10, five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