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 w:line="240" w:lineRule="auto"/>
      </w:pPr>
      <w:r>
        <w:rPr>
          <w:rFonts w:ascii="Arial Unicode MS" w:hAnsi="Arial Unicode MS" w:eastAsia="Arial Unicode MS" w:cs="Arial Unicode MS"/>
          <w:b/>
          <w:i w:val="0"/>
          <w:color w:val="2E74B5"/>
          <w:sz w:val="15"/>
        </w:rPr>
        <w:t>ACTOR-FREE TD-LEWM  ·  COMPLETE 7×3 CONTROLLED ABLATION</w:t>
      </w:r>
    </w:p>
    <w:p>
      <w:pPr>
        <w:pStyle w:val="Title"/>
        <w:keepNext/>
        <w:spacing w:before="0" w:after="20" w:line="240" w:lineRule="auto"/>
      </w:pPr>
      <w:r>
        <w:rPr>
          <w:rFonts w:ascii="Arial Unicode MS" w:hAnsi="Arial Unicode MS" w:eastAsia="Arial Unicode MS" w:cs="Arial Unicode MS"/>
          <w:b/>
          <w:i w:val="0"/>
          <w:color w:val="17324D"/>
          <w:sz w:val="39"/>
        </w:rPr>
        <w:t>Results TD</w:t>
      </w:r>
    </w:p>
    <w:p>
      <w:pPr>
        <w:pStyle w:val="Subtitle"/>
        <w:keepNext/>
        <w:spacing w:before="0" w:after="80" w:line="240" w:lineRule="auto"/>
      </w:pPr>
      <w:r>
        <w:rPr>
          <w:rFonts w:ascii="Arial Unicode MS" w:hAnsi="Arial Unicode MS" w:eastAsia="Arial Unicode MS" w:cs="Arial Unicode MS"/>
          <w:b w:val="0"/>
          <w:i w:val="0"/>
          <w:color w:val="5C6975"/>
          <w:sz w:val="16"/>
        </w:rPr>
        <w:t>swm/OGBCube-v0  |  dataset quentinll/lewm-cube  |  training seed 3072  |  planning seed 42</w:t>
      </w:r>
    </w:p>
    <w:p>
      <w:pPr>
        <w:keepNext w:val="0"/>
        <w:spacing w:before="20" w:after="60" w:line="250" w:lineRule="auto"/>
        <w:shd w:fill="F4F7FA"/>
        <w:pBdr>
          <w:left w:val="single" w:sz="18" w:space="8" w:color="2E74B5"/>
        </w:pBdr>
      </w:pPr>
      <w:r>
        <w:rPr>
          <w:rFonts w:ascii="Arial Unicode MS" w:hAnsi="Arial Unicode MS" w:eastAsia="Arial Unicode MS" w:cs="Arial Unicode MS"/>
          <w:b/>
          <w:i w:val="0"/>
          <w:color w:val="17324D"/>
          <w:sz w:val="15"/>
        </w:rPr>
        <w:t>Locked protocol: all 7 methods completed 10 epochs / 127,960 optimizer updates; each method was evaluated with 3 scores, for 21 formal O50 runs. goal offset=50; common selection SHA-256=e46ea81cce2e….</w:t>
      </w:r>
    </w:p>
    <w:p>
      <w:pPr>
        <w:pStyle w:val="Heading2"/>
        <w:keepNext/>
        <w:spacing w:before="60" w:after="40" w:line="240" w:lineRule="auto"/>
      </w:pPr>
      <w:r>
        <w:rPr>
          <w:rFonts w:ascii="Arial Unicode MS" w:hAnsi="Arial Unicode MS" w:eastAsia="Arial Unicode MS" w:cs="Arial Unicode MS"/>
          <w:b/>
          <w:i w:val="0"/>
          <w:color w:val="2E74B5"/>
          <w:sz w:val="20"/>
        </w:rPr>
        <w:t>Combined O50 ranking</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700"/>
        <w:gridCol w:w="3800"/>
        <w:gridCol w:w="2200"/>
        <w:gridCol w:w="1900"/>
        <w:gridCol w:w="1800"/>
        <w:gridCol w:w="1500"/>
        <w:gridCol w:w="2500"/>
      </w:tblGrid>
      <w:tr>
        <w:trPr>
          <w:tblHeader w:val="true"/>
          <w:cantSplit/>
        </w:trPr>
        <w:tc>
          <w:tcPr>
            <w:tcW w:type="dxa" w:w="7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Rank</w:t>
            </w:r>
          </w:p>
        </w:tc>
        <w:tc>
          <w:tcPr>
            <w:tcW w:type="dxa" w:w="38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Method</w:t>
            </w:r>
          </w:p>
        </w:tc>
        <w:tc>
          <w:tcPr>
            <w:tcW w:type="dxa" w:w="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Family</w:t>
            </w:r>
          </w:p>
        </w:tc>
        <w:tc>
          <w:tcPr>
            <w:tcW w:type="dxa" w:w="19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Combined</w:t>
            </w:r>
          </w:p>
        </w:tc>
        <w:tc>
          <w:tcPr>
            <w:tcW w:type="dxa" w:w="18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Successes</w:t>
            </w:r>
          </w:p>
        </w:tc>
        <w:tc>
          <w:tcPr>
            <w:tcW w:type="dxa" w:w="15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Rate</w:t>
            </w:r>
          </w:p>
        </w:tc>
        <w:tc>
          <w:tcPr>
            <w:tcW w:type="dxa" w:w="25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Elapsed</w:t>
            </w:r>
          </w:p>
        </w:tc>
      </w:tr>
      <w:tr>
        <w:trPr>
          <w:cantSplit/>
        </w:trPr>
        <w:tc>
          <w:tcPr>
            <w:tcW w:type="dxa" w:w="7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w:t>
            </w:r>
          </w:p>
        </w:tc>
        <w:tc>
          <w:tcPr>
            <w:tcW w:type="dxa" w:w="3800"/>
            <w:vAlign w:val="center"/>
            <w:shd w:fill="EAF5EE"/>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Hybrid</w:t>
            </w:r>
          </w:p>
        </w:tc>
        <w:tc>
          <w:tcPr>
            <w:tcW w:type="dxa" w:w="22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27/50</w:t>
            </w:r>
          </w:p>
        </w:tc>
        <w:tc>
          <w:tcPr>
            <w:tcW w:type="dxa" w:w="15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54%</w:t>
            </w:r>
          </w:p>
        </w:tc>
        <w:tc>
          <w:tcPr>
            <w:tcW w:type="dxa" w:w="2500"/>
            <w:vAlign w:val="center"/>
            <w:shd w:fill="EAF5EE"/>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14:34.6</w:t>
            </w:r>
          </w:p>
        </w:tc>
      </w:tr>
      <w:tr>
        <w:trPr>
          <w:cantSplit/>
        </w:trPr>
        <w:tc>
          <w:tcPr>
            <w:tcW w:type="dxa" w:w="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w:t>
            </w:r>
          </w:p>
        </w:tc>
        <w:tc>
          <w:tcPr>
            <w:tcW w:type="dxa" w:w="38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Serial Decoupled</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23/50</w:t>
            </w:r>
          </w:p>
        </w:tc>
        <w:tc>
          <w:tcPr>
            <w:tcW w:type="dxa" w:w="1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46%</w:t>
            </w:r>
          </w:p>
        </w:tc>
        <w:tc>
          <w:tcPr>
            <w:tcW w:type="dxa" w:w="2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16:32.9</w:t>
            </w:r>
          </w:p>
        </w:tc>
      </w:tr>
      <w:tr>
        <w:trPr>
          <w:cantSplit/>
        </w:trPr>
        <w:tc>
          <w:tcPr>
            <w:tcW w:type="dxa" w:w="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w:t>
            </w:r>
          </w:p>
        </w:tc>
        <w:tc>
          <w:tcPr>
            <w:tcW w:type="dxa" w:w="38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Imaginary Hybrid</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23/50</w:t>
            </w:r>
          </w:p>
        </w:tc>
        <w:tc>
          <w:tcPr>
            <w:tcW w:type="dxa" w:w="1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46%</w:t>
            </w:r>
          </w:p>
        </w:tc>
        <w:tc>
          <w:tcPr>
            <w:tcW w:type="dxa" w:w="2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16:29.2</w:t>
            </w:r>
          </w:p>
        </w:tc>
      </w:tr>
      <w:tr>
        <w:trPr>
          <w:cantSplit/>
        </w:trPr>
        <w:tc>
          <w:tcPr>
            <w:tcW w:type="dxa" w:w="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w:t>
            </w:r>
          </w:p>
        </w:tc>
        <w:tc>
          <w:tcPr>
            <w:tcW w:type="dxa" w:w="38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Parallel Real</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22/50</w:t>
            </w:r>
          </w:p>
        </w:tc>
        <w:tc>
          <w:tcPr>
            <w:tcW w:type="dxa" w:w="1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44%</w:t>
            </w:r>
          </w:p>
        </w:tc>
        <w:tc>
          <w:tcPr>
            <w:tcW w:type="dxa" w:w="2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17:20.4</w:t>
            </w:r>
          </w:p>
        </w:tc>
      </w:tr>
      <w:tr>
        <w:trPr>
          <w:cantSplit/>
        </w:trPr>
        <w:tc>
          <w:tcPr>
            <w:tcW w:type="dxa" w:w="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5</w:t>
            </w:r>
          </w:p>
        </w:tc>
        <w:tc>
          <w:tcPr>
            <w:tcW w:type="dxa" w:w="38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Serial Coupled</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20/50</w:t>
            </w:r>
          </w:p>
        </w:tc>
        <w:tc>
          <w:tcPr>
            <w:tcW w:type="dxa" w:w="1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40%</w:t>
            </w:r>
          </w:p>
        </w:tc>
        <w:tc>
          <w:tcPr>
            <w:tcW w:type="dxa" w:w="2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17:55.9</w:t>
            </w:r>
          </w:p>
        </w:tc>
      </w:tr>
      <w:tr>
        <w:trPr>
          <w:cantSplit/>
        </w:trPr>
        <w:tc>
          <w:tcPr>
            <w:tcW w:type="dxa" w:w="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6</w:t>
            </w:r>
          </w:p>
        </w:tc>
        <w:tc>
          <w:tcPr>
            <w:tcW w:type="dxa" w:w="38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Goal Hybrid</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f_plus_g</w:t>
            </w:r>
          </w:p>
        </w:tc>
        <w:tc>
          <w:tcPr>
            <w:tcW w:type="dxa" w:w="18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19/50</w:t>
            </w:r>
          </w:p>
        </w:tc>
        <w:tc>
          <w:tcPr>
            <w:tcW w:type="dxa" w:w="1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38%</w:t>
            </w:r>
          </w:p>
        </w:tc>
        <w:tc>
          <w:tcPr>
            <w:tcW w:type="dxa" w:w="25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18:56.5</w:t>
            </w:r>
          </w:p>
        </w:tc>
      </w:tr>
      <w:tr>
        <w:trPr>
          <w:cantSplit/>
        </w:trPr>
        <w:tc>
          <w:tcPr>
            <w:tcW w:type="dxa" w:w="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6</w:t>
            </w:r>
          </w:p>
        </w:tc>
        <w:tc>
          <w:tcPr>
            <w:tcW w:type="dxa" w:w="38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Direct Goal Critic Hybrid</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Direct critic</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f_plus_c</w:t>
            </w:r>
          </w:p>
        </w:tc>
        <w:tc>
          <w:tcPr>
            <w:tcW w:type="dxa" w:w="18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19/50</w:t>
            </w:r>
          </w:p>
        </w:tc>
        <w:tc>
          <w:tcPr>
            <w:tcW w:type="dxa" w:w="1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38%</w:t>
            </w:r>
          </w:p>
        </w:tc>
        <w:tc>
          <w:tcPr>
            <w:tcW w:type="dxa" w:w="25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18:47.4</w:t>
            </w:r>
          </w:p>
        </w:tc>
      </w:tr>
    </w:tbl>
    <w:p>
      <w:pPr>
        <w:keepNext w:val="0"/>
        <w:spacing w:before="40" w:after="60" w:line="240" w:lineRule="auto"/>
      </w:pPr>
      <w:r>
        <w:rPr>
          <w:rFonts w:ascii="Arial Unicode MS" w:hAnsi="Arial Unicode MS" w:eastAsia="Arial Unicode MS" w:cs="Arial Unicode MS"/>
          <w:b w:val="0"/>
          <w:i/>
          <w:color w:val="5C6975"/>
          <w:sz w:val="13"/>
        </w:rPr>
        <w:t>Table 1. Ranking uses only the pre-specified combined column; equal success counts share a rank. The best of the three score columns is not selected post hoc.</w:t>
      </w:r>
    </w:p>
    <w:p>
      <w:pPr>
        <w:pStyle w:val="Heading2"/>
        <w:keepNext/>
        <w:spacing w:before="60" w:after="40" w:line="240" w:lineRule="auto"/>
      </w:pPr>
      <w:r>
        <w:rPr>
          <w:rFonts w:ascii="Arial Unicode MS" w:hAnsi="Arial Unicode MS" w:eastAsia="Arial Unicode MS" w:cs="Arial Unicode MS"/>
          <w:b/>
          <w:i w:val="0"/>
          <w:color w:val="2E74B5"/>
          <w:sz w:val="20"/>
        </w:rPr>
        <w:t>7×3 inference-score matrix</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3600"/>
        <w:gridCol w:w="1700"/>
        <w:gridCol w:w="2400"/>
        <w:gridCol w:w="2400"/>
        <w:gridCol w:w="3000"/>
        <w:gridCol w:w="1300"/>
      </w:tblGrid>
      <w:tr>
        <w:trPr>
          <w:tblHeader w:val="true"/>
          <w:cantSplit/>
        </w:trPr>
        <w:tc>
          <w:tcPr>
            <w:tcW w:type="dxa" w:w="36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Method</w:t>
            </w:r>
          </w:p>
        </w:tc>
        <w:tc>
          <w:tcPr>
            <w:tcW w:type="dxa" w:w="17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Tail type</w:t>
            </w:r>
          </w:p>
        </w:tc>
        <w:tc>
          <w:tcPr>
            <w:tcW w:type="dxa" w:w="24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F-only</w:t>
            </w:r>
          </w:p>
        </w:tc>
        <w:tc>
          <w:tcPr>
            <w:tcW w:type="dxa" w:w="24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G/C-only</w:t>
            </w:r>
          </w:p>
        </w:tc>
        <w:tc>
          <w:tcPr>
            <w:tcW w:type="dxa" w:w="30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F+G / F+C</w:t>
            </w:r>
          </w:p>
        </w:tc>
        <w:tc>
          <w:tcPr>
            <w:tcW w:type="dxa" w:w="13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Combined rank only</w:t>
            </w:r>
          </w:p>
        </w:tc>
      </w:tr>
      <w:tr>
        <w:trPr>
          <w:cantSplit/>
        </w:trPr>
        <w:tc>
          <w:tcPr>
            <w:tcW w:type="dxa" w:w="36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Serial Decoupled</w:t>
            </w:r>
          </w:p>
        </w:tc>
        <w:tc>
          <w:tcPr>
            <w:tcW w:type="dxa" w:w="1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20/50 · 40% · 18:54.9</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15/50 · 30% · 20:32.1</w:t>
            </w:r>
          </w:p>
        </w:tc>
        <w:tc>
          <w:tcPr>
            <w:tcW w:type="dxa" w:w="30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23/50 · 46% · 16:32.9</w:t>
            </w:r>
          </w:p>
        </w:tc>
        <w:tc>
          <w:tcPr>
            <w:tcW w:type="dxa" w:w="1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 · G</w:t>
            </w:r>
          </w:p>
        </w:tc>
      </w:tr>
      <w:tr>
        <w:trPr>
          <w:cantSplit/>
        </w:trPr>
        <w:tc>
          <w:tcPr>
            <w:tcW w:type="dxa" w:w="36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Serial Coupled</w:t>
            </w:r>
          </w:p>
        </w:tc>
        <w:tc>
          <w:tcPr>
            <w:tcW w:type="dxa" w:w="1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26/50 · 52% · 15:11.5</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14/50 · 28% · 20:36.9</w:t>
            </w:r>
          </w:p>
        </w:tc>
        <w:tc>
          <w:tcPr>
            <w:tcW w:type="dxa" w:w="30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20/50 · 40% · 17:55.9</w:t>
            </w:r>
          </w:p>
        </w:tc>
        <w:tc>
          <w:tcPr>
            <w:tcW w:type="dxa" w:w="1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#5 · G</w:t>
            </w:r>
          </w:p>
        </w:tc>
      </w:tr>
      <w:tr>
        <w:trPr>
          <w:cantSplit/>
        </w:trPr>
        <w:tc>
          <w:tcPr>
            <w:tcW w:type="dxa" w:w="36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Hybrid</w:t>
            </w:r>
          </w:p>
        </w:tc>
        <w:tc>
          <w:tcPr>
            <w:tcW w:type="dxa" w:w="1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25/50 · 50% · 15:40.0</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13/50 · 26% · 22:03.4</w:t>
            </w:r>
          </w:p>
        </w:tc>
        <w:tc>
          <w:tcPr>
            <w:tcW w:type="dxa" w:w="30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27/50 · 54% · 14:34.6</w:t>
            </w:r>
          </w:p>
        </w:tc>
        <w:tc>
          <w:tcPr>
            <w:tcW w:type="dxa" w:w="1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 · G</w:t>
            </w:r>
          </w:p>
        </w:tc>
      </w:tr>
      <w:tr>
        <w:trPr>
          <w:cantSplit/>
        </w:trPr>
        <w:tc>
          <w:tcPr>
            <w:tcW w:type="dxa" w:w="36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Parallel Real</w:t>
            </w:r>
          </w:p>
        </w:tc>
        <w:tc>
          <w:tcPr>
            <w:tcW w:type="dxa" w:w="1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17/50 · 34% · 19:33.0</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13/50 · 26% · 20:48.1</w:t>
            </w:r>
          </w:p>
        </w:tc>
        <w:tc>
          <w:tcPr>
            <w:tcW w:type="dxa" w:w="30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22/50 · 44% · 17:20.4</w:t>
            </w:r>
          </w:p>
        </w:tc>
        <w:tc>
          <w:tcPr>
            <w:tcW w:type="dxa" w:w="1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#4 · G</w:t>
            </w:r>
          </w:p>
        </w:tc>
      </w:tr>
      <w:tr>
        <w:trPr>
          <w:cantSplit/>
        </w:trPr>
        <w:tc>
          <w:tcPr>
            <w:tcW w:type="dxa" w:w="36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Goal Hybrid</w:t>
            </w:r>
          </w:p>
        </w:tc>
        <w:tc>
          <w:tcPr>
            <w:tcW w:type="dxa" w:w="1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25/50 · 50% · 15:45.3</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19/50 · 38% · 18:28.8</w:t>
            </w:r>
          </w:p>
        </w:tc>
        <w:tc>
          <w:tcPr>
            <w:tcW w:type="dxa" w:w="30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19/50 · 38% · 18:56.5</w:t>
            </w:r>
          </w:p>
        </w:tc>
        <w:tc>
          <w:tcPr>
            <w:tcW w:type="dxa" w:w="1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#6 · G</w:t>
            </w:r>
          </w:p>
        </w:tc>
      </w:tr>
      <w:tr>
        <w:trPr>
          <w:cantSplit/>
        </w:trPr>
        <w:tc>
          <w:tcPr>
            <w:tcW w:type="dxa" w:w="36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Imaginary Hybrid</w:t>
            </w:r>
          </w:p>
        </w:tc>
        <w:tc>
          <w:tcPr>
            <w:tcW w:type="dxa" w:w="17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Successor / G</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24/50 · 48% · 16:13.8</w:t>
            </w:r>
          </w:p>
        </w:tc>
        <w:tc>
          <w:tcPr>
            <w:tcW w:type="dxa" w:w="24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13/50 · 26% · 21:09.9</w:t>
            </w:r>
          </w:p>
        </w:tc>
        <w:tc>
          <w:tcPr>
            <w:tcW w:type="dxa" w:w="30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23/50 · 46% · 16:29.2</w:t>
            </w:r>
          </w:p>
        </w:tc>
        <w:tc>
          <w:tcPr>
            <w:tcW w:type="dxa" w:w="1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 · G</w:t>
            </w:r>
          </w:p>
        </w:tc>
      </w:tr>
      <w:tr>
        <w:trPr>
          <w:cantSplit/>
        </w:trPr>
        <w:tc>
          <w:tcPr>
            <w:tcW w:type="dxa" w:w="36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3"/>
              </w:rPr>
              <w:t>Direct Goal Critic Hybrid</w:t>
            </w:r>
          </w:p>
        </w:tc>
        <w:tc>
          <w:tcPr>
            <w:tcW w:type="dxa" w:w="17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Direct / C</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22/50 · 44% · 17:25.5</w:t>
            </w:r>
          </w:p>
        </w:tc>
        <w:tc>
          <w:tcPr>
            <w:tcW w:type="dxa" w:w="24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16/50 · 32% · 19:56.4</w:t>
            </w:r>
          </w:p>
        </w:tc>
        <w:tc>
          <w:tcPr>
            <w:tcW w:type="dxa" w:w="30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19/50 · 38% · 18:47.4</w:t>
            </w:r>
          </w:p>
        </w:tc>
        <w:tc>
          <w:tcPr>
            <w:tcW w:type="dxa" w:w="1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3"/>
              </w:rPr>
              <w:t>#6 · C</w:t>
            </w:r>
          </w:p>
        </w:tc>
      </w:tr>
    </w:tbl>
    <w:p>
      <w:pPr>
        <w:keepNext w:val="0"/>
        <w:spacing w:before="40" w:after="60" w:line="240" w:lineRule="auto"/>
      </w:pPr>
      <w:r>
        <w:rPr>
          <w:rFonts w:ascii="Arial Unicode MS" w:hAnsi="Arial Unicode MS" w:eastAsia="Arial Unicode MS" w:cs="Arial Unicode MS"/>
          <w:b w:val="0"/>
          <w:i/>
          <w:color w:val="5C6975"/>
          <w:sz w:val="13"/>
        </w:rPr>
        <w:t>Table 2. Each cell reports successes/episodes, success rate and elapsed time (h:mm:ss); F-only includes the final planning action.</w:t>
      </w:r>
    </w:p>
    <w:p>
      <w:r>
        <w:br w:type="page"/>
      </w:r>
    </w:p>
    <w:p>
      <w:pPr>
        <w:keepNext/>
        <w:spacing w:before="0" w:after="20" w:line="240" w:lineRule="auto"/>
      </w:pPr>
      <w:r>
        <w:rPr>
          <w:rFonts w:ascii="Arial Unicode MS" w:hAnsi="Arial Unicode MS" w:eastAsia="Arial Unicode MS" w:cs="Arial Unicode MS"/>
          <w:b/>
          <w:i w:val="0"/>
          <w:color w:val="2E74B5"/>
          <w:sz w:val="15"/>
        </w:rPr>
        <w:t>TRAINING / VALIDATION  ·  SUMMARY-DERIVED METRICS</w:t>
      </w:r>
    </w:p>
    <w:p>
      <w:pPr>
        <w:pStyle w:val="Title"/>
        <w:keepNext/>
        <w:spacing w:before="0" w:after="20" w:line="240" w:lineRule="auto"/>
      </w:pPr>
      <w:r>
        <w:rPr>
          <w:rFonts w:ascii="Arial Unicode MS" w:hAnsi="Arial Unicode MS" w:eastAsia="Arial Unicode MS" w:cs="Arial Unicode MS"/>
          <w:b/>
          <w:i w:val="0"/>
          <w:color w:val="17324D"/>
          <w:sz w:val="39"/>
        </w:rPr>
        <w:t>Training convergence and checkpoints</w:t>
      </w:r>
    </w:p>
    <w:p>
      <w:pPr>
        <w:pStyle w:val="Subtitle"/>
        <w:keepNext/>
        <w:spacing w:before="0" w:after="80" w:line="240" w:lineRule="auto"/>
      </w:pPr>
      <w:r>
        <w:rPr>
          <w:rFonts w:ascii="Arial Unicode MS" w:hAnsi="Arial Unicode MS" w:eastAsia="Arial Unicode MS" w:cs="Arial Unicode MS"/>
          <w:b w:val="0"/>
          <w:i w:val="0"/>
          <w:color w:val="5C6975"/>
          <w:sz w:val="16"/>
        </w:rPr>
        <w:t>7 methods  |  10 epochs  |  127,960 optimizer updates per method</w:t>
      </w:r>
    </w:p>
    <w:p>
      <w:pPr>
        <w:keepNext w:val="0"/>
        <w:spacing w:before="20" w:after="60" w:line="250" w:lineRule="auto"/>
        <w:shd w:fill="FFF5DD"/>
        <w:pBdr>
          <w:left w:val="single" w:sz="18" w:space="8" w:color="8A5A00"/>
        </w:pBdr>
      </w:pPr>
      <w:r>
        <w:rPr>
          <w:rFonts w:ascii="Arial Unicode MS" w:hAnsi="Arial Unicode MS" w:eastAsia="Arial Unicode MS" w:cs="Arial Unicode MS"/>
          <w:b/>
          <w:i w:val="0"/>
          <w:color w:val="17324D"/>
          <w:sz w:val="15"/>
        </w:rPr>
        <w:t>Comparison limit: auxiliary-loss counts and definitions differ. Total loss is only a within-method convergence check and cannot rank methods across structures.</w:t>
      </w:r>
    </w:p>
    <w:p>
      <w:pPr>
        <w:keepNext w:val="0"/>
        <w:spacing w:before="0" w:after="20" w:line="240" w:lineRule="auto"/>
        <w:jc w:val="center"/>
      </w:pPr>
      <w:r>
        <w:drawing>
          <wp:inline xmlns:a="http://schemas.openxmlformats.org/drawingml/2006/main" xmlns:pic="http://schemas.openxmlformats.org/drawingml/2006/picture">
            <wp:extent cx="5532120" cy="2703140"/>
            <wp:docPr id="1" name="Picture 1" descr="Seven Actor-Free TD-LeWM training and validation total-loss curves"/>
            <wp:cNvGraphicFramePr>
              <a:graphicFrameLocks noChangeAspect="1"/>
            </wp:cNvGraphicFramePr>
            <a:graphic>
              <a:graphicData uri="http://schemas.openxmlformats.org/drawingml/2006/picture">
                <pic:pic>
                  <pic:nvPicPr>
                    <pic:cNvPr id="0" name="final_training_loss_curves.png"/>
                    <pic:cNvPicPr/>
                  </pic:nvPicPr>
                  <pic:blipFill>
                    <a:blip r:embed="rId11"/>
                    <a:stretch>
                      <a:fillRect/>
                    </a:stretch>
                  </pic:blipFill>
                  <pic:spPr>
                    <a:xfrm>
                      <a:off x="0" y="0"/>
                      <a:ext cx="5532120" cy="2703140"/>
                    </a:xfrm>
                    <a:prstGeom prst="rect"/>
                  </pic:spPr>
                </pic:pic>
              </a:graphicData>
            </a:graphic>
          </wp:inline>
        </w:drawing>
      </w:r>
    </w:p>
    <w:p>
      <w:pPr>
        <w:keepNext w:val="0"/>
        <w:spacing w:before="40" w:after="60" w:line="240" w:lineRule="auto"/>
      </w:pPr>
      <w:r>
        <w:rPr>
          <w:rFonts w:ascii="Arial Unicode MS" w:hAnsi="Arial Unicode MS" w:eastAsia="Arial Unicode MS" w:cs="Arial Unicode MS"/>
          <w:b w:val="0"/>
          <w:i/>
          <w:color w:val="5C6975"/>
          <w:sz w:val="13"/>
        </w:rPr>
        <w:t>Figure 1. Training and validation total-loss curves derived by the archiver; cross-method ranking uses combined O50 on page 1.</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3500"/>
        <w:gridCol w:w="1900"/>
        <w:gridCol w:w="1900"/>
        <w:gridCol w:w="2200"/>
        <w:gridCol w:w="2600"/>
        <w:gridCol w:w="2300"/>
      </w:tblGrid>
      <w:tr>
        <w:trPr>
          <w:tblHeader w:val="true"/>
          <w:cantSplit/>
        </w:trPr>
        <w:tc>
          <w:tcPr>
            <w:tcW w:type="dxa" w:w="35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Method</w:t>
            </w:r>
          </w:p>
        </w:tc>
        <w:tc>
          <w:tcPr>
            <w:tcW w:type="dxa" w:w="19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Final train</w:t>
            </w:r>
          </w:p>
        </w:tc>
        <w:tc>
          <w:tcPr>
            <w:tcW w:type="dxa" w:w="19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Final validation</w:t>
            </w:r>
          </w:p>
        </w:tc>
        <w:tc>
          <w:tcPr>
            <w:tcW w:type="dxa" w:w="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Best validation</w:t>
            </w:r>
          </w:p>
        </w:tc>
        <w:tc>
          <w:tcPr>
            <w:tcW w:type="dxa" w:w="26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Checkpoint SHA</w:t>
            </w:r>
          </w:p>
        </w:tc>
        <w:tc>
          <w:tcPr>
            <w:tcW w:type="dxa" w:w="23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Training commit</w:t>
            </w:r>
          </w:p>
        </w:tc>
      </w:tr>
      <w:tr>
        <w:trPr>
          <w:cantSplit/>
        </w:trPr>
        <w:tc>
          <w:tcPr>
            <w:tcW w:type="dxa" w:w="3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Serial Decoupled</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0.108424</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0.780097</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0.754505 · E9</w:t>
            </w:r>
          </w:p>
        </w:tc>
        <w:tc>
          <w:tcPr>
            <w:tcW w:type="dxa" w:w="26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cb8be3f9a851</w:t>
            </w:r>
          </w:p>
        </w:tc>
        <w:tc>
          <w:tcPr>
            <w:tcW w:type="dxa" w:w="2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8e667cb6a8e9</w:t>
            </w:r>
          </w:p>
        </w:tc>
      </w:tr>
      <w:tr>
        <w:trPr>
          <w:cantSplit/>
        </w:trPr>
        <w:tc>
          <w:tcPr>
            <w:tcW w:type="dxa" w:w="3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Serial Coupled</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0.108643</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0.780158</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0.752397 · E9</w:t>
            </w:r>
          </w:p>
        </w:tc>
        <w:tc>
          <w:tcPr>
            <w:tcW w:type="dxa" w:w="26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2fe3fd5bcb2c</w:t>
            </w:r>
          </w:p>
        </w:tc>
        <w:tc>
          <w:tcPr>
            <w:tcW w:type="dxa" w:w="2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8e667cb6a8e9</w:t>
            </w:r>
          </w:p>
        </w:tc>
      </w:tr>
      <w:tr>
        <w:trPr>
          <w:cantSplit/>
        </w:trPr>
        <w:tc>
          <w:tcPr>
            <w:tcW w:type="dxa" w:w="3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Hybrid</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0.108973</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0.784110</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0.766112 · E9</w:t>
            </w:r>
          </w:p>
        </w:tc>
        <w:tc>
          <w:tcPr>
            <w:tcW w:type="dxa" w:w="26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299222acff78</w:t>
            </w:r>
          </w:p>
        </w:tc>
        <w:tc>
          <w:tcPr>
            <w:tcW w:type="dxa" w:w="2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8e667cb6a8e9</w:t>
            </w:r>
          </w:p>
        </w:tc>
      </w:tr>
      <w:tr>
        <w:trPr>
          <w:cantSplit/>
        </w:trPr>
        <w:tc>
          <w:tcPr>
            <w:tcW w:type="dxa" w:w="3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Parallel Real</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0.108762</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0.784254</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0.757853 · E9</w:t>
            </w:r>
          </w:p>
        </w:tc>
        <w:tc>
          <w:tcPr>
            <w:tcW w:type="dxa" w:w="26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61b5614a7b92</w:t>
            </w:r>
          </w:p>
        </w:tc>
        <w:tc>
          <w:tcPr>
            <w:tcW w:type="dxa" w:w="2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e895637d8c7e</w:t>
            </w:r>
          </w:p>
        </w:tc>
      </w:tr>
      <w:tr>
        <w:trPr>
          <w:cantSplit/>
        </w:trPr>
        <w:tc>
          <w:tcPr>
            <w:tcW w:type="dxa" w:w="3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Goal Hybrid</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0.115752</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0.793633</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0.766048 · E9</w:t>
            </w:r>
          </w:p>
        </w:tc>
        <w:tc>
          <w:tcPr>
            <w:tcW w:type="dxa" w:w="26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a746912bddd0</w:t>
            </w:r>
          </w:p>
        </w:tc>
        <w:tc>
          <w:tcPr>
            <w:tcW w:type="dxa" w:w="2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88ad2ec12c1d</w:t>
            </w:r>
          </w:p>
        </w:tc>
      </w:tr>
      <w:tr>
        <w:trPr>
          <w:cantSplit/>
        </w:trPr>
        <w:tc>
          <w:tcPr>
            <w:tcW w:type="dxa" w:w="3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Imaginary Hybrid</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0.109176</w:t>
            </w:r>
          </w:p>
        </w:tc>
        <w:tc>
          <w:tcPr>
            <w:tcW w:type="dxa" w:w="19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0.788777</w:t>
            </w:r>
          </w:p>
        </w:tc>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0.766026 · E9</w:t>
            </w:r>
          </w:p>
        </w:tc>
        <w:tc>
          <w:tcPr>
            <w:tcW w:type="dxa" w:w="26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e7656fed92a0</w:t>
            </w:r>
          </w:p>
        </w:tc>
        <w:tc>
          <w:tcPr>
            <w:tcW w:type="dxa" w:w="2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ea82e8f2984f</w:t>
            </w:r>
          </w:p>
        </w:tc>
      </w:tr>
      <w:tr>
        <w:trPr>
          <w:cantSplit/>
        </w:trPr>
        <w:tc>
          <w:tcPr>
            <w:tcW w:type="dxa" w:w="3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Direct Goal Critic Hybrid</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0.111773</w:t>
            </w:r>
          </w:p>
        </w:tc>
        <w:tc>
          <w:tcPr>
            <w:tcW w:type="dxa" w:w="19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0.792399</w:t>
            </w:r>
          </w:p>
        </w:tc>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0.759004 · E9</w:t>
            </w:r>
          </w:p>
        </w:tc>
        <w:tc>
          <w:tcPr>
            <w:tcW w:type="dxa" w:w="26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b3345e9eefdb</w:t>
            </w:r>
          </w:p>
        </w:tc>
        <w:tc>
          <w:tcPr>
            <w:tcW w:type="dxa" w:w="2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a1d98a2d0881</w:t>
            </w:r>
          </w:p>
        </w:tc>
      </w:tr>
    </w:tbl>
    <w:p>
      <w:pPr>
        <w:keepNext w:val="0"/>
        <w:spacing w:before="40" w:after="60" w:line="240" w:lineRule="auto"/>
      </w:pPr>
      <w:r>
        <w:rPr>
          <w:rFonts w:ascii="Arial Unicode MS" w:hAnsi="Arial Unicode MS" w:eastAsia="Arial Unicode MS" w:cs="Arial Unicode MS"/>
          <w:b w:val="0"/>
          <w:i/>
          <w:color w:val="5C6975"/>
          <w:sz w:val="13"/>
        </w:rPr>
        <w:t>Table 3. Final is epoch 10; Best validation is selected within each method's 10 epochs. Hashes and commits come from the archive summary.</w:t>
      </w:r>
    </w:p>
    <w:p>
      <w:r>
        <w:br w:type="page"/>
      </w:r>
    </w:p>
    <w:p>
      <w:pPr>
        <w:keepNext/>
        <w:spacing w:before="0" w:after="20" w:line="240" w:lineRule="auto"/>
      </w:pPr>
      <w:r>
        <w:rPr>
          <w:rFonts w:ascii="Arial Unicode MS" w:hAnsi="Arial Unicode MS" w:eastAsia="Arial Unicode MS" w:cs="Arial Unicode MS"/>
          <w:b/>
          <w:i w:val="0"/>
          <w:color w:val="2E74B5"/>
          <w:sz w:val="15"/>
        </w:rPr>
        <w:t>METHOD REFERENCE  ·  BASE STRUCTURAL ABLATIONS</w:t>
      </w:r>
    </w:p>
    <w:p>
      <w:pPr>
        <w:pStyle w:val="Title"/>
        <w:keepNext/>
        <w:spacing w:before="0" w:after="20" w:line="240" w:lineRule="auto"/>
      </w:pPr>
      <w:r>
        <w:rPr>
          <w:rFonts w:ascii="Arial Unicode MS" w:hAnsi="Arial Unicode MS" w:eastAsia="Arial Unicode MS" w:cs="Arial Unicode MS"/>
          <w:b/>
          <w:i w:val="0"/>
          <w:color w:val="17324D"/>
          <w:sz w:val="39"/>
        </w:rPr>
        <w:t>Four base Actor-Free TD-LeWM structures</w:t>
      </w:r>
    </w:p>
    <w:p>
      <w:pPr>
        <w:pStyle w:val="Subtitle"/>
        <w:keepNext/>
        <w:spacing w:before="0" w:after="80" w:line="240" w:lineRule="auto"/>
      </w:pPr>
      <w:r>
        <w:rPr>
          <w:rFonts w:ascii="Arial Unicode MS" w:hAnsi="Arial Unicode MS" w:eastAsia="Arial Unicode MS" w:cs="Arial Unicode MS"/>
          <w:b w:val="0"/>
          <w:i w:val="0"/>
          <w:color w:val="5C6975"/>
          <w:sz w:val="16"/>
        </w:rPr>
        <w:t>Shared LeWM encoder/predictor; differences are successor inputs, TD gradient paths and real/predicted branches.</w:t>
      </w:r>
    </w:p>
    <w:p>
      <w:pPr>
        <w:keepNext w:val="0"/>
        <w:spacing w:before="20" w:after="60" w:line="250" w:lineRule="auto"/>
        <w:shd w:fill="F4F7FA"/>
        <w:pBdr>
          <w:left w:val="single" w:sz="18" w:space="8" w:color="2E74B5"/>
        </w:pBdr>
      </w:pPr>
      <w:r>
        <w:rPr>
          <w:rFonts w:ascii="Arial Unicode MS" w:hAnsi="Arial Unicode MS" w:eastAsia="Arial Unicode MS" w:cs="Arial Unicode MS"/>
          <w:b/>
          <w:i w:val="0"/>
          <w:color w:val="17324D"/>
          <w:sz w:val="15"/>
        </w:rPr>
        <w:t>Common objective: L_LeWM = L_pred + 0.09 L_SIGReg. The successor target uses the real EMA next latent, EMA head and dataset next action, with a stop-gradient target; every method is actor-free.</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2500"/>
        <w:gridCol w:w="3150"/>
        <w:gridCol w:w="3350"/>
        <w:gridCol w:w="3200"/>
        <w:gridCol w:w="2200"/>
      </w:tblGrid>
      <w:tr>
        <w:trPr>
          <w:tblHeader w:val="true"/>
          <w:cantSplit/>
        </w:trPr>
        <w:tc>
          <w:tcPr>
            <w:tcW w:type="dxa" w:w="25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Method</w:t>
            </w:r>
          </w:p>
        </w:tc>
        <w:tc>
          <w:tcPr>
            <w:tcW w:type="dxa" w:w="31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Network</w:t>
            </w:r>
          </w:p>
        </w:tc>
        <w:tc>
          <w:tcPr>
            <w:tcW w:type="dxa" w:w="33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Training loss</w:t>
            </w:r>
          </w:p>
        </w:tc>
        <w:tc>
          <w:tcPr>
            <w:tcW w:type="dxa" w:w="3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Special design / gradient path</w:t>
            </w:r>
          </w:p>
        </w:tc>
        <w:tc>
          <w:tcPr>
            <w:tcW w:type="dxa" w:w="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Inference</w:t>
            </w:r>
          </w:p>
        </w:tc>
      </w:tr>
      <w:tr>
        <w:trPr>
          <w:cantSplit/>
        </w:trPr>
        <w:tc>
          <w:tcPr>
            <w:tcW w:type="dxa" w:w="2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Serial Decoupled</w:t>
            </w:r>
            <w:r>
              <w:br/>
            </w:r>
            <w:r>
              <w:rPr>
                <w:rFonts w:ascii="Arial Unicode MS" w:hAnsi="Arial Unicode MS" w:eastAsia="Arial Unicode MS" w:cs="Arial Unicode MS"/>
                <w:b w:val="0"/>
                <w:i w:val="0"/>
                <w:color w:val="17212B"/>
                <w:sz w:val="14"/>
              </w:rPr>
              <w:t>serial_decoupled</w:t>
            </w:r>
          </w:p>
        </w:tc>
        <w:tc>
          <w:tcPr>
            <w:tcW w:type="dxa" w:w="31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 one successor-feature head on predicted latent history</w:t>
            </w:r>
          </w:p>
        </w:tc>
        <w:tc>
          <w:tcPr>
            <w:tcW w:type="dxa" w:w="33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 L_TD^pred</w:t>
            </w:r>
            <w:r>
              <w:br/>
            </w:r>
            <w:r>
              <w:rPr>
                <w:rFonts w:ascii="Arial Unicode MS" w:hAnsi="Arial Unicode MS" w:eastAsia="Arial Unicode MS" w:cs="Arial Unicode MS"/>
                <w:b w:val="0"/>
                <w:i w:val="0"/>
                <w:color w:val="17212B"/>
                <w:sz w:val="14"/>
              </w:rPr>
              <w:t>G(sg(H̃ₜ), aₜ) → sg(yₜ^SF)</w:t>
            </w:r>
          </w:p>
        </w:tc>
        <w:tc>
          <w:tcPr>
            <w:tcW w:type="dxa" w:w="3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Predicted context is detached; TD updates the successor head only.</w:t>
            </w:r>
          </w:p>
        </w:tc>
        <w:tc>
          <w:tcPr>
            <w:tcW w:type="dxa" w:w="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r>
        <w:trPr>
          <w:cantSplit/>
        </w:trPr>
        <w:tc>
          <w:tcPr>
            <w:tcW w:type="dxa" w:w="2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Serial Coupled</w:t>
            </w:r>
            <w:r>
              <w:br/>
            </w:r>
            <w:r>
              <w:rPr>
                <w:rFonts w:ascii="Arial Unicode MS" w:hAnsi="Arial Unicode MS" w:eastAsia="Arial Unicode MS" w:cs="Arial Unicode MS"/>
                <w:b w:val="0"/>
                <w:i w:val="0"/>
                <w:color w:val="17212B"/>
                <w:sz w:val="14"/>
              </w:rPr>
              <w:t>serial_coupled</w:t>
            </w:r>
          </w:p>
        </w:tc>
        <w:tc>
          <w:tcPr>
            <w:tcW w:type="dxa" w:w="31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 one successor-feature head on predicted latent history</w:t>
            </w:r>
          </w:p>
        </w:tc>
        <w:tc>
          <w:tcPr>
            <w:tcW w:type="dxa" w:w="33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 L_TD^pred</w:t>
            </w:r>
            <w:r>
              <w:br/>
            </w:r>
            <w:r>
              <w:rPr>
                <w:rFonts w:ascii="Arial Unicode MS" w:hAnsi="Arial Unicode MS" w:eastAsia="Arial Unicode MS" w:cs="Arial Unicode MS"/>
                <w:b w:val="0"/>
                <w:i w:val="0"/>
                <w:color w:val="17212B"/>
                <w:sz w:val="14"/>
              </w:rPr>
              <w:t>G(H̃ₜ, aₜ) → sg(yₜ^SF)</w:t>
            </w:r>
          </w:p>
        </w:tc>
        <w:tc>
          <w:tcPr>
            <w:tcW w:type="dxa" w:w="3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Predicted context stays differentiable; TD also reaches LeWM.</w:t>
            </w:r>
          </w:p>
        </w:tc>
        <w:tc>
          <w:tcPr>
            <w:tcW w:type="dxa" w:w="2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r>
        <w:trPr>
          <w:cantSplit/>
        </w:trPr>
        <w:tc>
          <w:tcPr>
            <w:tcW w:type="dxa" w:w="2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Hybrid</w:t>
            </w:r>
            <w:r>
              <w:br/>
            </w:r>
            <w:r>
              <w:rPr>
                <w:rFonts w:ascii="Arial Unicode MS" w:hAnsi="Arial Unicode MS" w:eastAsia="Arial Unicode MS" w:cs="Arial Unicode MS"/>
                <w:b w:val="0"/>
                <w:i w:val="0"/>
                <w:color w:val="17212B"/>
                <w:sz w:val="14"/>
              </w:rPr>
              <w:t>hybrid</w:t>
            </w:r>
          </w:p>
        </w:tc>
        <w:tc>
          <w:tcPr>
            <w:tcW w:type="dxa" w:w="31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 one shared successor head for real and predicted histories</w:t>
            </w:r>
          </w:p>
        </w:tc>
        <w:tc>
          <w:tcPr>
            <w:tcW w:type="dxa" w:w="33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αᵤ(L_TD^pred + L_TD^real)</w:t>
              <w:br/>
              <w:t>The same G consumes predicted and real latent histories</w:t>
            </w:r>
          </w:p>
        </w:tc>
        <w:tc>
          <w:tcPr>
            <w:tcW w:type="dxa" w:w="3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The same head is trained on parallel-real and coupled-serial branches.</w:t>
            </w:r>
          </w:p>
        </w:tc>
        <w:tc>
          <w:tcPr>
            <w:tcW w:type="dxa" w:w="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r>
        <w:trPr>
          <w:cantSplit/>
        </w:trPr>
        <w:tc>
          <w:tcPr>
            <w:tcW w:type="dxa" w:w="2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Parallel Real</w:t>
            </w:r>
            <w:r>
              <w:br/>
            </w:r>
            <w:r>
              <w:rPr>
                <w:rFonts w:ascii="Arial Unicode MS" w:hAnsi="Arial Unicode MS" w:eastAsia="Arial Unicode MS" w:cs="Arial Unicode MS"/>
                <w:b w:val="0"/>
                <w:i w:val="0"/>
                <w:color w:val="17212B"/>
                <w:sz w:val="14"/>
              </w:rPr>
              <w:t>parallel_real</w:t>
            </w:r>
          </w:p>
        </w:tc>
        <w:tc>
          <w:tcPr>
            <w:tcW w:type="dxa" w:w="31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predictor and successor head are parallel on encoder latents</w:t>
            </w:r>
          </w:p>
        </w:tc>
        <w:tc>
          <w:tcPr>
            <w:tcW w:type="dxa" w:w="33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 L_TD^real</w:t>
              <w:br/>
              <w:t>G(Hₜ^real, aₜ) is parallel to the LeWM predictor</w:t>
            </w:r>
          </w:p>
        </w:tc>
        <w:tc>
          <w:tcPr>
            <w:tcW w:type="dxa" w:w="3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TD uses real latent history and does not pass through the predictor.</w:t>
            </w:r>
          </w:p>
        </w:tc>
        <w:tc>
          <w:tcPr>
            <w:tcW w:type="dxa" w:w="2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bl>
    <w:p>
      <w:pPr>
        <w:keepNext w:val="0"/>
        <w:spacing w:before="40" w:after="60" w:line="240" w:lineRule="auto"/>
      </w:pPr>
      <w:r>
        <w:rPr>
          <w:rFonts w:ascii="Arial Unicode MS" w:hAnsi="Arial Unicode MS" w:eastAsia="Arial Unicode MS" w:cs="Arial Unicode MS"/>
          <w:b w:val="0"/>
          <w:i/>
          <w:color w:val="5C6975"/>
          <w:sz w:val="13"/>
        </w:rPr>
        <w:t>Table 4. Method descriptions come from archive summary.method_spec; the equations are fixed definitions, not manually entered results.</w:t>
      </w:r>
    </w:p>
    <w:p>
      <w:pPr>
        <w:pStyle w:val="Heading2"/>
        <w:keepNext/>
        <w:spacing w:before="60" w:after="40" w:line="240" w:lineRule="auto"/>
      </w:pPr>
      <w:r>
        <w:rPr>
          <w:rFonts w:ascii="Arial Unicode MS" w:hAnsi="Arial Unicode MS" w:eastAsia="Arial Unicode MS" w:cs="Arial Unicode MS"/>
          <w:b/>
          <w:i w:val="0"/>
          <w:color w:val="2E74B5"/>
          <w:sz w:val="20"/>
        </w:rPr>
        <w:t>Unified meaning of the three inference scores</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2200"/>
        <w:gridCol w:w="12200"/>
      </w:tblGrid>
      <w:tr>
        <w:trPr>
          <w:tblHeader w:val="true"/>
          <w:cantSplit/>
        </w:trPr>
        <w:tc>
          <w:tcPr>
            <w:tcW w:type="dxa" w:w="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Score mode</w:t>
            </w:r>
          </w:p>
        </w:tc>
        <w:tc>
          <w:tcPr>
            <w:tcW w:type="dxa" w:w="1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Candidate-action ranking signal</w:t>
            </w:r>
          </w:p>
        </w:tc>
      </w:tr>
      <w:tr>
        <w:trPr>
          <w:cantSplit/>
        </w:trPr>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F-only</w:t>
            </w:r>
          </w:p>
        </w:tc>
        <w:tc>
          <w:tcPr>
            <w:tcW w:type="dxa" w:w="1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rolls and scores all H predicted states with the normalized discounted latent-goal cost.</w:t>
            </w:r>
          </w:p>
        </w:tc>
      </w:tr>
      <w:tr>
        <w:trPr>
          <w:cantSplit/>
        </w:trPr>
        <w:tc>
          <w:tcPr>
            <w:tcW w:type="dxa" w:w="22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G-only</w:t>
            </w:r>
          </w:p>
        </w:tc>
        <w:tc>
          <w:tcPr>
            <w:tcW w:type="dxa" w:w="12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still rolls the candidate to form tail context, but ranking uses only the successor G readout.</w:t>
            </w:r>
          </w:p>
        </w:tc>
      </w:tr>
      <w:tr>
        <w:trPr>
          <w:cantSplit/>
        </w:trPr>
        <w:tc>
          <w:tcPr>
            <w:tcW w:type="dxa" w:w="22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4"/>
              </w:rPr>
              <w:t>F+G</w:t>
            </w:r>
          </w:p>
        </w:tc>
        <w:tc>
          <w:tcPr>
            <w:tcW w:type="dxa" w:w="1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F prefix cost plus discounted successor G tail cost.</w:t>
            </w:r>
          </w:p>
        </w:tc>
      </w:tr>
    </w:tbl>
    <w:p>
      <w:pPr>
        <w:keepNext w:val="0"/>
        <w:spacing w:before="20" w:after="0" w:line="250" w:lineRule="auto"/>
        <w:shd w:fill="F4F7FA"/>
        <w:pBdr>
          <w:left w:val="single" w:sz="18" w:space="8" w:color="2E74B5"/>
        </w:pBdr>
      </w:pPr>
      <w:r>
        <w:rPr>
          <w:rFonts w:ascii="Arial Unicode MS" w:hAnsi="Arial Unicode MS" w:eastAsia="Arial Unicode MS" w:cs="Arial Unicode MS"/>
          <w:b/>
          <w:i w:val="0"/>
          <w:color w:val="17324D"/>
          <w:sz w:val="15"/>
        </w:rPr>
        <w:t>Control protocol: all structures use the same swm/OGBCube-v0, selection and planning seed 42. G-only still uses a LeWM rollout to build tail context, but excludes F cost from ranking.</w:t>
      </w:r>
    </w:p>
    <w:p>
      <w:r>
        <w:br w:type="page"/>
      </w:r>
    </w:p>
    <w:p>
      <w:pPr>
        <w:keepNext/>
        <w:spacing w:before="0" w:after="20" w:line="240" w:lineRule="auto"/>
      </w:pPr>
      <w:r>
        <w:rPr>
          <w:rFonts w:ascii="Arial Unicode MS" w:hAnsi="Arial Unicode MS" w:eastAsia="Arial Unicode MS" w:cs="Arial Unicode MS"/>
          <w:b/>
          <w:i w:val="0"/>
          <w:color w:val="2E74B5"/>
          <w:sz w:val="15"/>
        </w:rPr>
        <w:t>METHOD REFERENCE  ·  GOAL / IMAGINARY / DIRECT</w:t>
      </w:r>
    </w:p>
    <w:p>
      <w:pPr>
        <w:pStyle w:val="Title"/>
        <w:keepNext/>
        <w:spacing w:before="0" w:after="20" w:line="240" w:lineRule="auto"/>
      </w:pPr>
      <w:r>
        <w:rPr>
          <w:rFonts w:ascii="Arial Unicode MS" w:hAnsi="Arial Unicode MS" w:eastAsia="Arial Unicode MS" w:cs="Arial Unicode MS"/>
          <w:b/>
          <w:i w:val="0"/>
          <w:color w:val="17324D"/>
          <w:sz w:val="39"/>
        </w:rPr>
        <w:t>Three extensions, target equations and audit sources</w:t>
      </w:r>
    </w:p>
    <w:p>
      <w:pPr>
        <w:pStyle w:val="Subtitle"/>
        <w:keepNext/>
        <w:spacing w:before="0" w:after="80" w:line="240" w:lineRule="auto"/>
      </w:pPr>
      <w:r>
        <w:rPr>
          <w:rFonts w:ascii="Arial Unicode MS" w:hAnsi="Arial Unicode MS" w:eastAsia="Arial Unicode MS" w:cs="Arial Unicode MS"/>
          <w:b w:val="0"/>
          <w:i w:val="0"/>
          <w:color w:val="5C6975"/>
          <w:sz w:val="16"/>
        </w:rPr>
        <w:t>Side-by-side comparison of goal-readout TD, EMA imaginary bootstrap and a direct goal-conditioned critic.</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2500"/>
        <w:gridCol w:w="3150"/>
        <w:gridCol w:w="3350"/>
        <w:gridCol w:w="3200"/>
        <w:gridCol w:w="2200"/>
      </w:tblGrid>
      <w:tr>
        <w:trPr>
          <w:tblHeader w:val="true"/>
          <w:cantSplit/>
        </w:trPr>
        <w:tc>
          <w:tcPr>
            <w:tcW w:type="dxa" w:w="25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Method</w:t>
            </w:r>
          </w:p>
        </w:tc>
        <w:tc>
          <w:tcPr>
            <w:tcW w:type="dxa" w:w="31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Network</w:t>
            </w:r>
          </w:p>
        </w:tc>
        <w:tc>
          <w:tcPr>
            <w:tcW w:type="dxa" w:w="33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Training loss</w:t>
            </w:r>
          </w:p>
        </w:tc>
        <w:tc>
          <w:tcPr>
            <w:tcW w:type="dxa" w:w="3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Special design / gradient path</w:t>
            </w:r>
          </w:p>
        </w:tc>
        <w:tc>
          <w:tcPr>
            <w:tcW w:type="dxa" w:w="22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4"/>
              </w:rPr>
              <w:t>Inference</w:t>
            </w:r>
          </w:p>
        </w:tc>
      </w:tr>
      <w:tr>
        <w:trPr>
          <w:cantSplit/>
        </w:trPr>
        <w:tc>
          <w:tcPr>
            <w:tcW w:type="dxa" w:w="2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Goal Hybrid</w:t>
            </w:r>
            <w:r>
              <w:br/>
            </w:r>
            <w:r>
              <w:rPr>
                <w:rFonts w:ascii="Arial Unicode MS" w:hAnsi="Arial Unicode MS" w:eastAsia="Arial Unicode MS" w:cs="Arial Unicode MS"/>
                <w:b w:val="0"/>
                <w:i w:val="0"/>
                <w:color w:val="17212B"/>
                <w:sz w:val="14"/>
              </w:rPr>
              <w:t>goal_hybrid</w:t>
            </w:r>
          </w:p>
        </w:tc>
        <w:tc>
          <w:tcPr>
            <w:tcW w:type="dxa" w:w="31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Hybrid successor head with fixed linear goal readout G^T w(g)</w:t>
            </w:r>
          </w:p>
        </w:tc>
        <w:tc>
          <w:tcPr>
            <w:tcW w:type="dxa" w:w="33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αᵤ(L_SF-TD^real + L_SF-TD^pred + L_goal-TD^real + L_goal-TD^pred)</w:t>
            </w:r>
            <w:r>
              <w:br/>
            </w:r>
            <w:r>
              <w:rPr>
                <w:rFonts w:ascii="Arial Unicode MS" w:hAnsi="Arial Unicode MS" w:eastAsia="Arial Unicode MS" w:cs="Arial Unicode MS"/>
                <w:b w:val="0"/>
                <w:i w:val="0"/>
                <w:color w:val="17212B"/>
                <w:sz w:val="14"/>
              </w:rPr>
              <w:t>C_g(H,a) = G(H,a)ᵀw(z_g)</w:t>
            </w:r>
          </w:p>
        </w:tc>
        <w:tc>
          <w:tcPr>
            <w:tcW w:type="dxa" w:w="3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Goal readout is trained by hindsight goal-conditioned Bellman TD.</w:t>
            </w:r>
          </w:p>
        </w:tc>
        <w:tc>
          <w:tcPr>
            <w:tcW w:type="dxa" w:w="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r>
        <w:trPr>
          <w:cantSplit/>
        </w:trPr>
        <w:tc>
          <w:tcPr>
            <w:tcW w:type="dxa" w:w="25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Imaginary Hybrid</w:t>
            </w:r>
            <w:r>
              <w:br/>
            </w:r>
            <w:r>
              <w:rPr>
                <w:rFonts w:ascii="Arial Unicode MS" w:hAnsi="Arial Unicode MS" w:eastAsia="Arial Unicode MS" w:cs="Arial Unicode MS"/>
                <w:b w:val="0"/>
                <w:i w:val="0"/>
                <w:color w:val="17212B"/>
                <w:sz w:val="14"/>
              </w:rPr>
              <w:t>imaginary_hybrid</w:t>
            </w:r>
          </w:p>
        </w:tc>
        <w:tc>
          <w:tcPr>
            <w:tcW w:type="dxa" w:w="31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Hybrid successor head with an EMA-LeWM imagined bootstrap state</w:t>
            </w:r>
          </w:p>
        </w:tc>
        <w:tc>
          <w:tcPr>
            <w:tcW w:type="dxa" w:w="335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αᵤ(L_TD^real + L_TD^pred)</w:t>
              <w:br/>
              <w:t>The bootstrap state is imagined one step by stop-gradient EMA-LeWM</w:t>
            </w:r>
          </w:p>
        </w:tc>
        <w:tc>
          <w:tcPr>
            <w:tcW w:type="dxa" w:w="3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The TD target bootstraps one step through the stopped EMA predictor.</w:t>
            </w:r>
          </w:p>
        </w:tc>
        <w:tc>
          <w:tcPr>
            <w:tcW w:type="dxa" w:w="22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G-only, or F+G cost.</w:t>
            </w:r>
          </w:p>
        </w:tc>
      </w:tr>
      <w:tr>
        <w:trPr>
          <w:cantSplit/>
        </w:trPr>
        <w:tc>
          <w:tcPr>
            <w:tcW w:type="dxa" w:w="25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Direct Goal Critic Hybrid</w:t>
            </w:r>
            <w:r>
              <w:br/>
            </w:r>
            <w:r>
              <w:rPr>
                <w:rFonts w:ascii="Arial Unicode MS" w:hAnsi="Arial Unicode MS" w:eastAsia="Arial Unicode MS" w:cs="Arial Unicode MS"/>
                <w:b w:val="0"/>
                <w:i w:val="0"/>
                <w:color w:val="17212B"/>
                <w:sz w:val="14"/>
              </w:rPr>
              <w:t>direct_goal_hybrid</w:t>
            </w:r>
          </w:p>
        </w:tc>
        <w:tc>
          <w:tcPr>
            <w:tcW w:type="dxa" w:w="31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LeWM + one scalar goal-conditioned critic for real/predicted histories</w:t>
            </w:r>
          </w:p>
        </w:tc>
        <w:tc>
          <w:tcPr>
            <w:tcW w:type="dxa" w:w="335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L = L_LeWM + αᵤ(L_C-TD^real + L_C-TD^pred)</w:t>
              <w:br/>
              <w:t>C(H,a,z_g) directly outputs a goal-conditioned scalar cost</w:t>
            </w:r>
          </w:p>
        </w:tc>
        <w:tc>
          <w:tcPr>
            <w:tcW w:type="dxa" w:w="3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Goal latent enters the critic directly; there is no SF factorization.</w:t>
            </w:r>
          </w:p>
        </w:tc>
        <w:tc>
          <w:tcPr>
            <w:tcW w:type="dxa" w:w="22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4"/>
              </w:rPr>
              <w:t>CEM with F-only, C-only, or F+C cost.</w:t>
            </w:r>
          </w:p>
        </w:tc>
      </w:tr>
    </w:tbl>
    <w:p>
      <w:pPr>
        <w:keepNext w:val="0"/>
        <w:spacing w:before="40" w:after="60" w:line="240" w:lineRule="auto"/>
      </w:pPr>
      <w:r>
        <w:rPr>
          <w:rFonts w:ascii="Arial Unicode MS" w:hAnsi="Arial Unicode MS" w:eastAsia="Arial Unicode MS" w:cs="Arial Unicode MS"/>
          <w:b w:val="0"/>
          <w:i/>
          <w:color w:val="5C6975"/>
          <w:sz w:val="13"/>
        </w:rPr>
        <w:t>Table 5. Direct uses C-only / F+C; successor methods use G-only / F+G. Training remains actor-free.</w:t>
      </w:r>
    </w:p>
    <w:p>
      <w:pPr>
        <w:pStyle w:val="Heading2"/>
        <w:keepNext/>
        <w:spacing w:before="60" w:after="40" w:line="240" w:lineRule="auto"/>
      </w:pPr>
      <w:r>
        <w:rPr>
          <w:rFonts w:ascii="Arial Unicode MS" w:hAnsi="Arial Unicode MS" w:eastAsia="Arial Unicode MS" w:cs="Arial Unicode MS"/>
          <w:b/>
          <w:i w:val="0"/>
          <w:color w:val="2E74B5"/>
          <w:sz w:val="20"/>
        </w:rPr>
        <w:t>Target and planning equations</w:t>
      </w:r>
    </w:p>
    <w:p>
      <w:pPr>
        <w:keepNext w:val="0"/>
        <w:spacing w:before="0" w:after="60" w:line="247" w:lineRule="auto"/>
        <w:shd w:fill="F4F7FA"/>
        <w:pBdr>
          <w:left w:val="single" w:sz="18" w:space="8" w:color="2E74B5"/>
        </w:pBdr>
      </w:pPr>
      <w:r>
        <w:rPr>
          <w:rFonts w:ascii="Arial Unicode MS" w:hAnsi="Arial Unicode MS" w:eastAsia="Arial Unicode MS" w:cs="Arial Unicode MS"/>
          <w:b/>
          <w:i w:val="0"/>
          <w:color w:val="17324D"/>
          <w:sz w:val="14"/>
        </w:rPr>
        <w:t>SF TD: yₜ^SF = (1−γ)χ(z̄ₜ₊₁) + γ(1−dₜ)Ḡ(next).</w:t>
        <w:br/>
        <w:t>Goal TD: C_g(H,a)=G(H,a)ᵀw(z_g), yₜ^g=(1−γ)c(z̄ₜ₊₁,z_g)+γ(1−dₜ^g)C̄_g(next).</w:t>
        <w:br/>
        <w:t>Imaginary: Ĥₜ₊₁=sg(P̄(Hₜ,aₜ)), then bootstrap from Ĥₜ₊₁; Direct: C(H,a,z_g) predicts scalar cost directly.</w:t>
        <w:br/>
        <w:t>Planning: J_F=Σₖ₌₁ᴴγᵏ⁻¹c(z̃ₜ₊ₖ,z_g); combined adds the discounted G/C tail to the F prefix. CEM minimizes cost; it does not train an Actor to maximize a one-step dot product.</w:t>
      </w:r>
    </w:p>
    <w:p>
      <w:pPr>
        <w:keepNext w:val="0"/>
        <w:spacing w:before="20" w:after="60" w:line="250" w:lineRule="auto"/>
        <w:shd w:fill="EAF5EE"/>
        <w:pBdr>
          <w:left w:val="single" w:sz="18" w:space="8" w:color="21623B"/>
        </w:pBdr>
      </w:pPr>
      <w:r>
        <w:rPr>
          <w:rFonts w:ascii="Arial Unicode MS" w:hAnsi="Arial Unicode MS" w:eastAsia="Arial Unicode MS" w:cs="Arial Unicode MS"/>
          <w:b/>
          <w:i w:val="0"/>
          <w:color w:val="17324D"/>
          <w:sz w:val="14"/>
        </w:rPr>
        <w:t>Combined conclusion: Hybrid ranks first at 27/50 (54%). This claim applies only to the combined score; F-only and G/C-only are inference ablations of the same checkpoint. Boundary: one training seed and one matched O50 planning selection. Rank only combined inference scores; this is not a multi-seed claim.</w:t>
      </w:r>
    </w:p>
    <w:p>
      <w:pPr>
        <w:pStyle w:val="Heading2"/>
        <w:keepNext/>
        <w:spacing w:before="60" w:after="40" w:line="240" w:lineRule="auto"/>
      </w:pPr>
      <w:r>
        <w:rPr>
          <w:rFonts w:ascii="Arial Unicode MS" w:hAnsi="Arial Unicode MS" w:eastAsia="Arial Unicode MS" w:cs="Arial Unicode MS"/>
          <w:b/>
          <w:i w:val="0"/>
          <w:color w:val="2E74B5"/>
          <w:sz w:val="20"/>
        </w:rPr>
        <w:t>Provenance / checksums</w:t>
      </w:r>
    </w:p>
    <w:tbl>
      <w:tblPr>
        <w:tblW w:type="dxa" w:w="14400"/>
        <w:jc w:val="left"/>
        <w:tblLayout w:type="fixed"/>
        <w:tblLook w:firstColumn="1" w:firstRow="1" w:lastColumn="0" w:lastRow="0" w:noHBand="0" w:noVBand="1" w:val="04A0"/>
        <w:tblInd w:type="dxa" w:w="120"/>
        <w:tblBorders>
          <w:top w:val="single" w:sz="5" w:space="0" w:color="B9C5D0"/>
          <w:left w:val="single" w:sz="5" w:space="0" w:color="B9C5D0"/>
          <w:bottom w:val="single" w:sz="5" w:space="0" w:color="B9C5D0"/>
          <w:right w:val="single" w:sz="5" w:space="0" w:color="B9C5D0"/>
          <w:insideH w:val="single" w:sz="5" w:space="0" w:color="B9C5D0"/>
          <w:insideV w:val="single" w:sz="5" w:space="0" w:color="B9C5D0"/>
        </w:tblBorders>
      </w:tblPr>
      <w:tblGrid>
        <w:gridCol w:w="3300"/>
        <w:gridCol w:w="2100"/>
        <w:gridCol w:w="3300"/>
        <w:gridCol w:w="2850"/>
        <w:gridCol w:w="2850"/>
      </w:tblGrid>
      <w:tr>
        <w:trPr>
          <w:tblHeader w:val="true"/>
          <w:cantSplit/>
        </w:trPr>
        <w:tc>
          <w:tcPr>
            <w:tcW w:type="dxa" w:w="33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Variant</w:t>
            </w:r>
          </w:p>
        </w:tc>
        <w:tc>
          <w:tcPr>
            <w:tcW w:type="dxa" w:w="21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Train commit</w:t>
            </w:r>
          </w:p>
        </w:tc>
        <w:tc>
          <w:tcPr>
            <w:tcW w:type="dxa" w:w="330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Eval commit(s)</w:t>
            </w:r>
          </w:p>
        </w:tc>
        <w:tc>
          <w:tcPr>
            <w:tcW w:type="dxa" w:w="28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Checkpoint SHA</w:t>
            </w:r>
          </w:p>
        </w:tc>
        <w:tc>
          <w:tcPr>
            <w:tcW w:type="dxa" w:w="2850"/>
            <w:vAlign w:val="center"/>
            <w:shd w:fill="17324D"/>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i w:val="0"/>
                <w:color w:val="FFFFFF"/>
                <w:sz w:val="13"/>
              </w:rPr>
              <w:t>Locked protocol SHA</w:t>
            </w:r>
          </w:p>
        </w:tc>
      </w:tr>
      <w:tr>
        <w:trPr>
          <w:cantSplit/>
        </w:trPr>
        <w:tc>
          <w:tcPr>
            <w:tcW w:type="dxa" w:w="33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serial_decoupled</w:t>
            </w:r>
          </w:p>
        </w:tc>
        <w:tc>
          <w:tcPr>
            <w:tcW w:type="dxa" w:w="21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8e667cb6a8</w:t>
            </w:r>
          </w:p>
        </w:tc>
        <w:tc>
          <w:tcPr>
            <w:tcW w:type="dxa" w:w="3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fa46ed99b/8e667cb6a</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cb8be3f9a851</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6eaaf266bc6e</w:t>
            </w:r>
          </w:p>
        </w:tc>
      </w:tr>
      <w:tr>
        <w:trPr>
          <w:cantSplit/>
        </w:trPr>
        <w:tc>
          <w:tcPr>
            <w:tcW w:type="dxa" w:w="33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serial_coupled</w:t>
            </w:r>
          </w:p>
        </w:tc>
        <w:tc>
          <w:tcPr>
            <w:tcW w:type="dxa" w:w="21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8e667cb6a8</w:t>
            </w:r>
          </w:p>
        </w:tc>
        <w:tc>
          <w:tcPr>
            <w:tcW w:type="dxa" w:w="3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fa46ed99b/8e667cb6a</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2fe3fd5bcb2c</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e272feeb5081</w:t>
            </w:r>
          </w:p>
        </w:tc>
      </w:tr>
      <w:tr>
        <w:trPr>
          <w:cantSplit/>
        </w:trPr>
        <w:tc>
          <w:tcPr>
            <w:tcW w:type="dxa" w:w="33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hybrid</w:t>
            </w:r>
          </w:p>
        </w:tc>
        <w:tc>
          <w:tcPr>
            <w:tcW w:type="dxa" w:w="21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8e667cb6a8</w:t>
            </w:r>
          </w:p>
        </w:tc>
        <w:tc>
          <w:tcPr>
            <w:tcW w:type="dxa" w:w="3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fa46ed99b/8e667cb6a</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299222acff78</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bd0b207e2712</w:t>
            </w:r>
          </w:p>
        </w:tc>
      </w:tr>
      <w:tr>
        <w:trPr>
          <w:cantSplit/>
        </w:trPr>
        <w:tc>
          <w:tcPr>
            <w:tcW w:type="dxa" w:w="33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parallel_real</w:t>
            </w:r>
          </w:p>
        </w:tc>
        <w:tc>
          <w:tcPr>
            <w:tcW w:type="dxa" w:w="21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e895637d8c</w:t>
            </w:r>
          </w:p>
        </w:tc>
        <w:tc>
          <w:tcPr>
            <w:tcW w:type="dxa" w:w="3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fa46ed99b/e895637d8</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61b5614a7b92</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f3d3ca31e1f1</w:t>
            </w:r>
          </w:p>
        </w:tc>
      </w:tr>
      <w:tr>
        <w:trPr>
          <w:cantSplit/>
        </w:trPr>
        <w:tc>
          <w:tcPr>
            <w:tcW w:type="dxa" w:w="33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goal_hybrid</w:t>
            </w:r>
          </w:p>
        </w:tc>
        <w:tc>
          <w:tcPr>
            <w:tcW w:type="dxa" w:w="21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88ad2ec12c</w:t>
            </w:r>
          </w:p>
        </w:tc>
        <w:tc>
          <w:tcPr>
            <w:tcW w:type="dxa" w:w="3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a746912bddd0</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fdbf618cb45e</w:t>
            </w:r>
          </w:p>
        </w:tc>
      </w:tr>
      <w:tr>
        <w:trPr>
          <w:cantSplit/>
        </w:trPr>
        <w:tc>
          <w:tcPr>
            <w:tcW w:type="dxa" w:w="3300"/>
            <w:vAlign w:val="center"/>
            <w:shd w:fill="F8FAFC"/>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imaginary_hybrid</w:t>
            </w:r>
          </w:p>
        </w:tc>
        <w:tc>
          <w:tcPr>
            <w:tcW w:type="dxa" w:w="21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ea82e8f298</w:t>
            </w:r>
          </w:p>
        </w:tc>
        <w:tc>
          <w:tcPr>
            <w:tcW w:type="dxa" w:w="330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e7656fed92a0</w:t>
            </w:r>
          </w:p>
        </w:tc>
        <w:tc>
          <w:tcPr>
            <w:tcW w:type="dxa" w:w="2850"/>
            <w:vAlign w:val="center"/>
            <w:shd w:fill="F8FAFC"/>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6e43c9f75351</w:t>
            </w:r>
          </w:p>
        </w:tc>
      </w:tr>
      <w:tr>
        <w:trPr>
          <w:cantSplit/>
        </w:trPr>
        <w:tc>
          <w:tcPr>
            <w:tcW w:type="dxa" w:w="3300"/>
            <w:vAlign w:val="center"/>
            <w:shd w:fill="FFFFFF"/>
            <w:tcMar>
              <w:top w:type="dxa" w:w="50"/>
              <w:bottom w:type="dxa" w:w="50"/>
              <w:start w:type="dxa" w:w="120"/>
              <w:end w:type="dxa" w:w="120"/>
            </w:tcMar>
          </w:tcPr>
          <w:p>
            <w:pPr>
              <w:keepNext w:val="0"/>
              <w:spacing w:before="0" w:after="0" w:line="245" w:lineRule="auto"/>
              <w:jc w:val="left"/>
            </w:pPr>
            <w:r>
              <w:rPr>
                <w:rFonts w:ascii="Arial Unicode MS" w:hAnsi="Arial Unicode MS" w:eastAsia="Arial Unicode MS" w:cs="Arial Unicode MS"/>
                <w:b w:val="0"/>
                <w:i w:val="0"/>
                <w:color w:val="17212B"/>
                <w:sz w:val="12"/>
              </w:rPr>
              <w:t>direct_goal_hybrid</w:t>
            </w:r>
          </w:p>
        </w:tc>
        <w:tc>
          <w:tcPr>
            <w:tcW w:type="dxa" w:w="21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a1d98a2d08</w:t>
            </w:r>
          </w:p>
        </w:tc>
        <w:tc>
          <w:tcPr>
            <w:tcW w:type="dxa" w:w="330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fa46ed99b</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b3345e9eefdb</w:t>
            </w:r>
          </w:p>
        </w:tc>
        <w:tc>
          <w:tcPr>
            <w:tcW w:type="dxa" w:w="2850"/>
            <w:vAlign w:val="center"/>
            <w:shd w:fill="FFFFFF"/>
            <w:tcMar>
              <w:top w:type="dxa" w:w="50"/>
              <w:bottom w:type="dxa" w:w="50"/>
              <w:start w:type="dxa" w:w="120"/>
              <w:end w:type="dxa" w:w="120"/>
            </w:tcMar>
          </w:tcPr>
          <w:p>
            <w:pPr>
              <w:keepNext w:val="0"/>
              <w:spacing w:before="0" w:after="0" w:line="245" w:lineRule="auto"/>
              <w:jc w:val="center"/>
            </w:pPr>
            <w:r>
              <w:rPr>
                <w:rFonts w:ascii="Arial Unicode MS" w:hAnsi="Arial Unicode MS" w:eastAsia="Arial Unicode MS" w:cs="Arial Unicode MS"/>
                <w:b w:val="0"/>
                <w:i w:val="0"/>
                <w:color w:val="17212B"/>
                <w:sz w:val="12"/>
              </w:rPr>
              <w:t>f9e2ee091aee</w:t>
            </w:r>
          </w:p>
        </w:tc>
      </w:tr>
    </w:tbl>
    <w:p>
      <w:pPr>
        <w:keepNext w:val="0"/>
        <w:spacing w:before="20" w:after="0" w:line="250" w:lineRule="auto"/>
        <w:shd w:fill="F4F7FA"/>
        <w:pBdr>
          <w:left w:val="single" w:sz="18" w:space="8" w:color="2E74B5"/>
        </w:pBdr>
      </w:pPr>
      <w:r>
        <w:rPr>
          <w:rFonts w:ascii="Arial Unicode MS" w:hAnsi="Arial Unicode MS" w:eastAsia="Arial Unicode MS" w:cs="Arial Unicode MS"/>
          <w:b/>
          <w:i w:val="0"/>
          <w:color w:val="17324D"/>
          <w:sz w:val="13"/>
        </w:rPr>
        <w:t>Input SHA-256: selection=e46ea81cce2e6a9a5df05ba04893b4181cbd8979340111a012c30f1efa2d7ee7; summary.json=9fa31a12476ff4a332e555505fc720964d81c5640c77cc394beb5df538ae2da6; training_loss_curves.png=4cce0d5891b8b51e5e3dc7481bd9582de85e69c9b01a9fcb6d025ed271957a60; paired_outcomes.csv=3047c9a419f066548b6e942e29c49b35d286670dc60e5db27fcd845897a6f2ae.</w:t>
      </w:r>
    </w:p>
    <w:p>
      <w:pPr>
        <w:keepNext w:val="0"/>
        <w:spacing w:before="20" w:after="0" w:line="240" w:lineRule="auto"/>
      </w:pPr>
      <w:r>
        <w:rPr>
          <w:rFonts w:ascii="Arial Unicode MS" w:hAnsi="Arial Unicode MS" w:eastAsia="Arial Unicode MS" w:cs="Arial Unicode MS"/>
          <w:b w:val="0"/>
          <w:i/>
          <w:color w:val="5C6975"/>
          <w:sz w:val="13"/>
        </w:rPr>
        <w:t>Score definitions: F-only — LeWM rolls and scores all H predicted states with the normalized discounted latent-goal cost. Combined — F prefix cost plus discounted successor G tail cost / discounted direct-critic C tail cost.</w:t>
      </w:r>
    </w:p>
    <w:p>
      <w:pPr>
        <w:sectPr>
          <w:headerReference w:type="default" r:id="rId9"/>
          <w:footerReference w:type="default" r:id="rId10"/>
          <w:pgSz w:w="15840" w:h="12240" w:orient="landscape"/>
          <w:pgMar w:top="504" w:right="648" w:bottom="504" w:left="648" w:header="259" w:footer="259" w:gutter="0"/>
          <w:cols w:space="720"/>
          <w:docGrid w:linePitch="360"/>
        </w:sectPr>
      </w:pPr>
    </w:p>
    <w:p>
      <w:pPr>
        <w:pStyle w:val="ReportKicker"/>
      </w:pPr>
      <w:r>
        <w:t>RESULTS TD / CONTROLLED C–G3 V0 → V1</w:t>
      </w:r>
    </w:p>
    <w:p>
      <w:pPr>
        <w:spacing w:after="80"/>
      </w:pPr>
      <w:r>
        <w:rPr>
          <w:rFonts w:ascii="Arial Unicode MS" w:hAnsi="Arial Unicode MS" w:eastAsia="Arial Unicode MS"/>
          <w:b/>
          <w:color w:val="0B2545"/>
          <w:sz w:val="48"/>
        </w:rPr>
        <w:t>Raw-action V0 vs shared-action-encoder V1</w:t>
      </w:r>
    </w:p>
    <w:p>
      <w:pPr>
        <w:spacing w:after="280"/>
      </w:pPr>
      <w:r>
        <w:rPr>
          <w:rFonts w:ascii="Arial Unicode MS" w:hAnsi="Arial Unicode MS" w:eastAsia="Arial Unicode MS"/>
          <w:b w:val="0"/>
          <w:color w:val="4B5563"/>
          <w:sz w:val="25"/>
        </w:rPr>
        <w:t>Same C/D/F/G1/G2/G3 losses · same 50 pairs · actor-free CEM planning</w:t>
      </w:r>
    </w:p>
    <w:p>
      <w:r>
        <w:t>Version boundary: the first four pages preserve the earlier 7-method Actor-Free TD-LeWM ablation. This appendix records the later controlled C-G3 study; its raw-action V0 is a separate 6-by-3 experiment.</w:t>
      </w:r>
    </w:p>
    <w:p>
      <w:pPr>
        <w:pStyle w:val="Heading1"/>
      </w:pPr>
      <w:r>
        <w:t>V0 / V1 definition</w:t>
      </w:r>
    </w:p>
    <w:p>
      <w:r>
        <w:t>V0 sends the normalized raw 25D action block directly into G. V1 sends stopgrad(E_A(a)), the 192D embedding from the shared frozen LeWM Action Encoder. Both current and dataset next actions follow this rule; neither version contains an Actor or reward model. The six losses and planning definitions are unchanged, but predictor capacity is not matched: 336,320 parameters in V0 versus 379,072 in V1.</w:t>
      </w:r>
    </w:p>
    <w:p>
      <w:pPr>
        <w:pStyle w:val="Heading1"/>
      </w:pPr>
      <w:r>
        <w:t>V0 formal O50 — raw 25D action</w:t>
      </w:r>
    </w:p>
    <w:p>
      <w:r>
        <w:t>V0 has 18 completed formal evaluations: six methods × F-only/G-only/F+G. All rows use training seed 3072, planning seed 42, horizons 5/1/5 and the same 50 start–goal pairs used by V1.</w:t>
      </w:r>
    </w:p>
    <w:tbl>
      <w:tblPr>
        <w:tblStyle w:val="TableGrid"/>
        <w:tblW w:type="dxa" w:w="14400"/>
        <w:tblLayout w:type="fixed"/>
        <w:tblLook w:firstColumn="1" w:firstRow="1" w:lastColumn="0" w:lastRow="0" w:noHBand="0" w:noVBand="1" w:val="04A0"/>
        <w:tblInd w:w="120" w:type="dxa"/>
      </w:tblPr>
      <w:tblGrid>
        <w:gridCol w:w="4800"/>
        <w:gridCol w:w="2400"/>
        <w:gridCol w:w="2400"/>
        <w:gridCol w:w="2400"/>
        <w:gridCol w:w="2400"/>
      </w:tblGrid>
      <w:tr>
        <w:trPr>
          <w:tblHeader w:val="true"/>
          <w:cantSplit/>
        </w:trPr>
        <w:tc>
          <w:tcPr>
            <w:tcW w:type="dxa" w:w="4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V0 method</w:t>
            </w:r>
          </w:p>
        </w:tc>
        <w:tc>
          <w:tcPr>
            <w:tcW w:type="dxa" w:w="2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F-only</w:t>
            </w:r>
          </w:p>
        </w:tc>
        <w:tc>
          <w:tcPr>
            <w:tcW w:type="dxa" w:w="2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G-only</w:t>
            </w:r>
          </w:p>
        </w:tc>
        <w:tc>
          <w:tcPr>
            <w:tcW w:type="dxa" w:w="2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F+G</w:t>
            </w:r>
          </w:p>
        </w:tc>
        <w:tc>
          <w:tcPr>
            <w:tcW w:type="dxa" w:w="2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Δ vs F</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-3/50</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+0/50</w:t>
            </w:r>
          </w:p>
        </w:tc>
      </w:tr>
    </w:tbl>
    <w:p>
      <w:pPr>
        <w:spacing w:after="80"/>
      </w:pPr>
    </w:p>
    <w:p>
      <w:pPr>
        <w:pStyle w:val="Heading1"/>
      </w:pPr>
      <w:r>
        <w:t>V0 → V1 combined comparison</w:t>
      </w:r>
    </w:p>
    <w:p>
      <w:r>
        <w:t>On this matched selection: F and G3 gain 8 pp; D and G2 are unchanged; C loses 4 pp; G1 loses 2 pp. V0 best is G1/G2 at 50%; V1 best is G3 at 54%.</w:t>
      </w:r>
    </w:p>
    <w:tbl>
      <w:tblPr>
        <w:tblStyle w:val="TableGrid"/>
        <w:tblW w:type="dxa" w:w="14400"/>
        <w:tblLayout w:type="fixed"/>
        <w:tblLook w:firstColumn="1" w:firstRow="1" w:lastColumn="0" w:lastRow="0" w:noHBand="0" w:noVBand="1" w:val="04A0"/>
        <w:tblInd w:w="120" w:type="dxa"/>
      </w:tblPr>
      <w:tblGrid>
        <w:gridCol w:w="3600"/>
        <w:gridCol w:w="3600"/>
        <w:gridCol w:w="3600"/>
        <w:gridCol w:w="3600"/>
      </w:tblGrid>
      <w:tr>
        <w:trPr>
          <w:tblHeader w:val="true"/>
          <w:cantSplit/>
        </w:trPr>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V0 F+G</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V1 F+G</w:t>
            </w:r>
          </w:p>
        </w:tc>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V1 - V0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27/50 (54%)</w:t>
            </w:r>
          </w:p>
        </w:tc>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+4/50</w:t>
            </w:r>
          </w:p>
        </w:tc>
      </w:tr>
    </w:tbl>
    <w:p>
      <w:pPr>
        <w:spacing w:after="80"/>
      </w:pPr>
    </w:p>
    <w:p>
      <w:pPr>
        <w:pStyle w:val="ReportKicker"/>
        <w:pageBreakBefore/>
      </w:pPr>
      <w:r>
        <w:t>RESULTS TD / ACTOR-FREE TD-JEPA V1 DETAILS</w:t>
      </w:r>
    </w:p>
    <w:p>
      <w:pPr>
        <w:spacing w:after="80"/>
      </w:pPr>
      <w:r>
        <w:rPr>
          <w:rFonts w:ascii="Arial Unicode MS" w:hAnsi="Arial Unicode MS" w:eastAsia="Arial Unicode MS"/>
          <w:b/>
          <w:color w:val="0B2545"/>
          <w:sz w:val="48"/>
        </w:rPr>
        <w:t>Cube O50 — six methods × three score modes</w:t>
      </w:r>
    </w:p>
    <w:p>
      <w:pPr>
        <w:spacing w:after="280"/>
      </w:pPr>
      <w:r>
        <w:rPr>
          <w:rFonts w:ascii="Arial Unicode MS" w:hAnsi="Arial Unicode MS" w:eastAsia="Arial Unicode MS"/>
          <w:b w:val="0"/>
          <w:color w:val="4B5563"/>
          <w:sz w:val="25"/>
        </w:rPr>
        <w:t>Shared frozen LeWM Action Encoder · actor-free CEM planning · seed 3072</w:t>
      </w:r>
    </w:p>
    <w:p>
      <w:pPr>
        <w:spacing w:after="40"/>
      </w:pPr>
      <w:r>
        <w:rPr>
          <w:rFonts w:ascii="Arial Unicode MS" w:hAnsi="Arial Unicode MS" w:eastAsia="Arial Unicode MS"/>
          <w:b/>
          <w:color w:val="111827"/>
          <w:sz w:val="21"/>
        </w:rPr>
        <w:t xml:space="preserve">Study: </w:t>
      </w:r>
      <w:r>
        <w:rPr>
          <w:rFonts w:ascii="Arial Unicode MS" w:hAnsi="Arial Unicode MS" w:eastAsia="Arial Unicode MS"/>
          <w:b w:val="0"/>
          <w:color w:val="111827"/>
          <w:sz w:val="21"/>
        </w:rPr>
        <w:t>actor_free_td_lewm_v1_cube_seed3072_o50_6x3</w:t>
      </w:r>
    </w:p>
    <w:p>
      <w:pPr>
        <w:spacing w:after="40"/>
      </w:pPr>
      <w:r>
        <w:rPr>
          <w:rFonts w:ascii="Arial Unicode MS" w:hAnsi="Arial Unicode MS" w:eastAsia="Arial Unicode MS"/>
          <w:b/>
          <w:color w:val="111827"/>
          <w:sz w:val="21"/>
        </w:rPr>
        <w:t xml:space="preserve">Evaluation: </w:t>
      </w:r>
      <w:r>
        <w:rPr>
          <w:rFonts w:ascii="Arial Unicode MS" w:hAnsi="Arial Unicode MS" w:eastAsia="Arial Unicode MS"/>
          <w:b w:val="0"/>
          <w:color w:val="111827"/>
          <w:sz w:val="21"/>
        </w:rPr>
        <w:t>18 formal O50 runs on one matched set of 50 pairs</w:t>
      </w:r>
    </w:p>
    <w:p>
      <w:pPr>
        <w:spacing w:after="40"/>
      </w:pPr>
      <w:r>
        <w:rPr>
          <w:rFonts w:ascii="Arial Unicode MS" w:hAnsi="Arial Unicode MS" w:eastAsia="Arial Unicode MS"/>
          <w:b/>
          <w:color w:val="111827"/>
          <w:sz w:val="21"/>
        </w:rPr>
        <w:t xml:space="preserve">Training: </w:t>
      </w:r>
      <w:r>
        <w:rPr>
          <w:rFonts w:ascii="Arial Unicode MS" w:hAnsi="Arial Unicode MS" w:eastAsia="Arial Unicode MS"/>
          <w:b w:val="0"/>
          <w:color w:val="111827"/>
          <w:sz w:val="21"/>
        </w:rPr>
        <w:t>6 methods · 10 epochs · 127,960 updates per method</w:t>
      </w:r>
    </w:p>
    <w:p>
      <w:pPr>
        <w:spacing w:after="40"/>
      </w:pPr>
      <w:r>
        <w:rPr>
          <w:rFonts w:ascii="Arial Unicode MS" w:hAnsi="Arial Unicode MS" w:eastAsia="Arial Unicode MS"/>
          <w:b/>
          <w:color w:val="111827"/>
          <w:sz w:val="21"/>
        </w:rPr>
        <w:t xml:space="preserve">Training acceptance: </w:t>
      </w:r>
      <w:r>
        <w:rPr>
          <w:rFonts w:ascii="Arial Unicode MS" w:hAnsi="Arial Unicode MS" w:eastAsia="Arial Unicode MS"/>
          <w:b w:val="0"/>
          <w:color w:val="111827"/>
          <w:sz w:val="21"/>
        </w:rPr>
        <w:t>PASS_WITH_WARNINGS</w:t>
      </w:r>
    </w:p>
    <w:p>
      <w:pPr>
        <w:spacing w:after="40"/>
      </w:pPr>
      <w:r>
        <w:rPr>
          <w:rFonts w:ascii="Arial Unicode MS" w:hAnsi="Arial Unicode MS" w:eastAsia="Arial Unicode MS"/>
          <w:b/>
          <w:color w:val="111827"/>
          <w:sz w:val="21"/>
        </w:rPr>
        <w:t xml:space="preserve">Selection SHA-256: </w:t>
      </w:r>
      <w:r>
        <w:rPr>
          <w:rFonts w:ascii="Arial Unicode MS" w:hAnsi="Arial Unicode MS" w:eastAsia="Arial Unicode MS"/>
          <w:b w:val="0"/>
          <w:color w:val="111827"/>
          <w:sz w:val="21"/>
        </w:rPr>
        <w:t>e46ea81cce2e6a9a5df05ba04893b4181cbd8979340111a012c30f1efa2d7ee7</w:t>
      </w:r>
    </w:p>
    <w:p>
      <w:pPr>
        <w:spacing w:before="200" w:after="200"/>
      </w:pPr>
      <w:r>
        <w:rPr>
          <w:rFonts w:ascii="Arial Unicode MS" w:hAnsi="Arial Unicode MS" w:eastAsia="Arial Unicode MS"/>
          <w:b/>
          <w:color w:val="7A5A00"/>
          <w:sz w:val="21"/>
        </w:rPr>
        <w:t>Interpretation boundary — one training seed and one planning selection. Use this report as a matched structural/score-mode ablation, not as a multi-seed claim of overall superiority.</w:t>
      </w:r>
    </w:p>
    <w:p>
      <w:pPr>
        <w:spacing w:after="200"/>
      </w:pPr>
      <w:r>
        <w:rPr>
          <w:rFonts w:ascii="Arial Unicode MS" w:hAnsi="Arial Unicode MS" w:eastAsia="Arial Unicode MS"/>
          <w:b/>
          <w:color w:val="9C2F17"/>
          <w:sz w:val="21"/>
        </w:rPr>
        <w:t>Training provenance warning — launcher exit codes could not be recovered. Checkpoints, metrics, epochs, steps, and acceptance evidence passed the archive validator, but the missing exit-code provenance must not be represented as an unconditional PASS. Archived warning: c.process: PID 122116 was reaped without an exit marker; d.process: PID 122117 was reaped without an exit marker; f.process: PID 122118 was reaped without an exit marker; g1.process: PID 122119 was reaped without an exit marker; g2.process: PID 122120 was reaped without an exit marker; g3.process: PID 122121 was reaped without an exit marker</w:t>
      </w:r>
    </w:p>
    <w:p>
      <w:pPr>
        <w:pStyle w:val="Heading1"/>
      </w:pPr>
      <w:r>
        <w:t>Combined ranking</w:t>
      </w:r>
    </w:p>
    <w:p>
      <w:pPr>
        <w:keepNext/>
      </w:pPr>
      <w:r>
        <w:t>Highest combined result: V1-G3 Prefix-Marginal Advantage, 27/50 (54%). Ties share the same success count; ordering is taken from the validated summary.</w:t>
      </w:r>
    </w:p>
    <w:tbl>
      <w:tblPr>
        <w:tblStyle w:val="TableGrid"/>
        <w:tblW w:type="dxa" w:w="14400"/>
        <w:tblLayout w:type="fixed"/>
        <w:tblLook w:firstColumn="1" w:firstRow="1" w:lastColumn="0" w:lastRow="0" w:noHBand="0" w:noVBand="1" w:val="04A0"/>
        <w:tblInd w:w="120" w:type="dxa"/>
      </w:tblPr>
      <w:tblGrid>
        <w:gridCol w:w="900"/>
        <w:gridCol w:w="6000"/>
        <w:gridCol w:w="900"/>
        <w:gridCol w:w="1800"/>
        <w:gridCol w:w="4800"/>
      </w:tblGrid>
      <w:tr>
        <w:trPr>
          <w:tblHeader w:val="true"/>
          <w:cantSplit/>
        </w:trPr>
        <w:tc>
          <w:tcPr>
            <w:tcW w:type="dxa" w:w="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Rank</w:t>
            </w:r>
          </w:p>
        </w:tc>
        <w:tc>
          <w:tcPr>
            <w:tcW w:type="dxa" w:w="6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9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ID</w:t>
            </w:r>
          </w:p>
        </w:tc>
        <w:tc>
          <w:tcPr>
            <w:tcW w:type="dxa" w:w="1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Score</w:t>
            </w:r>
          </w:p>
        </w:tc>
        <w:tc>
          <w:tcPr>
            <w:tcW w:type="dxa" w:w="4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O50</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V1-G3 Prefix-Marginal Advantage</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27/50 (54%)</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V1-G2 Prefix-Mean Advantage</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V1-F Same-Future / Different-Goal Advantage</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V1-G1 Neighbor Action Advantage</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 Goal-Projected TD</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r>
      <w:tr>
        <w:trPr>
          <w:cantSplit/>
        </w:trPr>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w:t>
            </w:r>
          </w:p>
        </w:tc>
        <w:tc>
          <w:tcPr>
            <w:tcW w:type="dxa" w:w="6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V1-D Goal-Value Weighted TD</w:t>
            </w:r>
          </w:p>
        </w:tc>
        <w:tc>
          <w:tcPr>
            <w:tcW w:type="dxa" w:w="9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F+G</w:t>
            </w:r>
          </w:p>
        </w:tc>
        <w:tc>
          <w:tcPr>
            <w:tcW w:type="dxa" w:w="4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r>
    </w:tbl>
    <w:p>
      <w:pPr>
        <w:spacing w:after="80"/>
      </w:pPr>
    </w:p>
    <w:p>
      <w:r>
        <w:br w:type="page"/>
      </w:r>
    </w:p>
    <w:p>
      <w:pPr>
        <w:pStyle w:val="Heading1"/>
      </w:pPr>
      <w:r>
        <w:t>Three inference scores</w:t>
      </w:r>
    </w:p>
    <w:p>
      <w:r>
        <w:t>F-only uses the LeWM rollout score; G-only uses the learned successor readout; F+G uses the LeWM prefix with the successor tail. All three columns use the same checkpoint and the same 50 start–goal pairs within each method.</w:t>
      </w:r>
    </w:p>
    <w:tbl>
      <w:tblPr>
        <w:tblStyle w:val="TableGrid"/>
        <w:tblW w:type="dxa" w:w="14400"/>
        <w:tblLayout w:type="fixed"/>
        <w:tblLook w:firstColumn="1" w:firstRow="1" w:lastColumn="0" w:lastRow="0" w:noHBand="0" w:noVBand="1" w:val="04A0"/>
        <w:tblInd w:w="120" w:type="dxa"/>
      </w:tblPr>
      <w:tblGrid>
        <w:gridCol w:w="5200"/>
        <w:gridCol w:w="2300"/>
        <w:gridCol w:w="2300"/>
        <w:gridCol w:w="2300"/>
        <w:gridCol w:w="2300"/>
      </w:tblGrid>
      <w:tr>
        <w:trPr>
          <w:tblHeader w:val="true"/>
          <w:cantSplit/>
        </w:trPr>
        <w:tc>
          <w:tcPr>
            <w:tcW w:type="dxa" w:w="5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2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F-only</w:t>
            </w:r>
          </w:p>
        </w:tc>
        <w:tc>
          <w:tcPr>
            <w:tcW w:type="dxa" w:w="2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G-only</w:t>
            </w:r>
          </w:p>
        </w:tc>
        <w:tc>
          <w:tcPr>
            <w:tcW w:type="dxa" w:w="2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F+G</w:t>
            </w:r>
          </w:p>
        </w:tc>
        <w:tc>
          <w:tcPr>
            <w:tcW w:type="dxa" w:w="2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Δ vs F</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 Goal-Projected TD</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V1-D Goal-Value Weighted TD</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V1-F Same-Future / Different-Goal Advantage</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V1-G1 Neighbor Action Advantage</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V1-G2 Prefix-Mean Advantage</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V1-G3 Prefix-Marginal Advantage</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27/50 (54%)</w:t>
            </w:r>
          </w:p>
        </w:tc>
        <w:tc>
          <w:tcPr>
            <w:tcW w:type="dxa" w:w="2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+4/50</w:t>
            </w:r>
          </w:p>
        </w:tc>
      </w:tr>
    </w:tbl>
    <w:p>
      <w:pPr>
        <w:spacing w:after="80"/>
      </w:pPr>
    </w:p>
    <w:p>
      <w:r>
        <w:br w:type="page"/>
      </w:r>
    </w:p>
    <w:p>
      <w:pPr>
        <w:pStyle w:val="Heading1"/>
      </w:pPr>
      <w:r>
        <w:t>Training curves</w:t>
      </w:r>
    </w:p>
    <w:p>
      <w:r>
        <w:t>The left panel is each method's own training objective and is not cross-method comparable. The right panel is the common base TD validation objective used by all six methods.</w:t>
      </w:r>
    </w:p>
    <w:p>
      <w:pPr>
        <w:keepNext/>
        <w:jc w:val="center"/>
      </w:pPr>
      <w:r>
        <w:drawing>
          <wp:inline xmlns:a="http://schemas.openxmlformats.org/drawingml/2006/main" xmlns:pic="http://schemas.openxmlformats.org/drawingml/2006/picture">
            <wp:extent cx="8458200" cy="4099967"/>
            <wp:docPr id="2" name="Picture 2" descr="Two-panel line chart for V1 C, D, F, G1, G2 and G3 across epochs 1 through 10. The left panel uses a log scale for each method-specific training objective; the right panel shows the common base-TD validation loss on a linear scale." title="V1 training and validation loss curves"/>
            <wp:cNvGraphicFramePr>
              <a:graphicFrameLocks noChangeAspect="1"/>
            </wp:cNvGraphicFramePr>
            <a:graphic>
              <a:graphicData uri="http://schemas.openxmlformats.org/drawingml/2006/picture">
                <pic:pic>
                  <pic:nvPicPr>
                    <pic:cNvPr id="0" name="training_loss_curves.png"/>
                    <pic:cNvPicPr/>
                  </pic:nvPicPr>
                  <pic:blipFill>
                    <a:blip r:embed="rId16"/>
                    <a:stretch>
                      <a:fillRect/>
                    </a:stretch>
                  </pic:blipFill>
                  <pic:spPr>
                    <a:xfrm>
                      <a:off x="0" y="0"/>
                      <a:ext cx="8458200" cy="4099967"/>
                    </a:xfrm>
                    <a:prstGeom prst="rect"/>
                  </pic:spPr>
                </pic:pic>
              </a:graphicData>
            </a:graphic>
          </wp:inline>
        </w:drawing>
      </w:r>
    </w:p>
    <w:p>
      <w:pPr>
        <w:spacing w:before="40" w:after="160"/>
        <w:jc w:val="center"/>
      </w:pPr>
      <w:r>
        <w:rPr>
          <w:i/>
          <w:sz w:val="18"/>
        </w:rPr>
        <w:t>Figure 1. Train method objective (left) and validation common base TD (right).</w:t>
      </w:r>
    </w:p>
    <w:tbl>
      <w:tblPr>
        <w:tblStyle w:val="TableGrid"/>
        <w:tblW w:type="dxa" w:w="14400"/>
        <w:tblLayout w:type="fixed"/>
        <w:tblLook w:firstColumn="1" w:firstRow="1" w:lastColumn="0" w:lastRow="0" w:noHBand="0" w:noVBand="1" w:val="04A0"/>
        <w:tblInd w:w="120" w:type="dxa"/>
      </w:tblPr>
      <w:tblGrid>
        <w:gridCol w:w="5200"/>
        <w:gridCol w:w="3000"/>
        <w:gridCol w:w="3100"/>
        <w:gridCol w:w="3100"/>
      </w:tblGrid>
      <w:tr>
        <w:trPr>
          <w:tblHeader w:val="true"/>
          <w:cantSplit/>
        </w:trPr>
        <w:tc>
          <w:tcPr>
            <w:tcW w:type="dxa" w:w="5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3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E10 train</w:t>
              <w:br/>
              <w:t>method objective</w:t>
            </w:r>
          </w:p>
        </w:tc>
        <w:tc>
          <w:tcPr>
            <w:tcW w:type="dxa" w:w="3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E10 validation</w:t>
              <w:br/>
              <w:t>common base TD</w:t>
            </w:r>
          </w:p>
        </w:tc>
        <w:tc>
          <w:tcPr>
            <w:tcW w:type="dxa" w:w="31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 common</w:t>
              <w:br/>
              <w:t>base TD</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V1-C Goal-Projected TD</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25927.3</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959.265</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959.265 (E10)</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V1-D Goal-Value Weighted TD</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531.178</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923.235</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546.341 (E1)</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V1-F Same-Future / Different-Goal Advantage</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533.615</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929.771</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541.974 (E1)</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V1-G1 Neighbor Action Advantage</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604.267</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905.668</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713.09 (E1)</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V1-G2 Prefix-Mean Advantage</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688.673</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894.455</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638.227 (E1)</w:t>
            </w:r>
          </w:p>
        </w:tc>
      </w:tr>
      <w:tr>
        <w:trPr>
          <w:cantSplit/>
        </w:trPr>
        <w:tc>
          <w:tcPr>
            <w:tcW w:type="dxa" w:w="5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V1-G3 Prefix-Marginal Advantage</w:t>
            </w:r>
          </w:p>
        </w:tc>
        <w:tc>
          <w:tcPr>
            <w:tcW w:type="dxa" w:w="3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722.493</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897.862</w:t>
            </w:r>
          </w:p>
        </w:tc>
        <w:tc>
          <w:tcPr>
            <w:tcW w:type="dxa" w:w="31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697.315 (E1)</w:t>
            </w:r>
          </w:p>
        </w:tc>
      </w:tr>
    </w:tbl>
    <w:p>
      <w:pPr>
        <w:spacing w:after="80"/>
      </w:pPr>
    </w:p>
    <w:p>
      <w:pPr>
        <w:pStyle w:val="Heading1"/>
        <w:pageBreakBefore/>
      </w:pPr>
      <w:r>
        <w:t>Method definitions</w:t>
      </w:r>
    </w:p>
    <w:p>
      <w:pPr>
        <w:pStyle w:val="Heading2"/>
        <w:keepNext/>
      </w:pPr>
      <w:r>
        <w:t>V1-C Goal-Projected TD (C)</w:t>
      </w:r>
    </w:p>
    <w:p>
      <w:pPr>
        <w:keepNext/>
      </w:pPr>
      <w:r>
        <w:rPr>
          <w:b/>
        </w:rPr>
        <w:t xml:space="preserve">Network: </w:t>
      </w:r>
      <w:r>
        <w:t>Frozen LeWM + frozen shared action encoder + one 379,072-parameter TD-JEPA predictor</w:t>
      </w:r>
    </w:p>
    <w:p>
      <w:pPr>
        <w:keepNext/>
      </w:pPr>
      <w:r>
        <w:rPr>
          <w:b/>
        </w:rPr>
        <w:t xml:space="preserve">Training loss: </w:t>
      </w:r>
      <w:r>
        <w:t>Common feature TD plus goal-projected TD residual on goal-derived tasks</w:t>
      </w:r>
    </w:p>
    <w:p>
      <w:pPr>
        <w:keepNext/>
      </w:pPr>
      <w:r>
        <w:rPr>
          <w:b/>
        </w:rPr>
        <w:t xml:space="preserve">Special design: </w:t>
      </w:r>
      <w:r>
        <w:t>Directly constrains the detached TD target and prediction after projection onto the matched goal</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2"/>
        <w:keepNext/>
      </w:pPr>
      <w:r>
        <w:t>V1-D Goal-Value Weighted TD (D)</w:t>
      </w:r>
    </w:p>
    <w:p>
      <w:pPr>
        <w:keepNext/>
      </w:pPr>
      <w:r>
        <w:rPr>
          <w:b/>
        </w:rPr>
        <w:t xml:space="preserve">Network: </w:t>
      </w:r>
      <w:r>
        <w:t>Frozen LeWM + frozen shared action encoder + one 379,072-parameter TD-JEPA predictor</w:t>
      </w:r>
    </w:p>
    <w:p>
      <w:pPr>
        <w:keepNext/>
      </w:pPr>
      <w:r>
        <w:rPr>
          <w:b/>
        </w:rPr>
        <w:t xml:space="preserve">Training loss: </w:t>
      </w:r>
      <w:r>
        <w:t>Detached target-goal scores reweight the common real-transition feature TD</w:t>
      </w:r>
    </w:p>
    <w:p>
      <w:pPr>
        <w:keepNext/>
      </w:pPr>
      <w:r>
        <w:rPr>
          <w:b/>
        </w:rPr>
        <w:t xml:space="preserve">Special design: </w:t>
      </w:r>
      <w:r>
        <w:t>Goal-subset softmax weights; random-task weight remains one; final weights have mean one</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2"/>
        <w:keepNext/>
      </w:pPr>
      <w:r>
        <w:t>V1-F Same-Future / Different-Goal Advantage (F)</w:t>
      </w:r>
    </w:p>
    <w:p>
      <w:pPr>
        <w:keepNext/>
      </w:pPr>
      <w:r>
        <w:rPr>
          <w:b/>
        </w:rPr>
        <w:t xml:space="preserve">Network: </w:t>
      </w:r>
      <w:r>
        <w:t>Frozen LeWM + frozen shared action encoder + one 379,072-parameter TD-JEPA predictor</w:t>
      </w:r>
    </w:p>
    <w:p>
      <w:pPr>
        <w:keepNext/>
      </w:pPr>
      <w:r>
        <w:rPr>
          <w:b/>
        </w:rPr>
        <w:t xml:space="preserve">Training loss: </w:t>
      </w:r>
      <w:r>
        <w:t>Same-future/different-goal detached advantage reweights common feature TD</w:t>
      </w:r>
    </w:p>
    <w:p>
      <w:pPr>
        <w:keepNext/>
      </w:pPr>
      <w:r>
        <w:rPr>
          <w:b/>
        </w:rPr>
        <w:t xml:space="preserve">Special design: </w:t>
      </w:r>
      <w:r>
        <w:t>Matching task score is contrasted with all goal-derived tasks in the batch</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2"/>
        <w:keepNext/>
      </w:pPr>
      <w:r>
        <w:t>V1-G1 Neighbor Action Advantage (G1)</w:t>
      </w:r>
    </w:p>
    <w:p>
      <w:pPr>
        <w:keepNext/>
      </w:pPr>
      <w:r>
        <w:rPr>
          <w:b/>
        </w:rPr>
        <w:t xml:space="preserve">Network: </w:t>
      </w:r>
      <w:r>
        <w:t>Frozen LeWM + frozen shared action encoder + one 379,072-parameter TD-JEPA predictor</w:t>
      </w:r>
    </w:p>
    <w:p>
      <w:pPr>
        <w:keepNext/>
      </w:pPr>
      <w:r>
        <w:rPr>
          <w:b/>
        </w:rPr>
        <w:t xml:space="preserve">Training loss: </w:t>
      </w:r>
      <w:r>
        <w:t>Neighbor-action detached advantage reweights common real-action feature TD</w:t>
      </w:r>
    </w:p>
    <w:p>
      <w:pPr>
        <w:keepNext/>
      </w:pPr>
      <w:r>
        <w:rPr>
          <w:b/>
        </w:rPr>
        <w:t xml:space="preserve">Special design: </w:t>
      </w:r>
      <w:r>
        <w:t>Other-episode KNN actions are comparison-only and never create candidate TD targets</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2"/>
        <w:keepNext/>
      </w:pPr>
      <w:r>
        <w:t>V1-G2 Prefix-Mean Advantage (G2)</w:t>
      </w:r>
    </w:p>
    <w:p>
      <w:pPr>
        <w:keepNext/>
      </w:pPr>
      <w:r>
        <w:rPr>
          <w:b/>
        </w:rPr>
        <w:t xml:space="preserve">Network: </w:t>
      </w:r>
      <w:r>
        <w:t>Frozen LeWM + frozen shared action encoder + one 379,072-parameter TD-JEPA predictor</w:t>
      </w:r>
    </w:p>
    <w:p>
      <w:pPr>
        <w:keepNext/>
      </w:pPr>
      <w:r>
        <w:rPr>
          <w:b/>
        </w:rPr>
        <w:t xml:space="preserve">Training loss: </w:t>
      </w:r>
      <w:r>
        <w:t>Full-prefix score minus mean prefix score reweights common feature TD</w:t>
      </w:r>
    </w:p>
    <w:p>
      <w:pPr>
        <w:keepNext/>
      </w:pPr>
      <w:r>
        <w:rPr>
          <w:b/>
        </w:rPr>
        <w:t xml:space="preserve">Special design: </w:t>
      </w:r>
      <w:r>
        <w:t>Zero-mean suffix prefixes are comparison-only; the real full action supplies the TD pair</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2"/>
        <w:keepNext/>
      </w:pPr>
      <w:r>
        <w:t>V1-G3 Prefix-Marginal Advantage (G3)</w:t>
      </w:r>
    </w:p>
    <w:p>
      <w:pPr>
        <w:keepNext/>
      </w:pPr>
      <w:r>
        <w:rPr>
          <w:b/>
        </w:rPr>
        <w:t xml:space="preserve">Network: </w:t>
      </w:r>
      <w:r>
        <w:t>Frozen LeWM + frozen shared action encoder + one 379,072-parameter TD-JEPA predictor</w:t>
      </w:r>
    </w:p>
    <w:p>
      <w:pPr>
        <w:keepNext/>
      </w:pPr>
      <w:r>
        <w:rPr>
          <w:b/>
        </w:rPr>
        <w:t xml:space="preserve">Training loss: </w:t>
      </w:r>
      <w:r>
        <w:t>Mean adjacent prefix-score improvement reweights common feature TD</w:t>
      </w:r>
    </w:p>
    <w:p>
      <w:pPr>
        <w:keepNext/>
      </w:pPr>
      <w:r>
        <w:rPr>
          <w:b/>
        </w:rPr>
        <w:t xml:space="preserve">Special design: </w:t>
      </w:r>
      <w:r>
        <w:t>Prefix marginal gains are detached comparison signals, not extra TD targets</w:t>
      </w:r>
    </w:p>
    <w:p>
      <w:pPr>
        <w:keepNext w:val="0"/>
      </w:pPr>
      <w:r>
        <w:rPr>
          <w:b/>
        </w:rPr>
        <w:t xml:space="preserve">Inference: </w:t>
      </w:r>
      <w:r>
        <w:t>F-only: LeWM final predicted-latent goal cost, horizon 5; G-only: Negative goal projection of the V1 predictor, horizon 1; F+G: LeWM F prefix plus discounted terminal V1 G tail, horizon 5</w:t>
      </w:r>
    </w:p>
    <w:p>
      <w:pPr>
        <w:pStyle w:val="Heading1"/>
      </w:pPr>
      <w:r>
        <w:t>Paired-outcome audit</w:t>
      </w:r>
    </w:p>
    <w:p>
      <w:r>
        <w:t>The paired archive contains exactly 50 rows and 18 Boolean outcome columns. Every pair uses goal_step − start_step = 50; the summary counts were recomputed from these columns before this document was written.</w:t>
      </w:r>
    </w:p>
    <w:tbl>
      <w:tblPr>
        <w:tblStyle w:val="TableGrid"/>
        <w:tblW w:type="dxa" w:w="14400"/>
        <w:tblLayout w:type="fixed"/>
        <w:tblLook w:firstColumn="1" w:firstRow="1" w:lastColumn="0" w:lastRow="0" w:noHBand="0" w:noVBand="1" w:val="04A0"/>
        <w:tblInd w:w="120" w:type="dxa"/>
      </w:tblPr>
      <w:tblGrid>
        <w:gridCol w:w="3600"/>
        <w:gridCol w:w="10800"/>
      </w:tblGrid>
      <w:tr>
        <w:trPr>
          <w:tblHeader w:val="true"/>
          <w:cantSplit/>
        </w:trPr>
        <w:tc>
          <w:tcPr>
            <w:tcW w:type="dxa" w:w="3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Audit field</w:t>
            </w:r>
          </w:p>
        </w:tc>
        <w:tc>
          <w:tcPr>
            <w:tcW w:type="dxa" w:w="10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Validated value</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Training seed</w:t>
            </w:r>
          </w:p>
        </w:tc>
        <w:tc>
          <w:tcPr>
            <w:tcW w:type="dxa" w:w="10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3072</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Planning seed</w:t>
            </w:r>
          </w:p>
        </w:tc>
        <w:tc>
          <w:tcPr>
            <w:tcW w:type="dxa" w:w="10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42</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Episodes / mode</w:t>
            </w:r>
          </w:p>
        </w:tc>
        <w:tc>
          <w:tcPr>
            <w:tcW w:type="dxa" w:w="10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Goal offset</w:t>
            </w:r>
          </w:p>
        </w:tc>
        <w:tc>
          <w:tcPr>
            <w:tcW w:type="dxa" w:w="10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50</w:t>
            </w:r>
          </w:p>
        </w:tc>
      </w:tr>
      <w:tr>
        <w:trPr>
          <w:cantSplit/>
        </w:trPr>
        <w:tc>
          <w:tcPr>
            <w:tcW w:type="dxa" w:w="3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Selection SHA-256</w:t>
            </w:r>
          </w:p>
        </w:tc>
        <w:tc>
          <w:tcPr>
            <w:tcW w:type="dxa" w:w="10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e46ea81cce2e6a9a5df05ba04893b4181cbd8979340111a012c30f1efa2d7ee7</w:t>
            </w:r>
          </w:p>
        </w:tc>
      </w:tr>
    </w:tbl>
    <w:p>
      <w:pPr>
        <w:spacing w:after="80"/>
      </w:pPr>
    </w:p>
    <w:p>
      <w:pPr>
        <w:pStyle w:val="Heading1"/>
      </w:pPr>
      <w:r>
        <w:t>Claim boundary</w:t>
      </w:r>
    </w:p>
    <w:p>
      <w:r>
        <w:t>This report records one formal training seed and one shared O50 planning selection. It supports within-selection architecture and inference-score comparisons. It does not establish mean performance, variance, or statistical superiority across independent training seeds.</w:t>
      </w:r>
    </w:p>
    <w:p>
      <w:pPr>
        <w:sectPr>
          <w:headerReference w:type="default" r:id="rId12"/>
          <w:headerReference w:type="even" r:id="rId13"/>
          <w:footerReference w:type="default" r:id="rId14"/>
          <w:footerReference w:type="even" r:id="rId15"/>
          <w:pgSz w:w="15840" w:h="12240" w:orient="landscape"/>
          <w:pgMar w:top="720" w:right="720" w:bottom="720" w:left="720" w:header="360" w:footer="360" w:gutter="0"/>
          <w:cols w:space="720"/>
          <w:docGrid w:linePitch="360"/>
        </w:sectPr>
      </w:pPr>
    </w:p>
    <w:p>
      <w:pPr>
        <w:pStyle w:val="ReportKicker"/>
      </w:pPr>
      <w:r>
        <w:rPr>
          <w:rFonts w:ascii="Arial Unicode MS" w:hAnsi="Arial Unicode MS" w:eastAsia="Arial Unicode MS"/>
          <w:b w:val="0"/>
          <w:color w:val="5C6975"/>
          <w:sz w:val="19"/>
        </w:rPr>
        <w:t>RESULTS TD / V2-EMA-SG NEW INFERENCE SCORES</w:t>
      </w:r>
    </w:p>
    <w:p>
      <w:pPr>
        <w:spacing w:after="80"/>
      </w:pPr>
      <w:r>
        <w:rPr>
          <w:rFonts w:ascii="Arial Unicode MS" w:hAnsi="Arial Unicode MS" w:eastAsia="Arial Unicode MS"/>
          <w:b/>
          <w:color w:val="0B2545"/>
          <w:sz w:val="48"/>
        </w:rPr>
        <w:t>V2-EMA-SG new scores and checkpoint trajectory</w:t>
      </w:r>
    </w:p>
    <w:p>
      <w:pPr>
        <w:spacing w:after="240"/>
      </w:pPr>
      <w:r>
        <w:rPr>
          <w:rFonts w:ascii="Arial Unicode MS" w:hAnsi="Arial Unicode MS" w:eastAsia="Arial Unicode MS"/>
          <w:b w:val="0"/>
          <w:color w:val="4B5563"/>
          <w:sz w:val="24"/>
        </w:rPr>
        <w:t>Cube · seed 3072 · actor-free CEM · 96 EMA cells + 24 fixed-checkpoint cells</w:t>
      </w:r>
    </w:p>
    <w:p>
      <w:pPr>
        <w:spacing w:after="120"/>
      </w:pPr>
      <w:r>
        <w:rPr>
          <w:rFonts w:ascii="Arial Unicode MS" w:hAnsi="Arial Unicode MS" w:eastAsia="Arial Unicode MS"/>
          <w:b/>
          <w:color w:val="7A5A00"/>
          <w:sz w:val="21"/>
        </w:rPr>
        <w:t>Interpretation boundary: one training seed; the EMA sweep and fixed-checkpoint study share one O50 episode selection. Best epoch is a post-hoc trajectory analysis, not an unbiased final-performance estimate; this report does not claim pairwise statistical significance.</w:t>
      </w:r>
    </w:p>
    <w:p>
      <w:pPr>
        <w:pStyle w:val="Heading1"/>
        <w:keepNext/>
        <w:pageBreakBefore w:val="0"/>
        <w:spacing w:after="100"/>
      </w:pPr>
      <w:r>
        <w:rPr>
          <w:rFonts w:ascii="Arial Unicode MS" w:hAnsi="Arial Unicode MS" w:eastAsia="Arial Unicode MS"/>
          <w:b/>
          <w:color w:val="0B2545"/>
          <w:sz w:val="32"/>
        </w:rPr>
        <w:t>Network, TD target and total loss</w:t>
      </w:r>
    </w:p>
    <w:p>
      <w:pPr>
        <w:spacing w:after="120"/>
      </w:pPr>
      <w:r>
        <w:rPr>
          <w:rFonts w:ascii="Arial Unicode MS" w:hAnsi="Arial Unicode MS" w:eastAsia="Arial Unicode MS"/>
          <w:b w:val="0"/>
          <w:color w:val="111827"/>
          <w:sz w:val="21"/>
        </w:rPr>
        <w:t>Online LeWM supplies the real latent z_t and a differentiable predicted latent z-hat_t. One G_phi is trained on both real and predicted branches. The unique shared, trainable LeWM Action Encoder maps each raw 25D action block to 192D. There is no Actor, reward model or action loss.</w:t>
      </w:r>
    </w:p>
    <w:p>
      <w:pPr>
        <w:spacing w:before="80" w:after="60"/>
      </w:pPr>
      <w:r>
        <w:rPr>
          <w:rFonts w:ascii="Arial Unicode MS" w:hAnsi="Arial Unicode MS" w:eastAsia="Arial Unicode MS"/>
          <w:b/>
          <w:color w:val="0B2545"/>
          <w:sz w:val="21"/>
        </w:rPr>
        <w:t xml:space="preserve">TD target  </w:t>
      </w:r>
      <w:r>
        <w:rPr>
          <w:rFonts w:ascii="Arial Unicode MS" w:hAnsi="Arial Unicode MS" w:eastAsia="Arial Unicode MS"/>
          <w:b w:val="0"/>
          <w:color w:val="111827"/>
          <w:sz w:val="21"/>
        </w:rPr>
        <w:t>Y_t = sg[z-bar_(t+1) + gamma(1-d_t) G-bar(z-bar_(t+1), e-bar_(t+1), m_t)], gamma=0.95</w:t>
      </w:r>
    </w:p>
    <w:p>
      <w:pPr>
        <w:spacing w:after="140"/>
        <w:ind w:left="280"/>
      </w:pPr>
      <w:r>
        <w:rPr>
          <w:rFonts w:ascii="Arial Unicode MS" w:hAnsi="Arial Unicode MS" w:eastAsia="Arial Unicode MS"/>
          <w:b w:val="0"/>
          <w:color w:val="4B5563"/>
          <w:sz w:val="19"/>
        </w:rPr>
        <w:t>z-bar_(t+1) comes from the real next frame through the EMA encoder; e-bar_(t+1) comes from the known dataset next action through the EMA Action Encoder.</w:t>
      </w:r>
    </w:p>
    <w:p>
      <w:pPr>
        <w:spacing w:before="80" w:after="60"/>
      </w:pPr>
      <w:r>
        <w:rPr>
          <w:rFonts w:ascii="Arial Unicode MS" w:hAnsi="Arial Unicode MS" w:eastAsia="Arial Unicode MS"/>
          <w:b/>
          <w:color w:val="0B2545"/>
          <w:sz w:val="21"/>
        </w:rPr>
        <w:t xml:space="preserve">Branch TD  </w:t>
      </w:r>
      <w:r>
        <w:rPr>
          <w:rFonts w:ascii="Arial Unicode MS" w:hAnsi="Arial Unicode MS" w:eastAsia="Arial Unicode MS"/>
          <w:b w:val="0"/>
          <w:color w:val="111827"/>
          <w:sz w:val="21"/>
        </w:rPr>
        <w:t>l_(t,b) = ||G_phi(s_t^b,e_t,m_t)-Y_t||_2^2,  b in {real,pred}</w:t>
      </w:r>
    </w:p>
    <w:p>
      <w:pPr>
        <w:spacing w:after="140"/>
        <w:ind w:left="280"/>
      </w:pPr>
      <w:r>
        <w:rPr>
          <w:rFonts w:ascii="Arial Unicode MS" w:hAnsi="Arial Unicode MS" w:eastAsia="Arial Unicode MS"/>
          <w:b w:val="0"/>
          <w:color w:val="4B5563"/>
          <w:sz w:val="19"/>
        </w:rPr>
        <w:t>s_real=z_t and s_pred=z-hat_t. The predicted branch retains gradients to the online LeWM predictor and shared Action Encoder.</w:t>
      </w:r>
    </w:p>
    <w:p>
      <w:pPr>
        <w:spacing w:before="80" w:after="60"/>
      </w:pPr>
      <w:r>
        <w:rPr>
          <w:rFonts w:ascii="Arial Unicode MS" w:hAnsi="Arial Unicode MS" w:eastAsia="Arial Unicode MS"/>
          <w:b/>
          <w:color w:val="0B2545"/>
          <w:sz w:val="21"/>
        </w:rPr>
        <w:t xml:space="preserve">Total  </w:t>
      </w:r>
      <w:r>
        <w:rPr>
          <w:rFonts w:ascii="Arial Unicode MS" w:hAnsi="Arial Unicode MS" w:eastAsia="Arial Unicode MS"/>
          <w:b w:val="0"/>
          <w:color w:val="111827"/>
          <w:sz w:val="21"/>
        </w:rPr>
        <w:t>L_total = L_pred + 0.09 L_SIGReg + rho(u)[L_method^real + L_method^pred]</w:t>
      </w:r>
    </w:p>
    <w:p>
      <w:pPr>
        <w:spacing w:after="140"/>
        <w:ind w:left="280"/>
      </w:pPr>
      <w:r>
        <w:rPr>
          <w:rFonts w:ascii="Arial Unicode MS" w:hAnsi="Arial Unicode MS" w:eastAsia="Arial Unicode MS"/>
          <w:b w:val="0"/>
          <w:color w:val="4B5563"/>
          <w:sz w:val="19"/>
        </w:rPr>
        <w:t>L_pred uses the real next-frame EMA latent as a stop-gradient target; rho rises linearly from 0 to 1 over the first 5% of optimizer updates.</w:t>
      </w:r>
    </w:p>
    <w:p>
      <w:pPr>
        <w:pStyle w:val="Heading1"/>
        <w:keepNext/>
        <w:pageBreakBefore/>
        <w:spacing w:after="100"/>
      </w:pPr>
      <w:r>
        <w:rPr>
          <w:rFonts w:ascii="Arial Unicode MS" w:hAnsi="Arial Unicode MS" w:eastAsia="Arial Unicode MS"/>
          <w:b/>
          <w:color w:val="0B2545"/>
          <w:sz w:val="32"/>
        </w:rPr>
        <w:t>C / D / F / G1 / G2 / G3 training terms</w:t>
      </w:r>
    </w:p>
    <w:p>
      <w:pPr>
        <w:spacing w:after="120"/>
      </w:pPr>
      <w:r>
        <w:rPr>
          <w:rFonts w:ascii="Arial Unicode MS" w:hAnsi="Arial Unicode MS" w:eastAsia="Arial Unicode MS"/>
          <w:b w:val="0"/>
          <w:color w:val="111827"/>
          <w:sz w:val="21"/>
        </w:rPr>
        <w:t>D/F/G1/G2/G3 use detached signals only to reweight per-sample TD error. Goal-subset weights use tau=0.5 softmax and mean-one normalization. C also fits a goal-projection residual. Every method shares the same EMA Bellman target.</w:t>
      </w:r>
    </w:p>
    <w:tbl>
      <w:tblPr>
        <w:tblStyle w:val="TableGrid"/>
        <w:tblW w:type="dxa" w:w="14400"/>
        <w:tblLayout w:type="fixed"/>
        <w:tblLook w:firstColumn="1" w:firstRow="1" w:lastColumn="0" w:lastRow="0" w:noHBand="0" w:noVBand="1" w:val="04A0"/>
        <w:tblInd w:w="120" w:type="dxa"/>
      </w:tblPr>
      <w:tblGrid>
        <w:gridCol w:w="1200"/>
        <w:gridCol w:w="4300"/>
        <w:gridCol w:w="4300"/>
        <w:gridCol w:w="4600"/>
      </w:tblGrid>
      <w:tr>
        <w:trPr>
          <w:tblHeader w:val="true"/>
          <w:cantSplit/>
        </w:trPr>
        <w:tc>
          <w:tcPr>
            <w:tcW w:type="dxa" w:w="1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4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Special signal A / q</w:t>
            </w:r>
          </w:p>
        </w:tc>
        <w:tc>
          <w:tcPr>
            <w:tcW w:type="dxa" w:w="4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Per-branch loss</w:t>
            </w:r>
          </w:p>
        </w:tc>
        <w:tc>
          <w:tcPr>
            <w:tcW w:type="dxa" w:w="46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Training role</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q_i^b = G_phi(s_i^b,e_i,m_i)^T m_i; q_i^Y = Y_i^T m_i</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L_C^b = mean(l_i^b) + lambda_C mean_goal[(q_i^b-q_i^Y)^2], lambda_C=1</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Only C adds a trainable scalar projection residual on goal-derived tasks.</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A_i = sg(Y_i^T m_i)</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L_D^b = mean_i[w_i(A) l_i^b]</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Detached target goal value reweights TD; tau=0.5.</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A_i = sg[Y_i^T m_i - mean_j(Y_i^T m_j)]</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L_F^b = mean_i[w_i(A) l_i^b]</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Matched future/task is contrasted with all goal tasks in the batch.</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A_i = sg[q_i - sum_k softmax(-d_ik/tau_n) q_ik]</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L_G1^b = mean_i[w_i(A) l_i^b]</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K=8 other-episode latent-neighbour actions; candidates have no TD targets.</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A_i = sg[q_i5 - (1/5) sum_{j=1}^5 q_ij]</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L_G2^b = mean_i[w_i(A) l_i^b]</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Five zero-suffix action prefixes; full-minus-prefix-mean signal.</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A_i = sg[(1/4) sum_{j=1}^4(q_i,j+1-q_ij)]</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L_G3^b = mean_i[w_i(A) l_i^b]</w:t>
            </w:r>
          </w:p>
        </w:tc>
        <w:tc>
          <w:tcPr>
            <w:tcW w:type="dxa" w:w="46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Five prefixes; mean adjacent marginal score gain.</w:t>
            </w:r>
          </w:p>
        </w:tc>
      </w:tr>
    </w:tbl>
    <w:p>
      <w:pPr>
        <w:spacing w:after="80"/>
      </w:pPr>
    </w:p>
    <w:p>
      <w:pPr>
        <w:pStyle w:val="Heading1"/>
        <w:keepNext/>
        <w:pageBreakBefore/>
        <w:spacing w:after="100"/>
      </w:pPr>
      <w:r>
        <w:rPr>
          <w:rFonts w:ascii="Arial Unicode MS" w:hAnsi="Arial Unicode MS" w:eastAsia="Arial Unicode MS"/>
          <w:b/>
          <w:color w:val="0B2545"/>
          <w:sz w:val="32"/>
        </w:rPr>
        <w:t>Two new inference scores</w:t>
      </w:r>
    </w:p>
    <w:p>
      <w:pPr>
        <w:spacing w:after="120"/>
      </w:pPr>
      <w:r>
        <w:rPr>
          <w:rFonts w:ascii="Arial Unicode MS" w:hAnsi="Arial Unicode MS" w:eastAsia="Arial Unicode MS"/>
          <w:b w:val="0"/>
          <w:color w:val="111827"/>
          <w:sz w:val="21"/>
        </w:rPr>
        <w:t>Q_G(z,A,g)=G(z,E_A(A),w(g))^T w(g). CEM minimizes the cost below, executes only A1, then replans. No Actor is trained.</w:t>
      </w:r>
    </w:p>
    <w:p>
      <w:pPr>
        <w:spacing w:before="80" w:after="60"/>
      </w:pPr>
      <w:r>
        <w:rPr>
          <w:rFonts w:ascii="Arial Unicode MS" w:hAnsi="Arial Unicode MS" w:eastAsia="Arial Unicode MS"/>
          <w:b/>
          <w:color w:val="0B2545"/>
          <w:sz w:val="21"/>
        </w:rPr>
        <w:t xml:space="preserve">F + first-Q  </w:t>
      </w:r>
      <w:r>
        <w:rPr>
          <w:rFonts w:ascii="Arial Unicode MS" w:hAnsi="Arial Unicode MS" w:eastAsia="Arial Unicode MS"/>
          <w:b w:val="0"/>
          <w:color w:val="111827"/>
          <w:sz w:val="21"/>
        </w:rPr>
        <w:t>J_first(A_1:5)=||z-hat_5-z_g||_2^2 - 0.25 Q_G(z_0,A_1,g)</w:t>
      </w:r>
    </w:p>
    <w:p>
      <w:pPr>
        <w:spacing w:after="140"/>
        <w:ind w:left="280"/>
      </w:pPr>
      <w:r>
        <w:rPr>
          <w:rFonts w:ascii="Arial Unicode MS" w:hAnsi="Arial Unicode MS" w:eastAsia="Arial Unicode MS"/>
          <w:b w:val="0"/>
          <w:color w:val="4B5563"/>
          <w:sz w:val="19"/>
        </w:rPr>
        <w:t>F performs the complete five-block rollout. first-Q has no gamma^4 tail discount and evaluates only real z_0 with the first candidate block A1.</w:t>
      </w:r>
    </w:p>
    <w:p>
      <w:pPr>
        <w:spacing w:before="80" w:after="60"/>
      </w:pPr>
      <w:r>
        <w:rPr>
          <w:rFonts w:ascii="Arial Unicode MS" w:hAnsi="Arial Unicode MS" w:eastAsia="Arial Unicode MS"/>
          <w:b/>
          <w:color w:val="0B2545"/>
          <w:sz w:val="21"/>
        </w:rPr>
        <w:t xml:space="preserve">Mean-Q rollout  </w:t>
      </w:r>
      <w:r>
        <w:rPr>
          <w:rFonts w:ascii="Arial Unicode MS" w:hAnsi="Arial Unicode MS" w:eastAsia="Arial Unicode MS"/>
          <w:b w:val="0"/>
          <w:color w:val="111827"/>
          <w:sz w:val="21"/>
        </w:rPr>
        <w:t>J_mean(A_1:5)=-(1/5) sum_(k=1)^5 Q_G(z_(k-1)^F,A_k,g)</w:t>
      </w:r>
    </w:p>
    <w:p>
      <w:pPr>
        <w:spacing w:after="140"/>
        <w:ind w:left="280"/>
      </w:pPr>
      <w:r>
        <w:rPr>
          <w:rFonts w:ascii="Arial Unicode MS" w:hAnsi="Arial Unicode MS" w:eastAsia="Arial Unicode MS"/>
          <w:b w:val="0"/>
          <w:color w:val="4B5563"/>
          <w:sz w:val="19"/>
        </w:rPr>
        <w:t>z_0 is the online encoder state; z_1 through z_4 come from the F rollout. F only generates imagined states; neither terminal goal distance nor gamma enters this score.</w:t>
      </w:r>
    </w:p>
    <w:p>
      <w:pPr>
        <w:pStyle w:val="Heading1"/>
        <w:keepNext/>
        <w:pageBreakBefore/>
        <w:spacing w:after="100"/>
      </w:pPr>
      <w:r>
        <w:rPr>
          <w:rFonts w:ascii="Arial Unicode MS" w:hAnsi="Arial Unicode MS" w:eastAsia="Arial Unicode MS"/>
          <w:b/>
          <w:color w:val="0B2545"/>
          <w:sz w:val="32"/>
        </w:rPr>
        <w:t>Epoch 10: five inference scores</w:t>
      </w:r>
    </w:p>
    <w:p>
      <w:pPr>
        <w:spacing w:after="120"/>
      </w:pPr>
      <w:r>
        <w:rPr>
          <w:rFonts w:ascii="Arial Unicode MS" w:hAnsi="Arial Unicode MS" w:eastAsia="Arial Unicode MS"/>
          <w:b w:val="0"/>
          <w:color w:val="111827"/>
          <w:sz w:val="21"/>
        </w:rPr>
        <w:t>All five columns bind the same V2-EMA epoch-10 checkpoint and shared formal episode selection (e46ea81c...). The first three columns come from the original formal archive; the last two come from the 96-cell sweep.</w:t>
      </w:r>
    </w:p>
    <w:tbl>
      <w:tblPr>
        <w:tblStyle w:val="TableGrid"/>
        <w:tblW w:type="dxa" w:w="14400"/>
        <w:tblLayout w:type="fixed"/>
        <w:tblLook w:firstColumn="1" w:firstRow="1" w:lastColumn="0" w:lastRow="0" w:noHBand="0" w:noVBand="1" w:val="04A0"/>
        <w:tblInd w:w="120" w:type="dxa"/>
      </w:tblPr>
      <w:tblGrid>
        <w:gridCol w:w="1400"/>
        <w:gridCol w:w="2500"/>
        <w:gridCol w:w="2500"/>
        <w:gridCol w:w="2500"/>
        <w:gridCol w:w="2700"/>
        <w:gridCol w:w="2800"/>
      </w:tblGrid>
      <w:tr>
        <w:trPr>
          <w:tblHeader w:val="true"/>
          <w:cantSplit/>
        </w:trPr>
        <w:tc>
          <w:tcPr>
            <w:tcW w:type="dxa" w:w="1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25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F-only</w:t>
            </w:r>
          </w:p>
        </w:tc>
        <w:tc>
          <w:tcPr>
            <w:tcW w:type="dxa" w:w="25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G-only</w:t>
            </w:r>
          </w:p>
        </w:tc>
        <w:tc>
          <w:tcPr>
            <w:tcW w:type="dxa" w:w="25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F+G tail</w:t>
            </w:r>
          </w:p>
        </w:tc>
        <w:tc>
          <w:tcPr>
            <w:tcW w:type="dxa" w:w="27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F + first-Q</w:t>
            </w:r>
          </w:p>
        </w:tc>
        <w:tc>
          <w:tcPr>
            <w:tcW w:type="dxa" w:w="2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Mean-Q rollout</w:t>
            </w:r>
          </w:p>
        </w:tc>
      </w:tr>
      <w:tr>
        <w:trPr>
          <w:cantSplit/>
        </w:trPr>
        <w:tc>
          <w:tcPr>
            <w:tcW w:type="dxa" w:w="1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r>
      <w:tr>
        <w:trPr>
          <w:cantSplit/>
        </w:trPr>
        <w:tc>
          <w:tcPr>
            <w:tcW w:type="dxa" w:w="1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r>
      <w:tr>
        <w:trPr>
          <w:cantSplit/>
        </w:trPr>
        <w:tc>
          <w:tcPr>
            <w:tcW w:type="dxa" w:w="1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r>
      <w:tr>
        <w:trPr>
          <w:cantSplit/>
        </w:trPr>
        <w:tc>
          <w:tcPr>
            <w:tcW w:type="dxa" w:w="1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15/50 (30%)</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11/50 (22%)</w:t>
            </w:r>
          </w:p>
        </w:tc>
        <w:tc>
          <w:tcPr>
            <w:tcW w:type="dxa" w:w="2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r>
      <w:tr>
        <w:trPr>
          <w:cantSplit/>
        </w:trPr>
        <w:tc>
          <w:tcPr>
            <w:tcW w:type="dxa" w:w="1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16/50 (32%)</w:t>
            </w:r>
          </w:p>
        </w:tc>
        <w:tc>
          <w:tcPr>
            <w:tcW w:type="dxa" w:w="2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r>
        <w:trPr>
          <w:cantSplit/>
        </w:trPr>
        <w:tc>
          <w:tcPr>
            <w:tcW w:type="dxa" w:w="1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12/50 (24%)</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c>
          <w:tcPr>
            <w:tcW w:type="dxa" w:w="27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bl>
    <w:p>
      <w:pPr>
        <w:spacing w:after="80"/>
      </w:pPr>
    </w:p>
    <w:p>
      <w:pPr>
        <w:pStyle w:val="Heading1"/>
        <w:keepNext/>
        <w:pageBreakBefore/>
        <w:spacing w:after="100"/>
      </w:pPr>
      <w:r>
        <w:rPr>
          <w:rFonts w:ascii="Arial Unicode MS" w:hAnsi="Arial Unicode MS" w:eastAsia="Arial Unicode MS"/>
          <w:b/>
          <w:color w:val="0B2545"/>
          <w:sz w:val="32"/>
        </w:rPr>
        <w:t>Fixed V0/V1/V2 checkpoints: all 24 cells</w:t>
      </w:r>
    </w:p>
    <w:p>
      <w:pPr>
        <w:spacing w:after="120"/>
      </w:pPr>
      <w:r>
        <w:rPr>
          <w:rFonts w:ascii="Arial Unicode MS" w:hAnsi="Arial Unicode MS" w:eastAsia="Arial Unicode MS"/>
          <w:b/>
          <w:color w:val="7A5A00"/>
          <w:sz w:val="21"/>
        </w:rPr>
        <w:t>This table and the EMA sweep use the same episode-selection.json (e46ea81c...), so success rates are comparable on one O50 pair set. 88c20477... is only the fixed launcher's canonical valid-row-ranks digest. The report input does not include per-cell outcome vectors, so no paired significance test is claimed. V0/V1 support first-Q only; Mean-Q is V2-only.</w:t>
      </w:r>
    </w:p>
    <w:tbl>
      <w:tblPr>
        <w:tblStyle w:val="TableGrid"/>
        <w:tblW w:type="dxa" w:w="14400"/>
        <w:tblLayout w:type="fixed"/>
        <w:tblLook w:firstColumn="1" w:firstRow="1" w:lastColumn="0" w:lastRow="0" w:noHBand="0" w:noVBand="1" w:val="04A0"/>
        <w:tblInd w:w="120" w:type="dxa"/>
      </w:tblPr>
      <w:tblGrid>
        <w:gridCol w:w="1800"/>
        <w:gridCol w:w="3150"/>
        <w:gridCol w:w="3150"/>
        <w:gridCol w:w="3150"/>
        <w:gridCol w:w="3150"/>
      </w:tblGrid>
      <w:tr>
        <w:trPr>
          <w:tblHeader w:val="true"/>
          <w:cantSplit/>
        </w:trPr>
        <w:tc>
          <w:tcPr>
            <w:tcW w:type="dxa" w:w="1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3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V0 first-Q</w:t>
            </w:r>
          </w:p>
        </w:tc>
        <w:tc>
          <w:tcPr>
            <w:tcW w:type="dxa" w:w="3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V1 first-Q</w:t>
            </w:r>
          </w:p>
        </w:tc>
        <w:tc>
          <w:tcPr>
            <w:tcW w:type="dxa" w:w="3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V2 first-Q</w:t>
            </w:r>
          </w:p>
        </w:tc>
        <w:tc>
          <w:tcPr>
            <w:tcW w:type="dxa" w:w="315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V2 Mean-Q</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26/50 (52%)</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28/50 (56%)</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10/50 (20%)</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26/50 (52%)</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26/50 (52%)</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13/50 (26%)</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26/50 (52%)</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315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r>
    </w:tbl>
    <w:p>
      <w:pPr>
        <w:spacing w:after="80"/>
      </w:pPr>
    </w:p>
    <w:p>
      <w:pPr>
        <w:pStyle w:val="Heading1"/>
        <w:keepNext/>
        <w:pageBreakBefore/>
        <w:spacing w:after="100"/>
      </w:pPr>
      <w:r>
        <w:rPr>
          <w:rFonts w:ascii="Arial Unicode MS" w:hAnsi="Arial Unicode MS" w:eastAsia="Arial Unicode MS"/>
          <w:b/>
          <w:color w:val="0B2545"/>
          <w:sz w:val="32"/>
        </w:rPr>
        <w:t>Best epoch by method and score (post-hoc)</w:t>
      </w:r>
    </w:p>
    <w:p>
      <w:pPr>
        <w:spacing w:after="120"/>
      </w:pPr>
      <w:r>
        <w:rPr>
          <w:rFonts w:ascii="Arial Unicode MS" w:hAnsi="Arial Unicode MS" w:eastAsia="Arial Unicode MS"/>
          <w:b/>
          <w:color w:val="9C2F17"/>
          <w:sz w:val="21"/>
        </w:rPr>
        <w:t>Warning: each epoch-3-to-10 maximum was selected after observing the same O50 selection and is therefore selection-biased. Use it only to understand training trajectories or define a preregistered rule for the next study; epoch 10 remains the separately reported formal checkpoint.</w:t>
      </w:r>
    </w:p>
    <w:tbl>
      <w:tblPr>
        <w:tblStyle w:val="TableGrid"/>
        <w:tblW w:type="dxa" w:w="14400"/>
        <w:tblLayout w:type="fixed"/>
        <w:tblLook w:firstColumn="1" w:firstRow="1" w:lastColumn="0" w:lastRow="0" w:noHBand="0" w:noVBand="1" w:val="04A0"/>
        <w:tblInd w:w="120" w:type="dxa"/>
      </w:tblPr>
      <w:tblGrid>
        <w:gridCol w:w="1200"/>
        <w:gridCol w:w="4300"/>
        <w:gridCol w:w="2200"/>
        <w:gridCol w:w="2500"/>
        <w:gridCol w:w="2400"/>
        <w:gridCol w:w="1800"/>
      </w:tblGrid>
      <w:tr>
        <w:trPr>
          <w:tblHeader w:val="true"/>
          <w:cantSplit/>
        </w:trPr>
        <w:tc>
          <w:tcPr>
            <w:tcW w:type="dxa" w:w="1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Method</w:t>
            </w:r>
          </w:p>
        </w:tc>
        <w:tc>
          <w:tcPr>
            <w:tcW w:type="dxa" w:w="43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Score</w:t>
            </w:r>
          </w:p>
        </w:tc>
        <w:tc>
          <w:tcPr>
            <w:tcW w:type="dxa" w:w="22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 epoch</w:t>
            </w:r>
          </w:p>
        </w:tc>
        <w:tc>
          <w:tcPr>
            <w:tcW w:type="dxa" w:w="25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 O50</w:t>
            </w:r>
          </w:p>
        </w:tc>
        <w:tc>
          <w:tcPr>
            <w:tcW w:type="dxa" w:w="2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Epoch 10</w:t>
            </w:r>
          </w:p>
        </w:tc>
        <w:tc>
          <w:tcPr>
            <w:tcW w:type="dxa" w:w="18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Best-E10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 (α=.25)</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E5</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24/50 (48%)</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20/50 (40%)</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C</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over F rollout</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14/50 (28%)</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+7/50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 (α=.25)</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E8</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D</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over F rollout</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 (α=.25)</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E9</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over F rollout</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25/50 (50%)</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 (α=.25)</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19/50 (38%)</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G1</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over F rollout</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E10</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+0/50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 (α=.25)</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E7</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22/50 (44%)</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18/50 (36%)</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G2</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over F rollout</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E6</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+4/50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 + first-Q (α=.25)</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E3</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21/50 (42%)</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+2/50</w:t>
            </w:r>
          </w:p>
        </w:tc>
      </w:tr>
      <w:tr>
        <w:trPr>
          <w:cantSplit/>
        </w:trPr>
        <w:tc>
          <w:tcPr>
            <w:tcW w:type="dxa" w:w="1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G3</w:t>
            </w:r>
          </w:p>
        </w:tc>
        <w:tc>
          <w:tcPr>
            <w:tcW w:type="dxa" w:w="43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Mean-Q over F rollout</w:t>
            </w:r>
          </w:p>
        </w:tc>
        <w:tc>
          <w:tcPr>
            <w:tcW w:type="dxa" w:w="22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w:t>
            </w:r>
          </w:p>
        </w:tc>
        <w:tc>
          <w:tcPr>
            <w:tcW w:type="dxa" w:w="25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23/50 (46%)</w:t>
            </w:r>
          </w:p>
        </w:tc>
        <w:tc>
          <w:tcPr>
            <w:tcW w:type="dxa" w:w="2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17/50 (34%)</w:t>
            </w:r>
          </w:p>
        </w:tc>
        <w:tc>
          <w:tcPr>
            <w:tcW w:type="dxa" w:w="18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+6/50</w:t>
            </w:r>
          </w:p>
        </w:tc>
      </w:tr>
    </w:tbl>
    <w:p>
      <w:pPr>
        <w:spacing w:after="80"/>
      </w:pPr>
    </w:p>
    <w:p>
      <w:pPr>
        <w:pStyle w:val="Heading1"/>
        <w:keepNext/>
        <w:pageBreakBefore/>
        <w:spacing w:after="100"/>
      </w:pPr>
      <w:r>
        <w:rPr>
          <w:rFonts w:ascii="Arial Unicode MS" w:hAnsi="Arial Unicode MS" w:eastAsia="Arial Unicode MS"/>
          <w:b/>
          <w:color w:val="0B2545"/>
          <w:sz w:val="32"/>
        </w:rPr>
        <w:t>Training and validation loss</w:t>
      </w:r>
    </w:p>
    <w:p>
      <w:pPr>
        <w:spacing w:after="120"/>
      </w:pPr>
      <w:r>
        <w:rPr>
          <w:rFonts w:ascii="Arial Unicode MS" w:hAnsi="Arial Unicode MS" w:eastAsia="Arial Unicode MS"/>
          <w:b w:val="0"/>
          <w:color w:val="111827"/>
          <w:sz w:val="21"/>
        </w:rPr>
        <w:t>Training total loss is method-specific. Validation uses the shared base Hybrid TD objective, although total loss still includes prediction/SIGReg. Use the curves to inspect within-method trajectories, not to rank methods by absolute loss height.</w:t>
      </w:r>
    </w:p>
    <w:p>
      <w:pPr>
        <w:jc w:val="center"/>
      </w:pPr>
      <w:r>
        <w:drawing>
          <wp:inline xmlns:a="http://schemas.openxmlformats.org/drawingml/2006/main" xmlns:pic="http://schemas.openxmlformats.org/drawingml/2006/picture">
            <wp:extent cx="8412480" cy="3349413"/>
            <wp:docPr id="3" name="Picture 3" title="Figure 1. V2-EMA-SG training / validation total loss (epochs 1-10)" descr="Two-panel line chart showing training and validation total loss for C, D, F, G1, G2 and G3 across epochs 1 through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8412480" cy="3349413"/>
                    </a:xfrm>
                    <a:prstGeom prst="rect"/>
                  </pic:spPr>
                </pic:pic>
              </a:graphicData>
            </a:graphic>
          </wp:inline>
        </w:drawing>
      </w:r>
    </w:p>
    <w:p>
      <w:pPr>
        <w:spacing w:before="40" w:after="160"/>
        <w:jc w:val="center"/>
      </w:pPr>
      <w:r>
        <w:rPr>
          <w:rFonts w:ascii="Arial Unicode MS" w:hAnsi="Arial Unicode MS" w:eastAsia="Arial Unicode MS"/>
          <w:b w:val="0"/>
          <w:i/>
          <w:color w:val="4B5563"/>
          <w:sz w:val="18"/>
        </w:rPr>
        <w:t>Figure 1. V2-EMA-SG training / validation total loss (epochs 1-10)</w:t>
      </w:r>
    </w:p>
    <w:p>
      <w:pPr>
        <w:pStyle w:val="Heading1"/>
        <w:keepNext/>
        <w:pageBreakBefore/>
        <w:spacing w:after="100"/>
      </w:pPr>
      <w:r>
        <w:rPr>
          <w:rFonts w:ascii="Arial Unicode MS" w:hAnsi="Arial Unicode MS" w:eastAsia="Arial Unicode MS"/>
          <w:b/>
          <w:color w:val="0B2545"/>
          <w:sz w:val="32"/>
        </w:rPr>
        <w:t>New-score trajectories across epochs</w:t>
      </w:r>
    </w:p>
    <w:p>
      <w:pPr>
        <w:spacing w:after="120"/>
      </w:pPr>
      <w:r>
        <w:rPr>
          <w:rFonts w:ascii="Arial Unicode MS" w:hAnsi="Arial Unicode MS" w:eastAsia="Arial Unicode MS"/>
          <w:b w:val="0"/>
          <w:color w:val="111827"/>
          <w:sz w:val="21"/>
        </w:rPr>
        <w:t>Every point is a complete O50 evaluation for epochs 3-10. The shared selection makes checkpoint trajectories comparable, but repeatedly inspecting the same 50 pairs is exactly why best-epoch selection is biased.</w:t>
      </w:r>
    </w:p>
    <w:p>
      <w:pPr>
        <w:jc w:val="center"/>
      </w:pPr>
      <w:r>
        <w:drawing>
          <wp:inline xmlns:a="http://schemas.openxmlformats.org/drawingml/2006/main" xmlns:pic="http://schemas.openxmlformats.org/drawingml/2006/picture">
            <wp:extent cx="8412480" cy="3349413"/>
            <wp:docPr id="4" name="Picture 4" title="Figure 2. O50 success rate for the two new scores (epochs 3-10)" descr="Two-panel line chart showing O50 success rates for first-action Q and rollout mean Q across V2-EMA-SG epochs 3 through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412480" cy="3349413"/>
                    </a:xfrm>
                    <a:prstGeom prst="rect"/>
                  </pic:spPr>
                </pic:pic>
              </a:graphicData>
            </a:graphic>
          </wp:inline>
        </w:drawing>
      </w:r>
    </w:p>
    <w:p>
      <w:pPr>
        <w:spacing w:before="40" w:after="160"/>
        <w:jc w:val="center"/>
      </w:pPr>
      <w:r>
        <w:rPr>
          <w:rFonts w:ascii="Arial Unicode MS" w:hAnsi="Arial Unicode MS" w:eastAsia="Arial Unicode MS"/>
          <w:b w:val="0"/>
          <w:i/>
          <w:color w:val="4B5563"/>
          <w:sz w:val="18"/>
        </w:rPr>
        <w:t>Figure 2. O50 success rate for the two new scores (epochs 3-10)</w:t>
      </w:r>
    </w:p>
    <w:p>
      <w:pPr>
        <w:pStyle w:val="Heading1"/>
        <w:keepNext/>
        <w:pageBreakBefore/>
        <w:spacing w:after="100"/>
      </w:pPr>
      <w:r>
        <w:rPr>
          <w:rFonts w:ascii="Arial Unicode MS" w:hAnsi="Arial Unicode MS" w:eastAsia="Arial Unicode MS"/>
          <w:b/>
          <w:color w:val="0B2545"/>
          <w:sz w:val="32"/>
        </w:rPr>
        <w:t>Key conclusions and audit boundary</w:t>
      </w:r>
    </w:p>
    <w:p>
      <w:pPr>
        <w:spacing w:after="120"/>
      </w:pPr>
      <w:r>
        <w:rPr>
          <w:rFonts w:ascii="Arial Unicode MS" w:hAnsi="Arial Unicode MS" w:eastAsia="Arial Unicode MS"/>
          <w:b w:val="0"/>
          <w:color w:val="111827"/>
          <w:sz w:val="21"/>
        </w:rPr>
        <w:t>1. Epoch 10 first-Q winner: D/F, 22/50 (44%).</w:t>
      </w:r>
    </w:p>
    <w:p>
      <w:pPr>
        <w:spacing w:after="120"/>
      </w:pPr>
      <w:r>
        <w:rPr>
          <w:rFonts w:ascii="Arial Unicode MS" w:hAnsi="Arial Unicode MS" w:eastAsia="Arial Unicode MS"/>
          <w:b w:val="0"/>
          <w:color w:val="111827"/>
          <w:sz w:val="21"/>
        </w:rPr>
        <w:t>2. Epoch 10 Mean-Q winner: F, 23/50 (46%).</w:t>
      </w:r>
    </w:p>
    <w:p>
      <w:pPr>
        <w:spacing w:after="120"/>
      </w:pPr>
      <w:r>
        <w:rPr>
          <w:rFonts w:ascii="Arial Unicode MS" w:hAnsi="Arial Unicode MS" w:eastAsia="Arial Unicode MS"/>
          <w:b w:val="0"/>
          <w:color w:val="111827"/>
          <w:sz w:val="21"/>
        </w:rPr>
        <w:t>3. Across six methods, epoch-10 means are 40.7% first-Q and 37.0% Mean-Q; fixed first-Q means are V0 47.0%, V1 52.0% and V2 39.7%.</w:t>
      </w:r>
    </w:p>
    <w:p>
      <w:pPr>
        <w:spacing w:after="120"/>
      </w:pPr>
      <w:r>
        <w:rPr>
          <w:rFonts w:ascii="Arial Unicode MS" w:hAnsi="Arial Unicode MS" w:eastAsia="Arial Unicode MS"/>
          <w:b w:val="0"/>
          <w:color w:val="111827"/>
          <w:sz w:val="21"/>
        </w:rPr>
        <w:t>4. Fixed V2 first-Q winner: D/F, 21/50 (42%); it shares the EMA table's O50 pair set.</w:t>
      </w:r>
    </w:p>
    <w:p>
      <w:pPr>
        <w:spacing w:after="120"/>
      </w:pPr>
      <w:r>
        <w:rPr>
          <w:rFonts w:ascii="Arial Unicode MS" w:hAnsi="Arial Unicode MS" w:eastAsia="Arial Unicode MS"/>
          <w:b w:val="0"/>
          <w:color w:val="111827"/>
          <w:sz w:val="21"/>
        </w:rPr>
        <w:t>5. C/D/F/G1/G2/G3 differ only in training-time TD loss or detached weights; their inference formulas are shared, while each checkpoint learns a different G.</w:t>
      </w:r>
    </w:p>
    <w:p>
      <w:pPr>
        <w:spacing w:after="120"/>
      </w:pPr>
      <w:r>
        <w:rPr>
          <w:rFonts w:ascii="Arial Unicode MS" w:hAnsi="Arial Unicode MS" w:eastAsia="Arial Unicode MS"/>
          <w:b w:val="0"/>
          <w:color w:val="111827"/>
          <w:sz w:val="21"/>
        </w:rPr>
        <w:t>6. One training seed and one planning selection are available. These results do not establish multi-seed superiority or statistical significance.</w:t>
      </w:r>
    </w:p>
    <w:tbl>
      <w:tblPr>
        <w:tblStyle w:val="TableGrid"/>
        <w:tblW w:type="dxa" w:w="14400"/>
        <w:tblLayout w:type="fixed"/>
        <w:tblLook w:firstColumn="1" w:firstRow="1" w:lastColumn="0" w:lastRow="0" w:noHBand="0" w:noVBand="1" w:val="04A0"/>
        <w:tblInd w:w="120" w:type="dxa"/>
      </w:tblPr>
      <w:tblGrid>
        <w:gridCol w:w="3400"/>
        <w:gridCol w:w="11000"/>
      </w:tblGrid>
      <w:tr>
        <w:trPr>
          <w:tblHeader w:val="true"/>
          <w:cantSplit/>
        </w:trPr>
        <w:tc>
          <w:tcPr>
            <w:tcW w:type="dxa" w:w="34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Audit field</w:t>
            </w:r>
          </w:p>
        </w:tc>
        <w:tc>
          <w:tcPr>
            <w:tcW w:type="dxa" w:w="11000"/>
            <w:vAlign w:val="center"/>
            <w:shd w:fill="F2F4F7"/>
            <w:tcMar>
              <w:top w:w="80" w:type="dxa"/>
              <w:bottom w:w="80" w:type="dxa"/>
              <w:start w:w="120" w:type="dxa"/>
              <w:end w:w="120" w:type="dxa"/>
            </w:tcMar>
          </w:tcPr>
          <w:p>
            <w:pPr>
              <w:spacing w:before="0" w:after="0" w:line="252" w:lineRule="auto"/>
              <w:jc w:val="left"/>
            </w:pPr>
            <w:r/>
            <w:r>
              <w:rPr>
                <w:rFonts w:ascii="Arial Unicode MS" w:hAnsi="Arial Unicode MS" w:eastAsia="Arial Unicode MS"/>
                <w:b/>
                <w:sz w:val="18"/>
              </w:rPr>
              <w:t>Locked value</w:t>
            </w:r>
          </w:p>
        </w:tc>
      </w:tr>
      <w:tr>
        <w:trPr>
          <w:cantSplit/>
        </w:trPr>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Training commit</w:t>
            </w:r>
          </w:p>
        </w:tc>
        <w:tc>
          <w:tcPr>
            <w:tcW w:type="dxa" w:w="11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18cd574d522515f20f4103509b1e660b2fc89ea6</w:t>
            </w:r>
          </w:p>
        </w:tc>
      </w:tr>
      <w:tr>
        <w:trPr>
          <w:cantSplit/>
        </w:trPr>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Evaluation commit</w:t>
            </w:r>
          </w:p>
        </w:tc>
        <w:tc>
          <w:tcPr>
            <w:tcW w:type="dxa" w:w="11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5456f3d18116812d078d4ec2e85ba1f83d89c7c7</w:t>
            </w:r>
          </w:p>
        </w:tc>
      </w:tr>
      <w:tr>
        <w:trPr>
          <w:cantSplit/>
        </w:trPr>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Shared 120-cell episode selection</w:t>
            </w:r>
          </w:p>
        </w:tc>
        <w:tc>
          <w:tcPr>
            <w:tcW w:type="dxa" w:w="11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e46ea81cce2e6a9a5df05ba04893b4181cbd8979340111a012c30f1efa2d7ee7</w:t>
            </w:r>
          </w:p>
        </w:tc>
      </w:tr>
      <w:tr>
        <w:trPr>
          <w:cantSplit/>
        </w:trPr>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Fixed launcher valid-row-ranks</w:t>
            </w:r>
          </w:p>
        </w:tc>
        <w:tc>
          <w:tcPr>
            <w:tcW w:type="dxa" w:w="11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88c204770f33c0b0220057d45b187766e3cfc54912e3f5ca49f2aa93d16437e9</w:t>
            </w:r>
          </w:p>
        </w:tc>
      </w:tr>
      <w:tr>
        <w:trPr>
          <w:cantSplit/>
        </w:trPr>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Action normalization</w:t>
            </w:r>
          </w:p>
        </w:tc>
        <w:tc>
          <w:tcPr>
            <w:tcW w:type="dxa" w:w="11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57f4d3c252e1805f4af1f614d20d1d1a064fa0d1d463ed5eb8ecf9dfc2b1a723</w:t>
            </w:r>
          </w:p>
        </w:tc>
      </w:tr>
      <w:tr>
        <w:trPr>
          <w:cantSplit/>
        </w:trPr>
        <w:tc>
          <w:tcPr>
            <w:tcW w:type="dxa" w:w="34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Grid</w:t>
            </w:r>
          </w:p>
        </w:tc>
        <w:tc>
          <w:tcPr>
            <w:tcW w:type="dxa" w:w="11000"/>
            <w:vAlign w:val="center"/>
            <w:tcMar>
              <w:top w:w="80" w:type="dxa"/>
              <w:bottom w:w="80" w:type="dxa"/>
              <w:start w:w="120" w:type="dxa"/>
              <w:end w:w="120" w:type="dxa"/>
            </w:tcMar>
          </w:tcPr>
          <w:p>
            <w:pPr>
              <w:spacing w:before="0" w:after="0" w:line="252" w:lineRule="auto"/>
              <w:jc w:val="left"/>
            </w:pPr>
            <w:r/>
            <w:r>
              <w:rPr>
                <w:rFonts w:ascii="Arial Unicode MS" w:hAnsi="Arial Unicode MS" w:eastAsia="Arial Unicode MS"/>
                <w:b w:val="0"/>
                <w:sz w:val="18"/>
              </w:rPr>
              <w:t>96 = 8 epochs × 6 variants × 2 modes; fixed = 24</w:t>
            </w:r>
          </w:p>
        </w:tc>
      </w:tr>
    </w:tbl>
    <w:p>
      <w:pPr>
        <w:spacing w:after="80"/>
      </w:pPr>
    </w:p>
    <w:sectPr w:rsidR="00FC693F" w:rsidRPr="0006063C" w:rsidSect="00034616">
      <w:headerReference w:type="default" r:id="rId17"/>
      <w:headerReference w:type="even" r:id="rId18"/>
      <w:footerReference w:type="default" r:id="rId19"/>
      <w:footerReference w:type="even" r:id="rId20"/>
      <w:pgSz w:w="15840" w:h="12240" w:orient="landscape"/>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Arial Unicode MS" w:hAnsi="Arial Unicode MS" w:eastAsia="Arial Unicode MS" w:cs="Arial Unicode MS"/>
        <w:b w:val="0"/>
        <w:i w:val="0"/>
        <w:color w:val="5C6975"/>
        <w:sz w:val="15"/>
      </w:rPr>
      <w:t xml:space="preserve">Actor-Free TD-LeWM  ·  Page </w:t>
    </w:r>
    <w:r>
      <w:rPr>
        <w:rFonts w:ascii="Arial Unicode MS" w:hAnsi="Arial Unicode MS" w:eastAsia="Arial Unicode MS" w:cs="Arial Unicode MS"/>
        <w:b w:val="0"/>
        <w:i w:val="0"/>
        <w:color w:val="5C6975"/>
        <w:sz w:val="15"/>
      </w:rPr>
      <w:fldChar w:fldCharType="begin"/>
      <w:instrText xml:space="preserve">PAGE</w:instrText>
      <w:fldChar w:fldCharType="separate"/>
      <w:t>1</w:t>
      <w:fldChar w:fldCharType="end"/>
    </w:r>
    <w:r>
      <w:rPr>
        <w:rFonts w:ascii="Arial Unicode MS" w:hAnsi="Arial Unicode MS" w:eastAsia="Arial Unicode MS" w:cs="Arial Unicode MS"/>
        <w:b w:val="0"/>
        <w:i w:val="0"/>
        <w:color w:val="5C6975"/>
        <w:sz w:val="15"/>
      </w:rPr>
      <w:t xml:space="preserve"> of </w:t>
    </w:r>
    <w:r>
      <w:rPr>
        <w:rFonts w:ascii="Arial Unicode MS" w:hAnsi="Arial Unicode MS" w:eastAsia="Arial Unicode MS" w:cs="Arial Unicode MS"/>
        <w:b w:val="0"/>
        <w:i w:val="0"/>
        <w:color w:val="5C6975"/>
        <w:sz w:val="15"/>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result archive · 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result archive · 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result archive · 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Unicode MS" w:hAnsi="Arial Unicode MS" w:eastAsia="Arial Unicode MS"/>
        <w:b w:val="0"/>
        <w:color w:val="6B7280"/>
        <w:sz w:val="17"/>
      </w:rPr>
      <w:t xml:space="preserve">Validated result archive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tabs>
        <w:tab w:pos="14400" w:val="right"/>
      </w:tabs>
      <w:spacing w:before="0" w:after="0" w:line="240" w:lineRule="auto"/>
    </w:pPr>
    <w:r>
      <w:rPr>
        <w:rFonts w:ascii="Arial Unicode MS" w:hAnsi="Arial Unicode MS" w:eastAsia="Arial Unicode MS" w:cs="Arial Unicode MS"/>
        <w:b/>
        <w:i w:val="0"/>
        <w:color w:val="5C6975"/>
        <w:sz w:val="15"/>
      </w:rPr>
      <w:t>TDWM RESEARCH  /  RESULTS TD</w:t>
    </w:r>
    <w:r>
      <w:rPr>
        <w:rFonts w:ascii="Arial Unicode MS" w:hAnsi="Arial Unicode MS" w:eastAsia="Arial Unicode MS" w:cs="Arial Unicode MS"/>
        <w:b w:val="0"/>
        <w:i w:val="0"/>
        <w:color w:val="5C6975"/>
        <w:sz w:val="15"/>
      </w:rPr>
      <w:tab/>
      <w:t>7 methods × 21 formal evaluations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t>TD-JEPA · Actor-Free TD-LeWM raw-action V0 / action-encoder V1 · Cube O50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t>TD-JEPA · Actor-Free TD-LeWM raw-action V0 / action-encoder V1 · Cube O50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t>TD-JEPA · V2-EMA-SG · Cube O50 · 96 epoch-score cells + 24 fixed cells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Unicode MS" w:hAnsi="Arial Unicode MS" w:eastAsia="Arial Unicode MS"/>
        <w:b w:val="0"/>
        <w:color w:val="6B7280"/>
        <w:sz w:val="17"/>
      </w:rPr>
      <w:t>TD-JEPA · V2-EMA-SG · Cube O50 · 96 epoch-score cells + 24 fixed cells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Arial Unicode MS" w:hAnsi="Arial Unicode MS" w:eastAsia="Arial Unicode MS" w:cs="Arial Unicode MS"/>
      <w:b w:val="0"/>
      <w:color w:val="17212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40" w:lineRule="auto"/>
      <w:outlineLvl w:val="0"/>
    </w:pPr>
    <w:rPr>
      <w:rFonts w:asciiTheme="majorHAnsi" w:eastAsiaTheme="majorEastAsia" w:hAnsiTheme="majorHAnsi" w:cstheme="majorBidi" w:ascii="Arial Unicode MS" w:hAnsi="Arial Unicode MS" w:eastAsia="Arial Unicode MS" w:cs="Arial Unicode MS"/>
      <w:b/>
      <w:bCs/>
      <w:color w:val="17324D"/>
      <w:sz w:val="25"/>
      <w:szCs w:val="28"/>
    </w:rPr>
  </w:style>
  <w:style w:type="paragraph" w:styleId="Heading2">
    <w:name w:val="heading 2"/>
    <w:basedOn w:val="Normal"/>
    <w:next w:val="Normal"/>
    <w:link w:val="Heading2Char"/>
    <w:uiPriority w:val="9"/>
    <w:unhideWhenUsed/>
    <w:qFormat/>
    <w:rsid w:val="00FC693F"/>
    <w:pPr>
      <w:keepNext/>
      <w:keepLines/>
      <w:spacing w:before="100" w:after="60" w:line="240" w:lineRule="auto"/>
      <w:outlineLvl w:val="1"/>
    </w:pPr>
    <w:rPr>
      <w:rFonts w:asciiTheme="majorHAnsi" w:eastAsiaTheme="majorEastAsia" w:hAnsiTheme="majorHAnsi" w:cstheme="majorBidi" w:ascii="Arial Unicode MS" w:hAnsi="Arial Unicode MS" w:eastAsia="Arial Unicode MS" w:cs="Arial Unicode MS"/>
      <w:b/>
      <w:bCs/>
      <w:color w:val="2E74B5"/>
      <w:sz w:val="20"/>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outlineLvl w:val="2"/>
    </w:pPr>
    <w:rPr>
      <w:rFonts w:asciiTheme="majorHAnsi" w:eastAsiaTheme="majorEastAsia" w:hAnsiTheme="majorHAnsi" w:cstheme="majorBidi" w:ascii="Arial Unicode MS" w:hAnsi="Arial Unicode MS" w:eastAsia="Arial Unicode MS" w:cs="Arial Unicode MS"/>
      <w:b/>
      <w:bCs/>
      <w:color w:val="17324D"/>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Arial Unicode MS" w:hAnsi="Arial Unicode MS" w:eastAsia="Arial Unicode MS" w:cs="Arial Unicode MS"/>
      <w:b/>
      <w:color w:val="17324D"/>
      <w:spacing w:val="5"/>
      <w:kern w:val="28"/>
      <w:sz w:val="3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line="240" w:lineRule="auto"/>
    </w:pPr>
    <w:rPr>
      <w:rFonts w:asciiTheme="majorHAnsi" w:eastAsiaTheme="majorEastAsia" w:hAnsiTheme="majorHAnsi" w:cstheme="majorBidi" w:ascii="Arial Unicode MS" w:hAnsi="Arial Unicode MS" w:eastAsia="Arial Unicode MS" w:cs="Arial Unicode MS"/>
      <w:b w:val="0"/>
      <w:i/>
      <w:iCs/>
      <w:color w:val="5C6975"/>
      <w:spacing w:val="15"/>
      <w:sz w:val="1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Kicker">
    <w:name w:val="Report Kicker"/>
    <w:pPr>
      <w:spacing w:before="200" w:after="80"/>
    </w:pPr>
    <w:rPr>
      <w:rFonts w:ascii="Arial Unicode MS" w:hAnsi="Arial Unicode MS" w:eastAsia="Arial Unicode MS"/>
      <w:b/>
      <w:color w:val="5C697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image" Target="media/image3.png"/><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TD — Actor-Free TD-LeWM</dc:title>
  <dc:subject>Seven-method, three-score-mode Cube O50 study</dc:subject>
  <dc:creator/>
  <cp:keywords>TD-LeWM, Actor-Free, Cube, O50, successor features, goal critic</cp:keywords>
  <dc:description>generated by python-docx</dc:description>
  <cp:lastModifiedBy/>
  <cp:revision>1</cp:revision>
  <dcterms:created xsi:type="dcterms:W3CDTF">2013-12-23T23:15:00Z</dcterms:created>
  <dcterms:modified xsi:type="dcterms:W3CDTF">2013-12-23T23:15:00Z</dcterms:modified>
  <cp:category/>
</cp:coreProperties>
</file>