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seven-score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000000"/>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000000"/>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000000"/>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000000"/>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000000"/>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rPr>
          <w:color w:val="000000"/>
        </w:rP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rPr>
          <w:color w:val="000000"/>
        </w:rP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rPr>
          <w:color w:val="000000"/>
        </w:rP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rPr>
          <w:color w:val="000000"/>
        </w:rP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rPr>
          <w:color w:val="000000"/>
        </w:rP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rPr>
          <w:color w:val="000000"/>
        </w:rP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rPr>
          <w:color w:val="000000"/>
        </w:rPr>
        <w:t>Method definitions</w:t>
      </w:r>
    </w:p>
    <w:p>
      <w:pPr>
        <w:pStyle w:val="Heading2"/>
        <w:keepNext/>
      </w:pPr>
      <w:r>
        <w:rPr>
          <w:color w:val="000000"/>
        </w:rP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rPr>
          <w:color w:val="000000"/>
        </w:rP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rPr>
          <w:color w:val="000000"/>
        </w:rP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26-method, seven-score results and analysis</w:t>
      </w:r>
    </w:p>
    <w:p>
      <w:pPr>
        <w:spacing w:after="200"/>
      </w:pPr>
      <w:r>
        <w:rPr>
          <w:rFonts w:ascii="Arial Unicode MS" w:hAnsi="Arial Unicode MS" w:eastAsia="Arial Unicode MS"/>
          <w:b w:val="0"/>
          <w:color w:val="4B5563"/>
          <w:sz w:val="24"/>
        </w:rPr>
        <w:t>Cube · seed 3072 · 477 base + 8 endpoints + 20 alpha-sweep cells = 505 O50 cells</w:t>
      </w:r>
    </w:p>
    <w:p>
      <w:pPr>
        <w:spacing w:after="120"/>
      </w:pPr>
      <w:r>
        <w:rPr>
          <w:rFonts w:ascii="Arial Unicode MS" w:hAnsi="Arial Unicode MS" w:eastAsia="Arial Unicode MS"/>
          <w:b/>
          <w:color w:val="7A5A00"/>
          <w:sz w:val="21"/>
        </w:rPr>
        <w:t>The preceding pages preserve the detailed Legacy and V0/V1 method reference. This section now integrates the complete 477-cell base audit, eight strict C2-E10/C3-E12 endpoint cells, and all 20 First-Q alpha-sweep cells in one master matrix. Every result uses the same 50 start-goal pairs; the three audited components retain 25,250 Boolean outcomes. All training uses one seed, and alpha was selected on the same O50 set, so the 62% sweep peak is exploratory rather than an unbiased formal endpoint.</w:t>
      </w:r>
    </w:p>
    <w:p>
      <w:pPr>
        <w:pStyle w:val="Heading1"/>
        <w:keepNext/>
        <w:pageBreakBefore w:val="0"/>
        <w:spacing w:after="100"/>
      </w:pPr>
      <w:r>
        <w:rPr>
          <w:rFonts w:ascii="Arial Unicode MS" w:hAnsi="Arial Unicode MS" w:eastAsia="Arial Unicode MS"/>
          <w:b/>
          <w:color w:val="000000"/>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Highest tuned observation</w:t>
            </w:r>
          </w:p>
        </w:tc>
        <w:tc>
          <w:tcPr>
            <w:tcW w:type="dxa" w:w="3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V1-C3 Z-score First-Q2, alpha=0.1</w:t>
            </w:r>
          </w:p>
        </w:tc>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31/50 (62%); paired p=0.125 vs C3 State-V</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Exploratory only; confirm on disjoint dev/test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00000"/>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scalar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O50 cells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reports/artifacts/actor_free_td_lewm_first_q_alpha_sweep_023e8f8_20260906/alpha_sweep_results.csv</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ce6c7e99a1acbce2148fb26f14e824ddb08455672e22e694c58717e30b97f848</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validation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x 50 = 1,000 outcomes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reports/artifacts/actor_free_td_lewm_first_q_alpha_sweep_023e8f8_20260906/posthoc_validation.json</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bbdfe687179e7edd941159d60c1105d35173ae86119ad625f88f882e3293dc9d</w:t>
            </w:r>
          </w:p>
        </w:tc>
      </w:tr>
    </w:tbl>
    <w:p>
      <w:pPr>
        <w:spacing w:after="80"/>
      </w:pPr>
    </w:p>
    <w:p>
      <w:pPr>
        <w:spacing w:after="120"/>
      </w:pPr>
      <w:r>
        <w:rPr>
          <w:rFonts w:ascii="Arial Unicode MS" w:hAnsi="Arial Unicode MS" w:eastAsia="Arial Unicode MS"/>
          <w:b/>
          <w:color w:val="111827"/>
          <w:sz w:val="21"/>
        </w:rPr>
        <w:t>The original fixed-E10 analysis remains unchanged in its 477-cell base ledger. The table above now also indexes the 20-cell alpha-sweep scalar and validation ledgers; together with eight strict C2/C3 endpoint cells, the complete document covers 505 O50 cells and 25,250 pair-level outcomes.</w:t>
      </w:r>
    </w:p>
    <w:p>
      <w:pPr>
        <w:pStyle w:val="Heading1"/>
        <w:keepNext/>
        <w:pageBreakBefore/>
        <w:spacing w:after="100"/>
      </w:pPr>
      <w:r>
        <w:rPr>
          <w:rFonts w:ascii="Arial Unicode MS" w:hAnsi="Arial Unicode MS" w:eastAsia="Arial Unicode MS"/>
          <w:b/>
          <w:color w:val="000000"/>
          <w:sz w:val="32"/>
        </w:rPr>
        <w:t>How the seven evaluation methods are run</w:t>
      </w:r>
    </w:p>
    <w:p>
      <w:pPr>
        <w:spacing w:after="120"/>
      </w:pPr>
      <w:r>
        <w:rPr>
          <w:rFonts w:ascii="Arial Unicode MS" w:hAnsi="Arial Unicode MS" w:eastAsia="Arial Unicode MS"/>
          <w:b w:val="0"/>
          <w:color w:val="111827"/>
          <w:sz w:val="21"/>
        </w:rPr>
        <w:t>This section defines the seven score families in the 26-method matrix. z0 is the latent of the current real observation, z_g is the supplied goal-image latent, and z_k^F is the imagined latent after k LeWM steps. The affected V1-C and V1-C3 cells list every tested alpha directly in the same score column.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Base rows use fixed E10; C2 uses final E10; C3 uses final E12.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V1-C2, V2 and V2-EMA use e=E_A(A) from the shared Action Encoder. V1-C3 State-V has no action input after F produces z5.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 = ||z5^F - z_g||_2^2 - alpha 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gamma^4. Fixed-table default alpha=0.25; the integrated sweep also tests 0.1,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once at real z0 with A1. Each candidate set normalizes F-cost and first-Q separately.</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J_first2 = zscore_candidates(J_F) - alpha zscore_candidates(Q_G(z0,A1,g))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 Candidate statistics are recomputed each iteration; C3 tests alpha=0.025, 0.05, 0.075, 0.1, 0.15, 0.2, 0.25,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 terminal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 F completes all five blocks to z5^F; only the EMA State-V critic reads (z5^F,z_g).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J_V = V_bar(z5^F,z_g)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latent L2, G term, actor or gamma factor is added at inference; CEM minimizes predicted temporal cost-to-go.</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val="0"/>
        <w:spacing w:after="100"/>
      </w:pPr>
      <w:r>
        <w:rPr>
          <w:rFonts w:ascii="Arial Unicode MS" w:hAnsi="Arial Unicode MS" w:eastAsia="Arial Unicode MS"/>
          <w:b/>
          <w:color w:val="000000"/>
          <w:sz w:val="32"/>
        </w:rPr>
        <w:t>26-method, seven-score master comparison with the integrated alpha sweep</w:t>
      </w:r>
    </w:p>
    <w:p>
      <w:pPr>
        <w:spacing w:after="120"/>
      </w:pPr>
      <w:r>
        <w:rPr>
          <w:rFonts w:ascii="Arial Unicode MS" w:hAnsi="Arial Unicode MS" w:eastAsia="Arial Unicode MS"/>
          <w:b/>
          <w:color w:val="111827"/>
          <w:sz w:val="21"/>
        </w:rPr>
        <w:t>Read across a row to compare all available scores for one training method; read down a column only inside one version block. V1 includes C2/C3 beside C, followed inside the same master table by a dedicated alpha submatrix containing all 20 newly executed tests plus three reused alpha=0 anchors. Yellow marks a row best, blue a sweep-column best, and teal both; all ties are retained. Fixed-score and exploratory-sweep winners are kept as separate comparison scopes.</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Seven score columns; neutral missing cells are ignored;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Methods inside the same dynamic version band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r>
        <w:trPr>
          <w:cantSplit/>
        </w:trPr>
        <w:tc>
          <w:tcPr>
            <w:tcW w:type="dxa" w:w="2200"/>
            <w:vAlign w:val="center"/>
            <w:tcMar>
              <w:top w:w="80" w:type="dxa"/>
              <w:bottom w:w="80" w:type="dxa"/>
              <w:start w:w="120" w:type="dxa"/>
              <w:end w:w="120" w:type="dxa"/>
            </w:tcMar>
            <w:shd w:fill="EDE9FE"/>
          </w:tcPr>
          <w:p>
            <w:pPr>
              <w:spacing w:before="0" w:after="0" w:line="240" w:lineRule="auto"/>
              <w:jc w:val="left"/>
            </w:pPr>
            <w:r>
              <w:rPr>
                <w:rFonts w:ascii="Arial Unicode MS" w:hAnsi="Arial Unicode MS" w:eastAsia="Arial Unicode MS"/>
                <w:b w:val="0"/>
                <w:sz w:val="16"/>
              </w:rPr>
              <w:t>Alpha-sweep block</w:t>
            </w:r>
          </w:p>
        </w:tc>
        <w:tc>
          <w:tcPr>
            <w:tcW w:type="dxa" w:w="5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Twenty executed tests plus three reused alpha=0 anchors</w:t>
            </w:r>
          </w:p>
        </w:tc>
        <w:tc>
          <w:tcPr>
            <w:tcW w:type="dxa" w:w="7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Embedded in the V1 band; its row/column winners are separate from the fixed-score colors</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w:t>
      </w:r>
    </w:p>
    <w:p>
      <w:pPr>
        <w:spacing w:after="120"/>
      </w:pPr>
      <w:r>
        <w:rPr>
          <w:rFonts w:ascii="Arial Unicode MS" w:hAnsi="Arial Unicode MS" w:eastAsia="Arial Unicode MS"/>
          <w:b/>
          <w:color w:val="111827"/>
          <w:sz w:val="21"/>
        </w:rPr>
        <w:t>V1-C2 initializes every parameter from V1-C E10, freezes LeWM and its Action Encoder, and fine-tunes only G with L_C2=L_C+CE(p_F,p_Q): p_F is the softmax of negative candidate-normalized frozen-F terminal cost, while p_Q is the softmax of candidate-normalized Q_G(z0,A1,g). V1-C3 freezes the complete V1-C parent, including both G copies, and trains only an EMA-targeted MRN State-V critic with expectile-Huber TD (tau=0.03, gamma=0.98, n&lt;=50 primitive steps).</w:t>
      </w:r>
    </w:p>
    <w:p>
      <w:pPr>
        <w:pStyle w:val="Heading2"/>
        <w:keepNext/>
        <w:pageBreakBefore/>
        <w:spacing w:after="100"/>
      </w:pPr>
      <w:r>
        <w:rPr>
          <w:rFonts w:ascii="Arial Unicode MS" w:hAnsi="Arial Unicode MS" w:eastAsia="Arial Unicode MS"/>
          <w:b/>
          <w:color w:val="000000"/>
          <w:sz w:val="25"/>
        </w:rPr>
        <w:t>One 26 by 7 master matrix with all 20 alpha-sweep cells</w:t>
      </w:r>
    </w:p>
    <w:tbl>
      <w:tblPr>
        <w:tblStyle w:val="TableGrid"/>
        <w:tblW w:type="dxa" w:w="14400"/>
        <w:tblLayout w:type="fixed"/>
        <w:tblLook w:firstColumn="1" w:firstRow="1" w:lastColumn="0" w:lastRow="0" w:noHBand="0" w:noVBand="1" w:val="04A0"/>
        <w:tblInd w:w="120" w:type="dxa"/>
      </w:tblPr>
      <w:tblGrid>
        <w:gridCol w:w="900"/>
        <w:gridCol w:w="700"/>
        <w:gridCol w:w="2300"/>
        <w:gridCol w:w="1500"/>
        <w:gridCol w:w="1500"/>
        <w:gridCol w:w="1500"/>
        <w:gridCol w:w="1500"/>
        <w:gridCol w:w="1500"/>
        <w:gridCol w:w="1500"/>
        <w:gridCol w:w="1500"/>
      </w:tblGrid>
      <w:tr>
        <w:trPr>
          <w:tblHeader w:val="true"/>
          <w:cantSplit/>
        </w:trPr>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7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3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First-Q2</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State-V</w:t>
            </w:r>
          </w:p>
        </w:tc>
      </w:tr>
      <w:tr>
        <w:trPr>
          <w:cantSplit/>
        </w:trPr>
        <w:tc>
          <w:tcPr>
            <w:tcW w:type="dxa" w:w="9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7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2E8F0"/>
            <w:vMerge/>
            <w:tcBorders>
              <w:bottom w:val="single" w:sz="24" w:space="0" w:color="475569"/>
            </w:tcBorders>
          </w:tcPr>
          <w:p/>
        </w:tc>
        <w:tc>
          <w:tcPr>
            <w:tcW w:type="dxa" w:w="7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7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28/50 (56%)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L_C2=L_C+CE(p_F,p_Qfirst)</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C3</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L_C3=mean_i omega_tau(r_i)Huber_1(r_i)</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tcBorders>
              <w:bottom w:val="single" w:sz="24" w:space="0" w:color="047857"/>
            </w:tcBorders>
          </w:tcPr>
          <w:p/>
        </w:tc>
        <w:tc>
          <w:tcPr>
            <w:tcW w:type="dxa" w:w="7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14400"/>
            <w:gridSpan w:val="10"/>
            <w:tcMar>
              <w:top w:w="70" w:type="dxa"/>
              <w:start w:w="0" w:type="dxa"/>
              <w:bottom w:w="70" w:type="dxa"/>
              <w:end w:w="0" w:type="dxa"/>
            </w:tcMar>
          </w:tcPr>
          <w:p>
            <w:pPr>
              <w:spacing w:before="0" w:after="80"/>
              <w:jc w:val="left"/>
            </w:pPr>
            <w:r>
              <w:rPr>
                <w:rFonts w:ascii="Arial Unicode MS" w:hAnsi="Arial Unicode MS" w:eastAsia="Arial Unicode MS"/>
                <w:b/>
                <w:color w:val="006644"/>
                <w:sz w:val="17"/>
              </w:rPr>
              <w:t>V1 inference alpha sweep — 20 newly executed O50 cells; alpha=0 values are reused comparison anchors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Checkpoint and score</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Training loss</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alpha=0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.075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Raw</w:t>
                    <w:br/>
                    <w:t>State-V + 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FF2CC"/>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Z-score</w:t>
                    <w:br/>
                    <w:t>State-V + First-Q2</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31/50</w:t>
                    <w:br/>
                    <w:t>62%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 Original</w:t>
                    <w:br/>
                    <w:t>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bl>
          <w:p/>
        </w:tc>
      </w:tr>
      <w:tr>
        <w:trPr>
          <w:cantSplit/>
        </w:trPr>
        <w:tc>
          <w:tcPr>
            <w:tcW w:type="dxa" w:w="9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7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tcBorders>
              <w:bottom w:val="single" w:sz="24" w:space="0" w:color="B45309"/>
            </w:tcBorders>
          </w:tcPr>
          <w:p/>
        </w:tc>
        <w:tc>
          <w:tcPr>
            <w:tcW w:type="dxa" w:w="7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7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tcBorders>
              <w:bottom w:val="single" w:sz="24" w:space="0" w:color="6D28D9"/>
            </w:tcBorders>
          </w:tcPr>
          <w:p/>
        </w:tc>
        <w:tc>
          <w:tcPr>
            <w:tcW w:type="dxa" w:w="7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bl>
    <w:p>
      <w:pPr>
        <w:spacing w:after="80"/>
      </w:pPr>
    </w:p>
    <w:p>
      <w:pPr>
        <w:pStyle w:val="Heading1"/>
        <w:keepNext/>
        <w:pageBreakBefore/>
        <w:spacing w:after="100"/>
      </w:pPr>
      <w:r>
        <w:rPr>
          <w:rFonts w:ascii="Arial Unicode MS" w:hAnsi="Arial Unicode MS" w:eastAsia="Arial Unicode MS"/>
          <w:b/>
          <w:color w:val="000000"/>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remains V1-G3 at 27/50 (54%), and the highest fixed cell remains V1-C First-Q at 28/50 (56%). After integrating all 20 weight tests, the highest observed cell is V1-C3 Z-score First-Q2 at alpha=0.1, 31/50 (62%). Because alpha was chosen on the same O50 pairs and paired p=0.125 versus C3 State-V, this is an exploratory peak that must be confirmed on disjoint development and test pairs.</w:t>
      </w:r>
    </w:p>
    <w:p>
      <w:pPr>
        <w:pStyle w:val="Heading2"/>
        <w:keepNext/>
        <w:pageBreakBefore w:val="0"/>
        <w:spacing w:after="100"/>
      </w:pPr>
      <w:r>
        <w:rPr>
          <w:rFonts w:ascii="Arial Unicode MS" w:hAnsi="Arial Unicode MS" w:eastAsia="Arial Unicode MS"/>
          <w:b/>
          <w:color w:val="000000"/>
          <w:sz w:val="25"/>
        </w:rPr>
        <w:t>Within-version column winners</w:t>
      </w:r>
    </w:p>
    <w:tbl>
      <w:tblPr>
        <w:tblStyle w:val="TableGrid"/>
        <w:tblW w:type="dxa" w:w="14400"/>
        <w:tblLayout w:type="fixed"/>
        <w:tblLook w:firstColumn="1" w:firstRow="1" w:lastColumn="0" w:lastRow="0" w:noHBand="0" w:noVBand="1" w:val="04A0"/>
        <w:tblInd w:w="120" w:type="dxa"/>
      </w:tblPr>
      <w:tblGrid>
        <w:gridCol w:w="1450"/>
        <w:gridCol w:w="1850"/>
        <w:gridCol w:w="1850"/>
        <w:gridCol w:w="1850"/>
        <w:gridCol w:w="1850"/>
        <w:gridCol w:w="1850"/>
        <w:gridCol w:w="1850"/>
        <w:gridCol w:w="1850"/>
      </w:tblGrid>
      <w:tr>
        <w:trPr>
          <w:tblHeader w:val="true"/>
          <w:cantSplit/>
        </w:trPr>
        <w:tc>
          <w:tcPr>
            <w:tcW w:type="dxa" w:w="14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First-Q2</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State-V</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26/50</w:t>
            </w:r>
          </w:p>
        </w:tc>
      </w:tr>
      <w:tr>
        <w:trPr>
          <w:cantSplit/>
        </w:trPr>
        <w:tc>
          <w:tcPr>
            <w:tcW w:type="dxa" w:w="14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 alpha sweep</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alpha=.25/1 28/50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Z-score alpha=.10 31/50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alpha=0 anchor 26/50</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bl>
    <w:p>
      <w:pPr>
        <w:spacing w:after="80"/>
      </w:pPr>
    </w:p>
    <w:p>
      <w:pPr>
        <w:spacing w:after="120"/>
      </w:pPr>
      <w:r>
        <w:rPr>
          <w:rFonts w:ascii="Arial Unicode MS" w:hAnsi="Arial Unicode MS" w:eastAsia="Arial Unicode MS"/>
          <w:b w:val="0"/>
          <w:color w:val="111827"/>
          <w:sz w:val="21"/>
        </w:rPr>
        <w:t>This table is the textual counterpart of the winner fills in the master matrix. The first four rows retain the fixed-score version comparisons; the additional V1 sweep row separately reports the exploratory alpha winners so post-hoc tuning does not overwrite fixed endpoint colors.</w:t>
      </w:r>
    </w:p>
    <w:p>
      <w:pPr>
        <w:pStyle w:val="Heading2"/>
        <w:keepNext/>
        <w:pageBreakBefore w:val="0"/>
        <w:spacing w:after="100"/>
      </w:pPr>
      <w:r>
        <w:rPr>
          <w:rFonts w:ascii="Arial Unicode MS" w:hAnsi="Arial Unicode MS" w:eastAsia="Arial Unicode MS"/>
          <w:b/>
          <w:color w:val="000000"/>
          <w:sz w:val="25"/>
        </w:rPr>
        <w:t>V1-C2/C3 endpoint evidence</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Shared score</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 parent</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V1-C2</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C2-parent</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bl>
    <w:p>
      <w:pPr>
        <w:spacing w:after="80"/>
      </w:pPr>
    </w:p>
    <w:p>
      <w:pPr>
        <w:spacing w:after="120"/>
      </w:pPr>
      <w:r>
        <w:rPr>
          <w:rFonts w:ascii="Arial Unicode MS" w:hAnsi="Arial Unicode MS" w:eastAsia="Arial Unicode MS"/>
          <w:b/>
          <w:color w:val="111827"/>
          <w:sz w:val="21"/>
        </w:rPr>
        <w:t>Across the six comparable scores, C2 is 2 up / 3 tied / 1 down; mean delta +0.0 pp. C3 State-V is 26/50 (52%).</w:t>
      </w:r>
    </w:p>
    <w:p>
      <w:pPr>
        <w:spacing w:after="120"/>
      </w:pPr>
      <w:r>
        <w:rPr>
          <w:rFonts w:ascii="Arial Unicode MS" w:hAnsi="Arial Unicode MS" w:eastAsia="Arial Unicode MS"/>
          <w:b w:val="0"/>
          <w:color w:val="111827"/>
          <w:sz w:val="21"/>
        </w:rPr>
        <w:t>On the identical 50 pairs, the C3 early diagnostic is E3 28/50 (56%) versus the final E12 endpoint 26/50 (52%). Paired outcomes: both success 24, E3 only 4, E12 only 2, both failure 20; exact two-sided McNemar p=0.6875. E3 is diagnostic only and is excluded from the eight-cell master table.</w:t>
      </w:r>
    </w:p>
    <w:p>
      <w:pPr>
        <w:pStyle w:val="Heading3"/>
        <w:keepNext/>
        <w:pageBreakBefore w:val="0"/>
        <w:spacing w:after="100"/>
      </w:pPr>
      <w:r>
        <w:rPr>
          <w:rFonts w:ascii="Arial Unicode MS" w:hAnsi="Arial Unicode MS" w:eastAsia="Arial Unicode MS"/>
          <w:b/>
          <w:color w:val="000000"/>
          <w:sz w:val="25"/>
        </w:rPr>
        <w:t>Endpoint interpretation and next steps</w:t>
      </w:r>
    </w:p>
    <w:p>
      <w:pPr>
        <w:spacing w:after="120"/>
      </w:pPr>
      <w:r>
        <w:rPr>
          <w:rFonts w:ascii="Arial Unicode MS" w:hAnsi="Arial Unicode MS" w:eastAsia="Arial Unicode MS"/>
          <w:b/>
          <w:color w:val="111827"/>
          <w:sz w:val="21"/>
        </w:rPr>
        <w:t>C2 is mixed across the six shared scores: 2 up, 3 tied and 1 down, with mean delta +0.0 pp. First-Q changes -4 pp and First-Q2 changes +0 pp. This single-seed evidence does not establish a robust cross-readout ranking gain.</w:t>
      </w:r>
    </w:p>
    <w:p>
      <w:pPr>
        <w:spacing w:after="120"/>
      </w:pPr>
      <w:r>
        <w:rPr>
          <w:rFonts w:ascii="Arial Unicode MS" w:hAnsi="Arial Unicode MS" w:eastAsia="Arial Unicode MS"/>
          <w:b w:val="0"/>
          <w:color w:val="111827"/>
          <w:sz w:val="21"/>
        </w:rPr>
        <w:t>Final C3 State-V changes +6 pp versus V1-C F-only and -4 pp versus V1-C First-Q. Train State-V next on a controlled mixture of real latents and stopped-gradient F-imagined terminal latents to reduce the train/inference OOD gap.</w:t>
      </w:r>
    </w:p>
    <w:p>
      <w:pPr>
        <w:spacing w:after="120"/>
      </w:pPr>
      <w:r>
        <w:rPr>
          <w:rFonts w:ascii="Arial Unicode MS" w:hAnsi="Arial Unicode MS" w:eastAsia="Arial Unicode MS"/>
          <w:b w:val="0"/>
          <w:color w:val="111827"/>
          <w:sz w:val="21"/>
        </w:rPr>
        <w:t>The paired E3/E12 exact McNemar p-value is 0.6875. It is not significant at 0.05, so E3 must not replace the final endpoint post hoc. Select epochs on held-out development pairs or pre-register the early-stop rule.</w:t>
      </w:r>
    </w:p>
    <w:p>
      <w:pPr>
        <w:spacing w:after="120"/>
      </w:pPr>
      <w:r>
        <w:rPr>
          <w:rFonts w:ascii="Arial Unicode MS" w:hAnsi="Arial Unicode MS" w:eastAsia="Arial Unicode MS"/>
          <w:b/>
          <w:color w:val="7A5A00"/>
          <w:sz w:val="21"/>
        </w:rPr>
        <w:t>All endpoint comparisons are descriptive: one training seed and the same 50 formal pairs do not establish multi-seed superiority or causality.</w:t>
      </w:r>
    </w:p>
    <w:p>
      <w:pPr>
        <w:pStyle w:val="Heading2"/>
        <w:keepNext/>
        <w:pageBreakBefore w:val="0"/>
        <w:spacing w:after="100"/>
      </w:pPr>
      <w:r>
        <w:rPr>
          <w:rFonts w:ascii="Arial Unicode MS" w:hAnsi="Arial Unicode MS" w:eastAsia="Arial Unicode MS"/>
          <w:b/>
          <w:color w:val="000000"/>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000000"/>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00000"/>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000000"/>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00000"/>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V1-C2/C3 endpoints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E10 / C3 E12</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 + State-V integrated in master</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8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 / V1-C3</w:t>
            </w:r>
          </w:p>
        </w:tc>
        <w:tc>
          <w:tcPr>
            <w:tcW w:type="dxa" w:w="2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E10 / C3 E12</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 original + 5 C3 Raw + 10 C3 Z-score</w:t>
            </w:r>
          </w:p>
        </w:tc>
        <w:tc>
          <w:tcPr>
            <w:tcW w:type="dxa" w:w="1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sz w:val="17"/>
              </w:rPr>
              <w:t>TOTAL</w:t>
            </w:r>
          </w:p>
        </w:tc>
        <w:tc>
          <w:tcPr>
            <w:tcW w:type="dxa" w:w="18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22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7"/>
              </w:rPr>
              <w:t>Same locked O50 selection</w:t>
            </w:r>
          </w:p>
        </w:tc>
        <w:tc>
          <w:tcPr>
            <w:tcW w:type="dxa" w:w="19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sz w:val="17"/>
              </w:rPr>
              <w:t>505</w:t>
            </w:r>
          </w:p>
        </w:tc>
      </w:tr>
    </w:tbl>
    <w:p>
      <w:pPr>
        <w:spacing w:after="80"/>
      </w:pPr>
    </w:p>
    <w:p>
      <w:pPr>
        <w:spacing w:after="120"/>
      </w:pPr>
      <w:r>
        <w:rPr>
          <w:rFonts w:ascii="Arial Unicode MS" w:hAnsi="Arial Unicode MS" w:eastAsia="Arial Unicode MS"/>
          <w:b w:val="0"/>
          <w:color w:val="111827"/>
          <w:sz w:val="21"/>
        </w:rPr>
        <w:t>The original 24-row comparison deliberately uses fixed E10; C2 uses final E10 and C3 uses final E12.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00000"/>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Frozen-F candidate ranking teacher</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L_C2=L_C+CE(softmax(-z(J_F)),softmax(z(Q_first)))</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Fine-tune G only; align real-state First-Q with the five-block F planner</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Same-episode primitive temporal cost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E[omega_tau(r)Huber_1(r)], r=V_psi-sg(y), tau=0.03</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only MRN State-V; frozen V1-C parent; EMA bootstrap</w:t>
            </w:r>
          </w:p>
        </w:tc>
      </w:tr>
    </w:tbl>
    <w:p>
      <w:pPr>
        <w:spacing w:after="80"/>
      </w:pPr>
    </w:p>
    <w:p>
      <w:pPr>
        <w:pStyle w:val="Heading1"/>
        <w:keepNext/>
        <w:pageBreakBefore/>
        <w:spacing w:after="100"/>
      </w:pPr>
      <w:r>
        <w:rPr>
          <w:rFonts w:ascii="Arial Unicode MS" w:hAnsi="Arial Unicode MS" w:eastAsia="Arial Unicode MS"/>
          <w:b/>
          <w:color w:val="000000"/>
          <w:sz w:val="32"/>
        </w:rPr>
        <w:t>Seven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 terminal cost - alpha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z_cand(F terminal cost) - alpha z_cand(Q_G(z0,A1,g))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Candidate-set normalization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V_bar(F^5(z0,A1:5),z_g)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 is not used</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Temporal-value calibration / imagined terminal state</w:t>
            </w:r>
          </w:p>
        </w:tc>
      </w:tr>
    </w:tbl>
    <w:p>
      <w:pPr>
        <w:spacing w:after="80"/>
      </w:pPr>
    </w:p>
    <w:p>
      <w:pPr>
        <w:pStyle w:val="Heading1"/>
        <w:keepNext/>
        <w:pageBreakBefore/>
        <w:spacing w:after="100"/>
      </w:pPr>
      <w:r>
        <w:rPr>
          <w:rFonts w:ascii="Arial Unicode MS" w:hAnsi="Arial Unicode MS" w:eastAsia="Arial Unicode MS"/>
          <w:b/>
          <w:color w:val="000000"/>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When hash-bound endpoint training metrics are present, the final compact figure adds C2/C3 convergence and diagnostics.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2"/>
        <w:keepNext/>
        <w:pageBreakBefore w:val="0"/>
        <w:spacing w:after="100"/>
      </w:pPr>
      <w:r>
        <w:rPr>
          <w:rFonts w:ascii="Arial Unicode MS" w:hAnsi="Arial Unicode MS" w:eastAsia="Arial Unicode MS"/>
          <w:b/>
          <w:color w:val="000000"/>
          <w:sz w:val="25"/>
        </w:rPr>
        <w:t>V1-C2/C3 endpoint training evidence</w:t>
      </w:r>
    </w:p>
    <w:tbl>
      <w:tblPr>
        <w:tblStyle w:val="TableGrid"/>
        <w:tblW w:type="dxa" w:w="14400"/>
        <w:tblLayout w:type="fixed"/>
        <w:tblLook w:firstColumn="1" w:firstRow="1" w:lastColumn="0" w:lastRow="0" w:noHBand="0" w:noVBand="1" w:val="04A0"/>
        <w:tblInd w:w="120" w:type="dxa"/>
      </w:tblPr>
      <w:tblGrid>
        <w:gridCol w:w="1900"/>
        <w:gridCol w:w="4100"/>
        <w:gridCol w:w="2600"/>
        <w:gridCol w:w="2600"/>
        <w:gridCol w:w="32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Metric</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 epoch</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Final epoch</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Change</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total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26033.77</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25074.55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base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965.30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812.76</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-15.8%</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ranking CE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3.1343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3.1317</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top-1 agreement</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9.09</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9.22</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+0.13 pp; random 6.25%</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0.3932</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0.3459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0.3203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0.2940</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MC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12.750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12.029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residual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9.935</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9.233</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Spearman</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0.6420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+0.0035</w:t>
            </w:r>
          </w:p>
        </w:tc>
      </w:tr>
    </w:tbl>
    <w:p>
      <w:pPr>
        <w:spacing w:after="80"/>
      </w:pPr>
    </w:p>
    <w:p>
      <w:pPr>
        <w:spacing w:after="120"/>
      </w:pPr>
      <w:r>
        <w:rPr>
          <w:rFonts w:ascii="Arial Unicode MS" w:hAnsi="Arial Unicode MS" w:eastAsia="Arial Unicode MS"/>
          <w:b/>
          <w:color w:val="111827"/>
          <w:sz w:val="21"/>
        </w:rPr>
        <w:t>C2 ranking CE ends at 3.1317 versus train total 25074.55 (0.0125% by raw value), while top-1 agreement changes only from 9.09% to 9.22%. This does not prove a gradient-scale cause, but supports testing normalized losses and adaptive or gradient-balanced weighting instead of another fixed weight.</w:t>
      </w:r>
    </w:p>
    <w:p>
      <w:pPr>
        <w:jc w:val="center"/>
      </w:pPr>
      <w:r>
        <w:drawing>
          <wp:inline xmlns:a="http://schemas.openxmlformats.org/drawingml/2006/main" xmlns:pic="http://schemas.openxmlformats.org/drawingml/2006/picture">
            <wp:extent cx="8412480" cy="4673600"/>
            <wp:docPr id="7" name="Picture 7" title="Figure 5. V1-C2 and V1-C3 training, validation and diagnostic trajectories" descr="C2 covers E1-E10 and C3 covers E1-E12. Loss magnitudes are only comparable within a method; C2 top-1 random reference is 6.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412480" cy="4673600"/>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5. V1-C2 and V1-C3 training, validation and diagnostic trajectories</w:t>
      </w:r>
    </w:p>
    <w:p>
      <w:pPr>
        <w:pStyle w:val="Heading1"/>
        <w:keepNext/>
        <w:pageBreakBefore/>
        <w:spacing w:after="100"/>
      </w:pPr>
      <w:r>
        <w:rPr>
          <w:rFonts w:ascii="Arial Unicode MS" w:hAnsi="Arial Unicode MS" w:eastAsia="Arial Unicode MS"/>
          <w:b/>
          <w:color w:val="000000"/>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00000"/>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sectPr>
          <w:headerReference w:type="default" r:id="rId17"/>
          <w:headerReference w:type="even" r:id="rId18"/>
          <w:footerReference w:type="default" r:id="rId19"/>
          <w:footerReference w:type="even" r:id="rId20"/>
          <w:headerReference w:type="first" r:id="rId21"/>
          <w:footerReference w:type="first" r:id="rId22"/>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000000"/>
          <w:sz w:val="25"/>
        </w:rPr>
        <w:t>F with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000000"/>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00000"/>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000000"/>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sectPr>
          <w:headerReference w:type="default" r:id="rId28"/>
          <w:headerReference w:type="even" r:id="rId29"/>
          <w:footerReference w:type="default" r:id="rId30"/>
          <w:footerReference w:type="even" r:id="rId31"/>
          <w:headerReference w:type="first" r:id="rId32"/>
          <w:footerReference w:type="first" r:id="rId33"/>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00000"/>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 505 = 477 base + 8 C2/C3 endpoints + 20 alpha-sweep cells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25,250 / 25,250 = 23,850 base + 400 endpoints + 1,000 alpha-sweep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C2/C3 endpoint extension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 / 8 strict cells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 20 strict cells; 1,000 pair-level outcomes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Alpha-sweep evidence</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CSV SHA-256 ce6c7e99a1acbce2148fb26f14e824ddb08455672e22e694c58717e30b97f848; validation SHA-256 bbdfe687179e7edd941159d60c1105d35173ae86119ad625f88f882e3293dc9d</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Grand total</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O50 cells; 25,250 pair-level Boolean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One training seed; base rules fixed, C2 E10 and C3 E12 fixed; alpha chosen on this O50 is exploratory</w:t>
            </w:r>
          </w:p>
        </w:tc>
      </w:tr>
    </w:tbl>
    <w:p>
      <w:pPr>
        <w:spacing w:after="80"/>
      </w:pPr>
    </w:p>
    <w:p>
      <w:r>
        <w:br w:type="page"/>
      </w:r>
    </w:p>
    <w:p>
      <w:pPr>
        <w:pStyle w:val="Heading1"/>
      </w:pPr>
      <w:r>
        <w:rPr>
          <w:color w:val="000000"/>
        </w:rPr>
        <w:t>First Q alpha sensitivity</w:t>
      </w:r>
    </w:p>
    <w:p>
      <w:pPr>
        <w:spacing w:after="160"/>
      </w:pPr>
      <w:r>
        <w:t>This section compares First-Q fusion weights on fixed checkpoints. The highest observed result is V1-C3 Z-score First-Q2 at alpha=0.1: 31/50 (62%). Because alpha was selected on the same O50 pairs, this is an exploratory tuning result, not a replacement for a pre-registered endpoint.</w:t>
      </w:r>
    </w:p>
    <w:p>
      <w:pPr>
        <w:pStyle w:val="Heading2"/>
      </w:pPr>
      <w:r>
        <w:rPr>
          <w:color w:val="000000"/>
        </w:rPr>
        <w:t>Score paths and fixed training objectives</w:t>
      </w:r>
    </w:p>
    <w:p>
      <w:pPr>
        <w:spacing w:after="100"/>
      </w:pPr>
      <w:r>
        <w:t>No model was retrained in this sweep. Both C3 scores use the V1-C3 E12 checkpoint and retain training loss L_C3. Original First-Q uses the V1-C E10 checkpoint and retains training loss L_C. Only the CEM inference cost changes.</w:t>
      </w:r>
    </w:p>
    <w:p>
      <w:pPr>
        <w:spacing w:after="40"/>
        <w:jc w:val="center"/>
      </w:pPr>
      <w:r>
        <w:drawing>
          <wp:inline xmlns:a="http://schemas.openxmlformats.org/drawingml/2006/main" xmlns:pic="http://schemas.openxmlformats.org/drawingml/2006/picture">
            <wp:extent cx="5120640" cy="481673"/>
            <wp:docPr id="8" name="Picture 8"/>
            <wp:cNvGraphicFramePr>
              <a:graphicFrameLocks noChangeAspect="1"/>
            </wp:cNvGraphicFramePr>
            <a:graphic>
              <a:graphicData uri="http://schemas.openxmlformats.org/drawingml/2006/picture">
                <pic:pic>
                  <pic:nvPicPr>
                    <pic:cNvPr id="0" name="c3_raw.png"/>
                    <pic:cNvPicPr/>
                  </pic:nvPicPr>
                  <pic:blipFill>
                    <a:blip r:embed="rId40"/>
                    <a:stretch>
                      <a:fillRect/>
                    </a:stretch>
                  </pic:blipFill>
                  <pic:spPr>
                    <a:xfrm>
                      <a:off x="0" y="0"/>
                      <a:ext cx="5120640" cy="481673"/>
                    </a:xfrm>
                    <a:prstGeom prst="rect"/>
                  </pic:spPr>
                </pic:pic>
              </a:graphicData>
            </a:graphic>
          </wp:inline>
        </w:drawing>
      </w:r>
    </w:p>
    <w:p>
      <w:pPr>
        <w:spacing w:after="40"/>
        <w:jc w:val="center"/>
      </w:pPr>
      <w:r>
        <w:drawing>
          <wp:inline xmlns:a="http://schemas.openxmlformats.org/drawingml/2006/main" xmlns:pic="http://schemas.openxmlformats.org/drawingml/2006/picture">
            <wp:extent cx="6675120" cy="499742"/>
            <wp:docPr id="9" name="Picture 9"/>
            <wp:cNvGraphicFramePr>
              <a:graphicFrameLocks noChangeAspect="1"/>
            </wp:cNvGraphicFramePr>
            <a:graphic>
              <a:graphicData uri="http://schemas.openxmlformats.org/drawingml/2006/picture">
                <pic:pic>
                  <pic:nvPicPr>
                    <pic:cNvPr id="0" name="c3_z.png"/>
                    <pic:cNvPicPr/>
                  </pic:nvPicPr>
                  <pic:blipFill>
                    <a:blip r:embed="rId41"/>
                    <a:stretch>
                      <a:fillRect/>
                    </a:stretch>
                  </pic:blipFill>
                  <pic:spPr>
                    <a:xfrm>
                      <a:off x="0" y="0"/>
                      <a:ext cx="6675120" cy="499742"/>
                    </a:xfrm>
                    <a:prstGeom prst="rect"/>
                  </pic:spPr>
                </pic:pic>
              </a:graphicData>
            </a:graphic>
          </wp:inline>
        </w:drawing>
      </w:r>
    </w:p>
    <w:p>
      <w:pPr>
        <w:spacing w:after="40"/>
        <w:jc w:val="center"/>
      </w:pPr>
      <w:r>
        <w:drawing>
          <wp:inline xmlns:a="http://schemas.openxmlformats.org/drawingml/2006/main" xmlns:pic="http://schemas.openxmlformats.org/drawingml/2006/picture">
            <wp:extent cx="5212080" cy="572425"/>
            <wp:docPr id="10" name="Picture 10"/>
            <wp:cNvGraphicFramePr>
              <a:graphicFrameLocks noChangeAspect="1"/>
            </wp:cNvGraphicFramePr>
            <a:graphic>
              <a:graphicData uri="http://schemas.openxmlformats.org/drawingml/2006/picture">
                <pic:pic>
                  <pic:nvPicPr>
                    <pic:cNvPr id="0" name="v1c.png"/>
                    <pic:cNvPicPr/>
                  </pic:nvPicPr>
                  <pic:blipFill>
                    <a:blip r:embed="rId42"/>
                    <a:stretch>
                      <a:fillRect/>
                    </a:stretch>
                  </pic:blipFill>
                  <pic:spPr>
                    <a:xfrm>
                      <a:off x="0" y="0"/>
                      <a:ext cx="5212080" cy="572425"/>
                    </a:xfrm>
                    <a:prstGeom prst="rect"/>
                  </pic:spPr>
                </pic:pic>
              </a:graphicData>
            </a:graphic>
          </wp:inline>
        </w:drawing>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600"/>
        <w:gridCol w:w="3600"/>
        <w:gridCol w:w="3600"/>
        <w:gridCol w:w="3600"/>
      </w:tblGrid>
      <w:tr>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Score</w:t>
            </w:r>
          </w:p>
        </w:tc>
        <w:tc>
          <w:tcPr>
            <w:tcW w:type="dxa" w:w="2088"/>
            <w:shd w:fill="1F4E78"/>
            <w:vAlign w:val="center"/>
            <w:tcMar>
              <w:top w:w="70" w:type="dxa"/>
              <w:start w:w="80" w:type="dxa"/>
              <w:bottom w:w="70" w:type="dxa"/>
              <w:end w:w="80" w:type="dxa"/>
            </w:tcMar>
          </w:tcPr>
          <w:p>
            <w:pPr>
              <w:spacing w:before="0" w:after="0" w:line="252" w:lineRule="auto"/>
              <w:jc w:val="center"/>
            </w:pPr>
            <w:r>
              <w:rPr>
                <w:b/>
                <w:color w:val="FFFFFF"/>
                <w:sz w:val="16"/>
              </w:rPr>
              <w:t>Fixed checkpoint and loss</w:t>
            </w:r>
          </w:p>
        </w:tc>
        <w:tc>
          <w:tcPr>
            <w:tcW w:type="dxa" w:w="5112"/>
            <w:shd w:fill="1F4E78"/>
            <w:vAlign w:val="center"/>
            <w:tcMar>
              <w:top w:w="70" w:type="dxa"/>
              <w:start w:w="80" w:type="dxa"/>
              <w:bottom w:w="70" w:type="dxa"/>
              <w:end w:w="80" w:type="dxa"/>
            </w:tcMar>
          </w:tcPr>
          <w:p>
            <w:pPr>
              <w:spacing w:before="0" w:after="0" w:line="252" w:lineRule="auto"/>
              <w:jc w:val="center"/>
            </w:pPr>
            <w:r>
              <w:rPr>
                <w:b/>
                <w:color w:val="FFFFFF"/>
                <w:sz w:val="16"/>
              </w:rPr>
              <w:t>Input path</w:t>
            </w:r>
          </w:p>
        </w:tc>
        <w:tc>
          <w:tcPr>
            <w:tcW w:type="dxa" w:w="4824"/>
            <w:shd w:fill="1F4E78"/>
            <w:vAlign w:val="center"/>
            <w:tcMar>
              <w:top w:w="70" w:type="dxa"/>
              <w:start w:w="80" w:type="dxa"/>
              <w:bottom w:w="70" w:type="dxa"/>
              <w:end w:w="80" w:type="dxa"/>
            </w:tcMar>
          </w:tcPr>
          <w:p>
            <w:pPr>
              <w:spacing w:before="0" w:after="0" w:line="252" w:lineRule="auto"/>
              <w:jc w:val="center"/>
            </w:pPr>
            <w:r>
              <w:rPr>
                <w:b/>
                <w:color w:val="FFFFFF"/>
                <w:sz w:val="16"/>
              </w:rPr>
              <w:t>CEM minimized objective</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C3 Raw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EMA State-V reads the F five-step terminal latent;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Raw State-V cost minus α times raw First-Q.</w:t>
            </w:r>
          </w:p>
        </w:tc>
      </w:tr>
      <w:tr>
        <w:tc>
          <w:tcPr>
            <w:tcW w:type="dxa" w:w="2376"/>
            <w:shd w:fill="EAF2F8"/>
            <w:vAlign w:val="center"/>
            <w:tcMar>
              <w:top w:w="70" w:type="dxa"/>
              <w:start w:w="80" w:type="dxa"/>
              <w:bottom w:w="70" w:type="dxa"/>
              <w:end w:w="80" w:type="dxa"/>
            </w:tcMar>
          </w:tcPr>
          <w:p>
            <w:pPr>
              <w:spacing w:before="0" w:after="0" w:line="252" w:lineRule="auto"/>
              <w:jc w:val="left"/>
            </w:pPr>
            <w:r>
              <w:rPr>
                <w:b/>
                <w:color w:val="000000"/>
                <w:sz w:val="16"/>
              </w:rPr>
              <w:t>C3 Z-score First-Q2</w:t>
            </w:r>
          </w:p>
        </w:tc>
        <w:tc>
          <w:tcPr>
            <w:tcW w:type="dxa" w:w="2088"/>
            <w:shd w:fill="EAF2F8"/>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EAF2F8"/>
            <w:vAlign w:val="center"/>
            <w:tcMar>
              <w:top w:w="70" w:type="dxa"/>
              <w:start w:w="80" w:type="dxa"/>
              <w:bottom w:w="70" w:type="dxa"/>
              <w:end w:w="80" w:type="dxa"/>
            </w:tcMar>
          </w:tcPr>
          <w:p>
            <w:pPr>
              <w:spacing w:before="0" w:after="0" w:line="252" w:lineRule="auto"/>
              <w:jc w:val="left"/>
            </w:pPr>
            <w:r>
              <w:rPr>
                <w:b w:val="0"/>
                <w:color w:val="000000"/>
                <w:sz w:val="16"/>
              </w:rPr>
              <w:t>The same State-V and First-Q paths; each is population-z-scored inside the current CEM candidate set.</w:t>
            </w:r>
          </w:p>
        </w:tc>
        <w:tc>
          <w:tcPr>
            <w:tcW w:type="dxa" w:w="4824"/>
            <w:shd w:fill="EAF2F8"/>
            <w:vAlign w:val="center"/>
            <w:tcMar>
              <w:top w:w="70" w:type="dxa"/>
              <w:start w:w="80" w:type="dxa"/>
              <w:bottom w:w="70" w:type="dxa"/>
              <w:end w:w="80" w:type="dxa"/>
            </w:tcMar>
          </w:tcPr>
          <w:p>
            <w:pPr>
              <w:spacing w:before="0" w:after="0" w:line="252" w:lineRule="auto"/>
              <w:jc w:val="left"/>
            </w:pPr>
            <w:r>
              <w:rPr>
                <w:b w:val="0"/>
                <w:color w:val="000000"/>
                <w:sz w:val="16"/>
              </w:rPr>
              <w:t>Normalized State-V cost minus α times normalized First-Q.</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Original V1-C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 E10</w:t>
              <w:br/>
              <w:t>L_C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F rolls five blocks to z5;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Terminal latent goal distance minus α times raw First-Q.</w:t>
            </w:r>
          </w:p>
        </w:tc>
      </w:tr>
    </w:tbl>
    <w:p/>
    <w:p>
      <w:pPr>
        <w:pStyle w:val="Heading2"/>
      </w:pPr>
      <w:r>
        <w:rPr>
          <w:color w:val="000000"/>
        </w:rPr>
        <w:t>Unified O50 alpha-result matrix</w:t>
      </w:r>
    </w:p>
    <w:p>
      <w:pPr>
        <w:spacing w:after="100"/>
      </w:pPr>
      <w:r>
        <w:t>Every cell uses the same 50 start-goal pairs. Alpha=0 was not rerun: for C3 it equals the existing State-V result, and for V1-C it equals the existing F-only result. Yellow marks each row best, blue marks each column best, and cyan marks a cell that is both; all ties are retained.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1108"/>
        <w:gridCol w:w="1108"/>
        <w:gridCol w:w="1108"/>
        <w:gridCol w:w="1108"/>
        <w:gridCol w:w="1108"/>
        <w:gridCol w:w="1108"/>
        <w:gridCol w:w="1108"/>
        <w:gridCol w:w="1108"/>
        <w:gridCol w:w="1108"/>
        <w:gridCol w:w="1108"/>
        <w:gridCol w:w="1108"/>
        <w:gridCol w:w="1108"/>
        <w:gridCol w:w="1108"/>
      </w:tblGrid>
      <w:tr>
        <w:tc>
          <w:tcPr>
            <w:tcW w:type="dxa" w:w="2951"/>
            <w:shd w:fill="1F4E78"/>
            <w:vAlign w:val="center"/>
            <w:tcMar>
              <w:top w:w="70" w:type="dxa"/>
              <w:start w:w="80" w:type="dxa"/>
              <w:bottom w:w="70" w:type="dxa"/>
              <w:end w:w="80" w:type="dxa"/>
            </w:tcMar>
          </w:tcPr>
          <w:p>
            <w:pPr>
              <w:spacing w:before="0" w:after="0" w:line="252" w:lineRule="auto"/>
              <w:jc w:val="center"/>
            </w:pPr>
            <w:r>
              <w:rPr>
                <w:b/>
                <w:color w:val="FFFFFF"/>
                <w:sz w:val="14"/>
              </w:rPr>
              <w:t>Fixed checkpoint and score</w:t>
            </w:r>
          </w:p>
        </w:tc>
        <w:tc>
          <w:tcPr>
            <w:tcW w:type="dxa" w:w="1036"/>
            <w:shd w:fill="1F4E78"/>
            <w:vAlign w:val="center"/>
            <w:tcMar>
              <w:top w:w="70" w:type="dxa"/>
              <w:start w:w="80" w:type="dxa"/>
              <w:bottom w:w="70" w:type="dxa"/>
              <w:end w:w="80" w:type="dxa"/>
            </w:tcMar>
          </w:tcPr>
          <w:p>
            <w:pPr>
              <w:spacing w:before="0" w:after="0" w:line="252" w:lineRule="auto"/>
              <w:jc w:val="center"/>
            </w:pPr>
            <w:r>
              <w:rPr>
                <w:b/>
                <w:color w:val="FFFFFF"/>
                <w:sz w:val="14"/>
              </w:rPr>
              <w:t>Training loss</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α=0</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0.075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2</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V1-C3 Raw</w:t>
              <w:br/>
              <w:t>State-V + 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2CC"/>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r>
      <w:tr>
        <w:tc>
          <w:tcPr>
            <w:tcW w:type="dxa" w:w="2951"/>
            <w:shd w:fill="EAF2F8"/>
            <w:vAlign w:val="center"/>
            <w:tcMar>
              <w:top w:w="70" w:type="dxa"/>
              <w:start w:w="80" w:type="dxa"/>
              <w:bottom w:w="70" w:type="dxa"/>
              <w:end w:w="80" w:type="dxa"/>
            </w:tcMar>
          </w:tcPr>
          <w:p>
            <w:pPr>
              <w:spacing w:before="0" w:after="0" w:line="252" w:lineRule="auto"/>
              <w:jc w:val="left"/>
            </w:pPr>
            <w:r>
              <w:rPr>
                <w:b/>
                <w:color w:val="000000"/>
                <w:sz w:val="14"/>
              </w:rPr>
              <w:t>V1-C3 Z-score</w:t>
              <w:br/>
              <w:t>State-V + First-Q2</w:t>
            </w:r>
          </w:p>
        </w:tc>
        <w:tc>
          <w:tcPr>
            <w:tcW w:type="dxa" w:w="1036"/>
            <w:shd w:fill="EAF2F8"/>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31/50</w:t>
              <w:br/>
              <w:t>62%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 Original</w:t>
              <w:br/>
              <w:t>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bl>
    <w:p>
      <w:pPr>
        <w:pStyle w:val="Heading2"/>
      </w:pPr>
      <w:r>
        <w:rPr>
          <w:color w:val="000000"/>
        </w:rPr>
        <w:t>Paired analysis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880"/>
        <w:gridCol w:w="2880"/>
        <w:gridCol w:w="2880"/>
        <w:gridCol w:w="2880"/>
        <w:gridCol w:w="2880"/>
      </w:tblGrid>
      <w:tr>
        <w:tc>
          <w:tcPr>
            <w:tcW w:type="dxa" w:w="5760"/>
            <w:shd w:fill="1F4E78"/>
            <w:vAlign w:val="center"/>
            <w:tcMar>
              <w:top w:w="70" w:type="dxa"/>
              <w:start w:w="80" w:type="dxa"/>
              <w:bottom w:w="70" w:type="dxa"/>
              <w:end w:w="80" w:type="dxa"/>
            </w:tcMar>
          </w:tcPr>
          <w:p>
            <w:pPr>
              <w:spacing w:before="0" w:after="0" w:line="252" w:lineRule="auto"/>
              <w:jc w:val="center"/>
            </w:pPr>
            <w:r>
              <w:rPr>
                <w:b/>
                <w:color w:val="FFFFFF"/>
                <w:sz w:val="16"/>
              </w:rPr>
              <w:t>Comparison</w:t>
            </w:r>
          </w:p>
        </w:tc>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Success-count change</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New-only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Reference-only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Exact McNemar p</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C3 State-V α=0</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26 → 31</w:t>
              <w:br/>
              <w:t>+10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6</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0.125</w:t>
            </w:r>
          </w:p>
        </w:tc>
      </w:tr>
      <w:tr>
        <w:tc>
          <w:tcPr>
            <w:tcW w:type="dxa" w:w="5760"/>
            <w:shd w:fill="EAF2F8"/>
            <w:vAlign w:val="center"/>
            <w:tcMar>
              <w:top w:w="70" w:type="dxa"/>
              <w:start w:w="80" w:type="dxa"/>
              <w:bottom w:w="70" w:type="dxa"/>
              <w:end w:w="80" w:type="dxa"/>
            </w:tcMar>
          </w:tcPr>
          <w:p>
            <w:pPr>
              <w:spacing w:before="0" w:after="0" w:line="252" w:lineRule="auto"/>
              <w:jc w:val="left"/>
            </w:pPr>
            <w:r>
              <w:rPr>
                <w:b w:val="0"/>
                <w:color w:val="000000"/>
                <w:sz w:val="16"/>
              </w:rPr>
              <w:t>C3 Z-score α=0.1 vs V1-C First-Q α=0.25</w:t>
            </w:r>
          </w:p>
        </w:tc>
        <w:tc>
          <w:tcPr>
            <w:tcW w:type="dxa" w:w="2376"/>
            <w:shd w:fill="EAF2F8"/>
            <w:vAlign w:val="center"/>
            <w:tcMar>
              <w:top w:w="70" w:type="dxa"/>
              <w:start w:w="80" w:type="dxa"/>
              <w:bottom w:w="70" w:type="dxa"/>
              <w:end w:w="80" w:type="dxa"/>
            </w:tcMar>
          </w:tcPr>
          <w:p>
            <w:pPr>
              <w:spacing w:before="0" w:after="0" w:line="252" w:lineRule="auto"/>
              <w:jc w:val="center"/>
            </w:pPr>
            <w:r>
              <w:rPr>
                <w:b w:val="0"/>
                <w:color w:val="000000"/>
                <w:sz w:val="16"/>
              </w:rPr>
              <w:t>28 → 31</w:t>
              <w:br/>
              <w:t>+6 pp</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0.375</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Legacy Hybrid F+G</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27 → 31</w:t>
              <w:br/>
              <w:t>+8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8</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0.3877</w:t>
            </w:r>
          </w:p>
        </w:tc>
      </w:tr>
    </w:tbl>
    <w:p>
      <w:pPr>
        <w:pStyle w:val="Heading2"/>
      </w:pPr>
      <w:r>
        <w:rPr>
          <w:color w:val="000000"/>
        </w:rPr>
        <w:t>Interpretation and next step</w:t>
      </w:r>
    </w:p>
    <w:p>
      <w:pPr>
        <w:spacing w:after="100"/>
      </w:pPr>
      <w:r>
        <w:rPr>
          <w:b/>
          <w:color w:val="000000"/>
        </w:rPr>
        <w:t>Highest observed result. C3 Z-score alpha=0.1 reaches 31/50 (62%), five more successful pairs than C3 State-V. However, paired p=0.125 and the weight was selected on the same O50 set, so this is not an unbiased formal optimum.</w:t>
      </w:r>
      <w:r/>
    </w:p>
    <w:p>
      <w:pPr>
        <w:spacing w:after="100"/>
      </w:pPr>
      <w:r>
        <w:rPr>
          <w:b/>
          <w:color w:val="000000"/>
        </w:rPr>
        <w:t>Scale calibration is decisive. C3 Raw at alpha=0.1 only ties State-V, and alpha&gt;=0.25 falls to 42%-44%. After candidate-wise z-scoring, a small First-Q weight can contribute complementary first-step reachability information.</w:t>
      </w:r>
      <w:r/>
    </w:p>
    <w:p>
      <w:pPr>
        <w:spacing w:after="100"/>
      </w:pPr>
      <w:r>
        <w:rPr>
          <w:b/>
          <w:color w:val="000000"/>
        </w:rPr>
        <w:t>The optimum is sharp. Alpha=0.075, 0.1 and 0.15 yield 54%, 62% and 46%, respectively. CEM elite ranking is sensitive to small weight changes; alpha=0.1 is not yet a demonstrated stable plateau.</w:t>
      </w:r>
      <w:r/>
    </w:p>
    <w:p>
      <w:pPr>
        <w:spacing w:after="100"/>
      </w:pPr>
      <w:r>
        <w:rPr>
          <w:b/>
          <w:color w:val="000000"/>
        </w:rPr>
        <w:t>Original First-Q is more tolerant. V1-C reaches 28/50 (56%) at alpha=0.25 and alpha=1, and 27/50 (54%) at alpha=0.5, but it does not match the best observed C3 Z-score result in this sweep.</w:t>
      </w:r>
      <w:r/>
    </w:p>
    <w:p>
      <w:pPr>
        <w:spacing w:after="100"/>
      </w:pPr>
      <w:r>
        <w:rPr>
          <w:b/>
          <w:color w:val="000000"/>
        </w:rPr>
        <w:t>Reproduction boundary. Historical C3 Z-score alpha=0.25 was 27/50, versus 26/50 here. Three pairs flipped, for a net difference of one; changes of one or two episodes should not be overinterpreted.</w:t>
      </w:r>
      <w:r/>
    </w:p>
    <w:p>
      <w:pPr>
        <w:spacing w:after="100"/>
      </w:pPr>
      <w:r>
        <w:rPr>
          <w:b/>
          <w:color w:val="000000"/>
        </w:rPr>
        <w:t>Next: choose alpha on disjoint development pairs, then confirm it on untouched test pairs and multiple planning seeds. If C3 is extended, calibrate State-V and First-Q so fusion no longer has a sharp alpha sensitivity.</w:t>
      </w:r>
      <w:r/>
    </w:p>
    <w:p>
      <w:pPr>
        <w:spacing w:before="80" w:after="0"/>
      </w:pPr>
      <w:r>
        <w:rPr>
          <w:color w:val="595959"/>
          <w:sz w:val="16"/>
        </w:rPr>
        <w:t>Evidence: 20 new O50 cells and 1,000 pair-level outcomes; fixed selection SHA-256 e46ea81cce2e6a9a5df05ba04893b4181cbd8979340111a012c30f1efa2d7ee7.</w:t>
      </w:r>
    </w:p>
    <w:sectPr w:rsidR="00FC693F" w:rsidRPr="0006063C" w:rsidSect="00034616">
      <w:headerReference w:type="default" r:id="rId34"/>
      <w:headerReference w:type="even" r:id="rId35"/>
      <w:footerReference w:type="default" r:id="rId36"/>
      <w:footerReference w:type="even" r:id="rId37"/>
      <w:headerReference w:type="first" r:id="rId38"/>
      <w:footerReference w:type="first" r:id="rId39"/>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header" Target="header11.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base O50 cells and 26-by-7 endpoint-ready comparison</dc:subject>
  <dc:creator/>
  <cp:keywords>TD-JEPA, Actor-Free TD-LeWM, fixed endpoints, seven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