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E8A33D"/>
          <w:spacing w:val="20"/>
          <w:sz w:val="20"/>
          <w:szCs w:val="20"/>
        </w:rPr>
        <w:t xml:space="preserve">URBAN AI</w:t>
      </w:r>
    </w:p>
    <w:p>
      <w:pPr>
        <w:spacing w:after="120"/>
      </w:pPr>
      <w:r>
        <w:rPr>
          <w:rFonts w:ascii="Cambria" w:cs="Cambria" w:eastAsia="Cambria" w:hAnsi="Cambria"/>
          <w:b/>
          <w:bCs/>
          <w:color w:val="132A4C"/>
          <w:sz w:val="56"/>
          <w:szCs w:val="56"/>
        </w:rPr>
        <w:t xml:space="preserve">Facilitator Guide</w:t>
      </w:r>
    </w:p>
    <w:p>
      <w:pPr>
        <w:spacing w:after="300"/>
      </w:pPr>
      <w:r>
        <w:rPr>
          <w:rFonts w:ascii="Calibri" w:cs="Calibri" w:eastAsia="Calibri" w:hAnsi="Calibri"/>
          <w:i/>
          <w:iCs/>
          <w:color w:val="5B6B7C"/>
          <w:sz w:val="24"/>
          <w:szCs w:val="24"/>
        </w:rPr>
        <w:t xml:space="preserve">For Lead Instructors and Teaching Assistants — Si Chen &amp; Jie Hou, with Sean (analytics labs) and Yura (DSS labs)</w:t>
      </w:r>
    </w:p>
    <w:p>
      <w:pPr>
        <w:pBdr>
          <w:bottom w:val="single" w:color="132A4C" w:sz="12" w:space="8"/>
        </w:pBdr>
        <w:spacing w:after="300"/>
      </w:pPr>
      <w:r>
        <w:t xml:space="preserve"/>
      </w:r>
    </w:p>
    <w:p>
      <w:pPr>
        <w:spacing w:after="120" w:line="276"/>
      </w:pPr>
      <w:r>
        <w:rPr>
          <w:rFonts w:ascii="Calibri" w:cs="Calibri" w:eastAsia="Calibri" w:hAnsi="Calibri"/>
          <w:b w:val="false"/>
          <w:bCs w:val="false"/>
          <w:i w:val="false"/>
          <w:iCs w:val="false"/>
          <w:color w:val="1B2A3D"/>
          <w:sz w:val="21"/>
          <w:szCs w:val="21"/>
        </w:rPr>
        <w:t xml:space="preserve">This guide supports whoever is facilitating a live Urban AI meeting — instructor or TA — with a repeatable run-of-show, role definitions, breakout tips, grading guidance, common student questions, guidance for discussing sensitive real-world cases, accessibility practices, an AI-outage contingency plan, and a pre-cohort checklist.</w:t>
      </w:r>
    </w:p>
    <w:p>
      <w:pPr>
        <w:spacing w:after="200" w:line="276"/>
      </w:pPr>
      <w:r>
        <w:rPr>
          <w:rFonts w:ascii="Calibri" w:cs="Calibri" w:eastAsia="Calibri" w:hAnsi="Calibri"/>
          <w:b w:val="false"/>
          <w:bCs w:val="false"/>
          <w:i w:val="false"/>
          <w:iCs w:val="false"/>
          <w:color w:val="1B2A3D"/>
          <w:sz w:val="21"/>
          <w:szCs w:val="21"/>
        </w:rPr>
        <w:t xml:space="preserve">Read Sections 1-4 before your first meeting of a cohort; Sections 5-8 are reference material to revisit as needed throughout the eight meetings.</w:t>
      </w:r>
    </w:p>
    <w:p>
      <w:pPr>
        <w:pStyle w:val="Heading1"/>
        <w:spacing w:after="140" w:before="360"/>
      </w:pPr>
      <w:r>
        <w:rPr>
          <w:rFonts w:ascii="Cambria" w:cs="Cambria" w:eastAsia="Cambria" w:hAnsi="Cambria"/>
          <w:b/>
          <w:bCs/>
          <w:color w:val="132A4C"/>
          <w:sz w:val="32"/>
          <w:szCs w:val="32"/>
        </w:rPr>
        <w:t xml:space="preserve">1. Running a 2.5-Hour Meeting</w:t>
      </w:r>
    </w:p>
    <w:p>
      <w:pPr>
        <w:spacing w:after="160" w:line="276"/>
      </w:pPr>
      <w:r>
        <w:rPr>
          <w:rFonts w:ascii="Calibri" w:cs="Calibri" w:eastAsia="Calibri" w:hAnsi="Calibri"/>
          <w:b w:val="false"/>
          <w:bCs w:val="false"/>
          <w:i w:val="false"/>
          <w:iCs w:val="false"/>
          <w:color w:val="1B2A3D"/>
          <w:sz w:val="21"/>
          <w:szCs w:val="21"/>
        </w:rPr>
        <w:t xml:space="preserve">Every meeting follows the same shape: roughly one hour of concept/lecture, 20-30 minutes of TA demo, 20 minutes of breakout plus a mini-task, and a short reflection/wrap. Holding this shape consistent across all eight meetings is itself a UDL and cognitive-load accommodation — students always know what's coming next.</w:t>
      </w:r>
    </w:p>
    <w:p>
      <w:pPr>
        <w:spacing w:after="160" w:line="276"/>
      </w:pPr>
      <w:r>
        <w:rPr>
          <w:rFonts w:ascii="Calibri" w:cs="Calibri" w:eastAsia="Calibri" w:hAnsi="Calibri"/>
          <w:b w:val="false"/>
          <w:bCs w:val="false"/>
          <w:i w:val="false"/>
          <w:iCs w:val="false"/>
          <w:color w:val="1B2A3D"/>
          <w:sz w:val="21"/>
          <w:szCs w:val="21"/>
        </w:rPr>
        <w:t xml:space="preserve">The class-specific content (which deck, which lab, which breakout prompt) changes every meeting; the container does not. Use the run-of-show table below as your default timing — adjust within segments as needed, but protect the break and the reflection/wrap, which are the two segments most often squeezed out under time pressure.</w:t>
      </w:r>
    </w:p>
    <w:p>
      <w:pPr>
        <w:pStyle w:val="Heading2"/>
        <w:spacing w:after="110" w:before="260"/>
      </w:pPr>
      <w:r>
        <w:rPr>
          <w:rFonts w:ascii="Cambria" w:cs="Cambria" w:eastAsia="Cambria" w:hAnsi="Cambria"/>
          <w:b/>
          <w:bCs/>
          <w:color w:val="1E7A8C"/>
          <w:sz w:val="25"/>
          <w:szCs w:val="25"/>
        </w:rPr>
        <w:t xml:space="preserve">Minute-by-Minute Run of Show (150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4780"/>
      </w:tblGrid>
      <w:tr>
        <w:trPr>
          <w:tblHeader/>
        </w:trPr>
        <w:tc>
          <w:tcPr>
            <w:tcW w:type="dxa" w:w="1500"/>
            <w:shd w:fill="132A4C"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Time</w:t>
            </w:r>
          </w:p>
        </w:tc>
        <w:tc>
          <w:tcPr>
            <w:tcW w:type="dxa" w:w="2000"/>
            <w:shd w:fill="132A4C"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Segment</w:t>
            </w:r>
          </w:p>
        </w:tc>
        <w:tc>
          <w:tcPr>
            <w:tcW w:type="dxa" w:w="1800"/>
            <w:shd w:fill="132A4C"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Who Leads</w:t>
            </w:r>
          </w:p>
        </w:tc>
        <w:tc>
          <w:tcPr>
            <w:tcW w:type="dxa" w:w="4780"/>
            <w:shd w:fill="132A4C"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Facilitator Notes</w:t>
            </w:r>
          </w:p>
        </w:tc>
      </w:tr>
      <w:tr>
        <w:tc>
          <w:tcPr>
            <w:tcW w:type="dxa" w:w="1500"/>
            <w:tcMar>
              <w:top w:type="dxa" w:w="90"/>
              <w:left w:type="dxa" w:w="110"/>
              <w:bottom w:type="dxa" w:w="90"/>
              <w:right w:type="dxa" w:w="110"/>
            </w:tcMar>
            <w:vAlign w:val="top"/>
          </w:tcPr>
          <w:p>
            <w:r>
              <w:rPr>
                <w:rFonts w:ascii="Calibri" w:cs="Calibri" w:eastAsia="Calibri" w:hAnsi="Calibri"/>
                <w:b/>
                <w:bCs/>
                <w:color w:val="1B2A3D"/>
                <w:sz w:val="18"/>
                <w:szCs w:val="18"/>
              </w:rPr>
              <w:t xml:space="preserve">0:00 - 0:05</w:t>
            </w:r>
          </w:p>
        </w:tc>
        <w:tc>
          <w:tcPr>
            <w:tcW w:type="dxa" w:w="2000"/>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Welcome &amp; tech check</w:t>
            </w:r>
          </w:p>
        </w:tc>
        <w:tc>
          <w:tcPr>
            <w:tcW w:type="dxa" w:w="1800"/>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Lead instructor</w:t>
            </w:r>
          </w:p>
        </w:tc>
        <w:tc>
          <w:tcPr>
            <w:tcW w:type="dxa" w:w="4780"/>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Confirm audio/video, remind students of Zoom breakout rooms, post today's agenda in chat.</w:t>
            </w:r>
          </w:p>
        </w:tc>
      </w:tr>
      <w:tr>
        <w:tc>
          <w:tcPr>
            <w:tcW w:type="dxa" w:w="1500"/>
            <w:shd w:fill="F5F8FA" w:val="clear"/>
            <w:tcMar>
              <w:top w:type="dxa" w:w="90"/>
              <w:left w:type="dxa" w:w="110"/>
              <w:bottom w:type="dxa" w:w="90"/>
              <w:right w:type="dxa" w:w="110"/>
            </w:tcMar>
            <w:vAlign w:val="top"/>
          </w:tcPr>
          <w:p>
            <w:r>
              <w:rPr>
                <w:rFonts w:ascii="Calibri" w:cs="Calibri" w:eastAsia="Calibri" w:hAnsi="Calibri"/>
                <w:b/>
                <w:bCs/>
                <w:color w:val="1B2A3D"/>
                <w:sz w:val="18"/>
                <w:szCs w:val="18"/>
              </w:rPr>
              <w:t xml:space="preserve">0:05 - 0:10</w:t>
            </w:r>
          </w:p>
        </w:tc>
        <w:tc>
          <w:tcPr>
            <w:tcW w:type="dxa" w:w="2000"/>
            <w:shd w:fill="F5F8FA" w:val="clear"/>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Recap &amp; Where We Are</w:t>
            </w:r>
          </w:p>
        </w:tc>
        <w:tc>
          <w:tcPr>
            <w:tcW w:type="dxa" w:w="1800"/>
            <w:shd w:fill="F5F8FA" w:val="clear"/>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Lead instructor</w:t>
            </w:r>
          </w:p>
        </w:tc>
        <w:tc>
          <w:tcPr>
            <w:tcW w:type="dxa" w:w="4780"/>
            <w:shd w:fill="F5F8FA" w:val="clear"/>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One slide recap of the prior meeting; show the 8-meeting arc slide with today highlighted.</w:t>
            </w:r>
          </w:p>
        </w:tc>
      </w:tr>
      <w:tr>
        <w:tc>
          <w:tcPr>
            <w:tcW w:type="dxa" w:w="1500"/>
            <w:tcMar>
              <w:top w:type="dxa" w:w="90"/>
              <w:left w:type="dxa" w:w="110"/>
              <w:bottom w:type="dxa" w:w="90"/>
              <w:right w:type="dxa" w:w="110"/>
            </w:tcMar>
            <w:vAlign w:val="top"/>
          </w:tcPr>
          <w:p>
            <w:r>
              <w:rPr>
                <w:rFonts w:ascii="Calibri" w:cs="Calibri" w:eastAsia="Calibri" w:hAnsi="Calibri"/>
                <w:b/>
                <w:bCs/>
                <w:color w:val="1B2A3D"/>
                <w:sz w:val="18"/>
                <w:szCs w:val="18"/>
              </w:rPr>
              <w:t xml:space="preserve">0:10 - 1:10</w:t>
            </w:r>
          </w:p>
        </w:tc>
        <w:tc>
          <w:tcPr>
            <w:tcW w:type="dxa" w:w="2000"/>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Concept / lecture (Class segment)</w:t>
            </w:r>
          </w:p>
        </w:tc>
        <w:tc>
          <w:tcPr>
            <w:tcW w:type="dxa" w:w="1800"/>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Lead instructor</w:t>
            </w:r>
          </w:p>
        </w:tc>
        <w:tc>
          <w:tcPr>
            <w:tcW w:type="dxa" w:w="4780"/>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Deliver the class deck. Pause after each case study slide for a 30-second reaction check via chat or poll.</w:t>
            </w:r>
          </w:p>
        </w:tc>
      </w:tr>
      <w:tr>
        <w:tc>
          <w:tcPr>
            <w:tcW w:type="dxa" w:w="1500"/>
            <w:shd w:fill="F5F8FA" w:val="clear"/>
            <w:tcMar>
              <w:top w:type="dxa" w:w="90"/>
              <w:left w:type="dxa" w:w="110"/>
              <w:bottom w:type="dxa" w:w="90"/>
              <w:right w:type="dxa" w:w="110"/>
            </w:tcMar>
            <w:vAlign w:val="top"/>
          </w:tcPr>
          <w:p>
            <w:r>
              <w:rPr>
                <w:rFonts w:ascii="Calibri" w:cs="Calibri" w:eastAsia="Calibri" w:hAnsi="Calibri"/>
                <w:b/>
                <w:bCs/>
                <w:color w:val="1B2A3D"/>
                <w:sz w:val="18"/>
                <w:szCs w:val="18"/>
              </w:rPr>
              <w:t xml:space="preserve">1:10 - 1:20</w:t>
            </w:r>
          </w:p>
        </w:tc>
        <w:tc>
          <w:tcPr>
            <w:tcW w:type="dxa" w:w="2000"/>
            <w:shd w:fill="F5F8FA" w:val="clear"/>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Break</w:t>
            </w:r>
          </w:p>
        </w:tc>
        <w:tc>
          <w:tcPr>
            <w:tcW w:type="dxa" w:w="1800"/>
            <w:shd w:fill="F5F8FA" w:val="clear"/>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w:t>
            </w:r>
          </w:p>
        </w:tc>
        <w:tc>
          <w:tcPr>
            <w:tcW w:type="dxa" w:w="4780"/>
            <w:shd w:fill="F5F8FA" w:val="clear"/>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Hard stop. Announce the exact return time and post it in chat.</w:t>
            </w:r>
          </w:p>
        </w:tc>
      </w:tr>
      <w:tr>
        <w:tc>
          <w:tcPr>
            <w:tcW w:type="dxa" w:w="1500"/>
            <w:tcMar>
              <w:top w:type="dxa" w:w="90"/>
              <w:left w:type="dxa" w:w="110"/>
              <w:bottom w:type="dxa" w:w="90"/>
              <w:right w:type="dxa" w:w="110"/>
            </w:tcMar>
            <w:vAlign w:val="top"/>
          </w:tcPr>
          <w:p>
            <w:r>
              <w:rPr>
                <w:rFonts w:ascii="Calibri" w:cs="Calibri" w:eastAsia="Calibri" w:hAnsi="Calibri"/>
                <w:b/>
                <w:bCs/>
                <w:color w:val="1B2A3D"/>
                <w:sz w:val="18"/>
                <w:szCs w:val="18"/>
              </w:rPr>
              <w:t xml:space="preserve">1:20 - 1:45</w:t>
            </w:r>
          </w:p>
        </w:tc>
        <w:tc>
          <w:tcPr>
            <w:tcW w:type="dxa" w:w="2000"/>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TA demo</w:t>
            </w:r>
          </w:p>
        </w:tc>
        <w:tc>
          <w:tcPr>
            <w:tcW w:type="dxa" w:w="1800"/>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TA (Sean or Yura)</w:t>
            </w:r>
          </w:p>
        </w:tc>
        <w:tc>
          <w:tcPr>
            <w:tcW w:type="dxa" w:w="4780"/>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Live walkthrough of the lab tool, both Track A and Track B, using a pre-tested example so nothing fails live.</w:t>
            </w:r>
          </w:p>
        </w:tc>
      </w:tr>
      <w:tr>
        <w:tc>
          <w:tcPr>
            <w:tcW w:type="dxa" w:w="1500"/>
            <w:shd w:fill="F5F8FA" w:val="clear"/>
            <w:tcMar>
              <w:top w:type="dxa" w:w="90"/>
              <w:left w:type="dxa" w:w="110"/>
              <w:bottom w:type="dxa" w:w="90"/>
              <w:right w:type="dxa" w:w="110"/>
            </w:tcMar>
            <w:vAlign w:val="top"/>
          </w:tcPr>
          <w:p>
            <w:r>
              <w:rPr>
                <w:rFonts w:ascii="Calibri" w:cs="Calibri" w:eastAsia="Calibri" w:hAnsi="Calibri"/>
                <w:b/>
                <w:bCs/>
                <w:color w:val="1B2A3D"/>
                <w:sz w:val="18"/>
                <w:szCs w:val="18"/>
              </w:rPr>
              <w:t xml:space="preserve">1:45 - 2:05</w:t>
            </w:r>
          </w:p>
        </w:tc>
        <w:tc>
          <w:tcPr>
            <w:tcW w:type="dxa" w:w="2000"/>
            <w:shd w:fill="F5F8FA" w:val="clear"/>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Breakout + mini-task</w:t>
            </w:r>
          </w:p>
        </w:tc>
        <w:tc>
          <w:tcPr>
            <w:tcW w:type="dxa" w:w="1800"/>
            <w:shd w:fill="F5F8FA" w:val="clear"/>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TA runs rooms; instructor roams</w:t>
            </w:r>
          </w:p>
        </w:tc>
        <w:tc>
          <w:tcPr>
            <w:tcW w:type="dxa" w:w="4780"/>
            <w:shd w:fill="F5F8FA" w:val="clear"/>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Assign teams to breakout rooms, post the prompt and scenario cards in chat, set a visible countdown timer.</w:t>
            </w:r>
          </w:p>
        </w:tc>
      </w:tr>
      <w:tr>
        <w:tc>
          <w:tcPr>
            <w:tcW w:type="dxa" w:w="1500"/>
            <w:tcMar>
              <w:top w:type="dxa" w:w="90"/>
              <w:left w:type="dxa" w:w="110"/>
              <w:bottom w:type="dxa" w:w="90"/>
              <w:right w:type="dxa" w:w="110"/>
            </w:tcMar>
            <w:vAlign w:val="top"/>
          </w:tcPr>
          <w:p>
            <w:r>
              <w:rPr>
                <w:rFonts w:ascii="Calibri" w:cs="Calibri" w:eastAsia="Calibri" w:hAnsi="Calibri"/>
                <w:b/>
                <w:bCs/>
                <w:color w:val="1B2A3D"/>
                <w:sz w:val="18"/>
                <w:szCs w:val="18"/>
              </w:rPr>
              <w:t xml:space="preserve">2:05 - 2:20</w:t>
            </w:r>
          </w:p>
        </w:tc>
        <w:tc>
          <w:tcPr>
            <w:tcW w:type="dxa" w:w="2000"/>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Report-back / share-out</w:t>
            </w:r>
          </w:p>
        </w:tc>
        <w:tc>
          <w:tcPr>
            <w:tcW w:type="dxa" w:w="1800"/>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Lead instructor</w:t>
            </w:r>
          </w:p>
        </w:tc>
        <w:tc>
          <w:tcPr>
            <w:tcW w:type="dxa" w:w="4780"/>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Cold-call 2-3 teams (rotate who is called on across meetings); capture key points in the shared notes doc.</w:t>
            </w:r>
          </w:p>
        </w:tc>
      </w:tr>
      <w:tr>
        <w:tc>
          <w:tcPr>
            <w:tcW w:type="dxa" w:w="1500"/>
            <w:shd w:fill="F5F8FA" w:val="clear"/>
            <w:tcMar>
              <w:top w:type="dxa" w:w="90"/>
              <w:left w:type="dxa" w:w="110"/>
              <w:bottom w:type="dxa" w:w="90"/>
              <w:right w:type="dxa" w:w="110"/>
            </w:tcMar>
            <w:vAlign w:val="top"/>
          </w:tcPr>
          <w:p>
            <w:r>
              <w:rPr>
                <w:rFonts w:ascii="Calibri" w:cs="Calibri" w:eastAsia="Calibri" w:hAnsi="Calibri"/>
                <w:b/>
                <w:bCs/>
                <w:color w:val="1B2A3D"/>
                <w:sz w:val="18"/>
                <w:szCs w:val="18"/>
              </w:rPr>
              <w:t xml:space="preserve">2:20 - 2:30</w:t>
            </w:r>
          </w:p>
        </w:tc>
        <w:tc>
          <w:tcPr>
            <w:tcW w:type="dxa" w:w="2000"/>
            <w:shd w:fill="F5F8FA" w:val="clear"/>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Reflection &amp; wrap</w:t>
            </w:r>
          </w:p>
        </w:tc>
        <w:tc>
          <w:tcPr>
            <w:tcW w:type="dxa" w:w="1800"/>
            <w:shd w:fill="F5F8FA" w:val="clear"/>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Lead instructor</w:t>
            </w:r>
          </w:p>
        </w:tc>
        <w:tc>
          <w:tcPr>
            <w:tcW w:type="dxa" w:w="4780"/>
            <w:shd w:fill="F5F8FA" w:val="clear"/>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State the deliverable due next and the lab that follows; remind students to log AI use before leaving.</w:t>
            </w:r>
          </w:p>
        </w:tc>
      </w:tr>
    </w:tbl>
    <w:p>
      <w:pPr>
        <w:spacing w:before="200"/>
      </w:pPr>
    </w:p>
    <w:p>
      <w:pPr>
        <w:pStyle w:val="Heading2"/>
        <w:spacing w:after="110" w:before="260"/>
      </w:pPr>
      <w:r>
        <w:rPr>
          <w:rFonts w:ascii="Cambria" w:cs="Cambria" w:eastAsia="Cambria" w:hAnsi="Cambria"/>
          <w:b/>
          <w:bCs/>
          <w:color w:val="1E7A8C"/>
          <w:sz w:val="25"/>
          <w:szCs w:val="25"/>
        </w:rPr>
        <w:t xml:space="preserve">Roles &amp; Responsibilities</w:t>
      </w:r>
    </w:p>
    <w:p>
      <w:pPr>
        <w:spacing w:after="120" w:line="276"/>
      </w:pPr>
      <w:r>
        <w:rPr>
          <w:rFonts w:ascii="Calibri" w:cs="Calibri" w:eastAsia="Calibri" w:hAnsi="Calibri"/>
          <w:b w:val="false"/>
          <w:bCs w:val="false"/>
          <w:i w:val="false"/>
          <w:iCs w:val="false"/>
          <w:color w:val="1B2A3D"/>
          <w:sz w:val="21"/>
          <w:szCs w:val="21"/>
        </w:rPr>
        <w:t xml:space="preserve">Both the lead instructor and TA are present for every meeting; the table below clarifies default ownership so nothing falls through the cracks. Adjust by mutual agreement for a given cohort as needed.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shd w:fill="132A4C"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Role</w:t>
            </w:r>
          </w:p>
        </w:tc>
        <w:tc>
          <w:tcPr>
            <w:tcW w:type="dxa" w:w="6680"/>
            <w:shd w:fill="132A4C"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Primary Responsibilities</w:t>
            </w:r>
          </w:p>
        </w:tc>
      </w:tr>
      <w:tr>
        <w:tc>
          <w:tcPr>
            <w:tcW w:type="dxa" w:w="3400"/>
            <w:tcMar>
              <w:top w:type="dxa" w:w="90"/>
              <w:left w:type="dxa" w:w="110"/>
              <w:bottom w:type="dxa" w:w="90"/>
              <w:right w:type="dxa" w:w="110"/>
            </w:tcMar>
            <w:vAlign w:val="top"/>
          </w:tcPr>
          <w:p>
            <w:r>
              <w:rPr>
                <w:rFonts w:ascii="Calibri" w:cs="Calibri" w:eastAsia="Calibri" w:hAnsi="Calibri"/>
                <w:b/>
                <w:bCs/>
                <w:color w:val="1B2A3D"/>
                <w:sz w:val="18"/>
                <w:szCs w:val="18"/>
              </w:rPr>
              <w:t xml:space="preserve">Lead instructor (Si Chen / Jie Hou)</w:t>
            </w:r>
          </w:p>
        </w:tc>
        <w:tc>
          <w:tcPr>
            <w:tcW w:type="dxa" w:w="6680"/>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Delivers the class-segment lecture, leads recap and reflection/wrap, makes final calls on pacing, and is the point of contact for any accommodation or academic-integrity question.</w:t>
            </w:r>
          </w:p>
        </w:tc>
      </w:tr>
      <w:tr>
        <w:tc>
          <w:tcPr>
            <w:tcW w:type="dxa" w:w="3400"/>
            <w:shd w:fill="F5F8FA" w:val="clear"/>
            <w:tcMar>
              <w:top w:type="dxa" w:w="90"/>
              <w:left w:type="dxa" w:w="110"/>
              <w:bottom w:type="dxa" w:w="90"/>
              <w:right w:type="dxa" w:w="110"/>
            </w:tcMar>
            <w:vAlign w:val="top"/>
          </w:tcPr>
          <w:p>
            <w:r>
              <w:rPr>
                <w:rFonts w:ascii="Calibri" w:cs="Calibri" w:eastAsia="Calibri" w:hAnsi="Calibri"/>
                <w:b/>
                <w:bCs/>
                <w:color w:val="1B2A3D"/>
                <w:sz w:val="18"/>
                <w:szCs w:val="18"/>
              </w:rPr>
              <w:t xml:space="preserve">TA — analytics labs (Sean)</w:t>
            </w:r>
          </w:p>
        </w:tc>
        <w:tc>
          <w:tcPr>
            <w:tcW w:type="dxa" w:w="6680"/>
            <w:shd w:fill="F5F8FA" w:val="clear"/>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Runs the TA demo and breakout rooms for Labs 0-4 (AI Basics, Text Mining, Clustering, Time Series, Classification), grades the associated weekly mini-tasks, and maintains the cached backup outputs for those labs.</w:t>
            </w:r>
          </w:p>
        </w:tc>
      </w:tr>
      <w:tr>
        <w:tc>
          <w:tcPr>
            <w:tcW w:type="dxa" w:w="3400"/>
            <w:tcMar>
              <w:top w:type="dxa" w:w="90"/>
              <w:left w:type="dxa" w:w="110"/>
              <w:bottom w:type="dxa" w:w="90"/>
              <w:right w:type="dxa" w:w="110"/>
            </w:tcMar>
            <w:vAlign w:val="top"/>
          </w:tcPr>
          <w:p>
            <w:r>
              <w:rPr>
                <w:rFonts w:ascii="Calibri" w:cs="Calibri" w:eastAsia="Calibri" w:hAnsi="Calibri"/>
                <w:b/>
                <w:bCs/>
                <w:color w:val="1B2A3D"/>
                <w:sz w:val="18"/>
                <w:szCs w:val="18"/>
              </w:rPr>
              <w:t xml:space="preserve">TA — DSS labs (Yura)</w:t>
            </w:r>
          </w:p>
        </w:tc>
        <w:tc>
          <w:tcPr>
            <w:tcW w:type="dxa" w:w="6680"/>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Runs the TA demo and breakout rooms for Labs 5-7 (Risk-Response DSS, DSS AI Lab, LLM Lab), grades the associated weekly mini-tasks, and maintains the cached backup outputs for those labs.</w:t>
            </w:r>
          </w:p>
        </w:tc>
      </w:tr>
      <w:tr>
        <w:tc>
          <w:tcPr>
            <w:tcW w:type="dxa" w:w="3400"/>
            <w:shd w:fill="F5F8FA" w:val="clear"/>
            <w:tcMar>
              <w:top w:type="dxa" w:w="90"/>
              <w:left w:type="dxa" w:w="110"/>
              <w:bottom w:type="dxa" w:w="90"/>
              <w:right w:type="dxa" w:w="110"/>
            </w:tcMar>
            <w:vAlign w:val="top"/>
          </w:tcPr>
          <w:p>
            <w:r>
              <w:rPr>
                <w:rFonts w:ascii="Calibri" w:cs="Calibri" w:eastAsia="Calibri" w:hAnsi="Calibri"/>
                <w:b/>
                <w:bCs/>
                <w:color w:val="1B2A3D"/>
                <w:sz w:val="18"/>
                <w:szCs w:val="18"/>
              </w:rPr>
              <w:t xml:space="preserve">Either TA</w:t>
            </w:r>
          </w:p>
        </w:tc>
        <w:tc>
          <w:tcPr>
            <w:tcW w:type="dxa" w:w="6680"/>
            <w:shd w:fill="F5F8FA" w:val="clear"/>
            <w:tcMar>
              <w:top w:type="dxa" w:w="90"/>
              <w:left w:type="dxa" w:w="110"/>
              <w:bottom w:type="dxa" w:w="90"/>
              <w:right w:type="dxa" w:w="110"/>
            </w:tcMar>
            <w:vAlign w:val="top"/>
          </w:tcPr>
          <w:p>
            <w:r>
              <w:rPr>
                <w:rFonts w:ascii="Calibri" w:cs="Calibri" w:eastAsia="Calibri" w:hAnsi="Calibri"/>
                <w:b w:val="false"/>
                <w:bCs w:val="false"/>
                <w:color w:val="1B2A3D"/>
                <w:sz w:val="18"/>
                <w:szCs w:val="18"/>
              </w:rPr>
              <w:t xml:space="preserve">Monitors chat for tech issues during lecture, tracks breakout-room timing, and flags any AI-tool outage to the lead instructor immediately (see Section 6).</w:t>
            </w:r>
          </w:p>
        </w:tc>
      </w:tr>
    </w:tbl>
    <w:p>
      <w:pPr>
        <w:spacing w:before="200"/>
      </w:pPr>
    </w:p>
    <w:p>
      <w:pPr>
        <w:pStyle w:val="Heading1"/>
        <w:spacing w:after="140" w:before="360"/>
      </w:pPr>
      <w:r>
        <w:rPr>
          <w:rFonts w:ascii="Cambria" w:cs="Cambria" w:eastAsia="Cambria" w:hAnsi="Cambria"/>
          <w:b/>
          <w:bCs/>
          <w:color w:val="132A4C"/>
          <w:sz w:val="32"/>
          <w:szCs w:val="32"/>
        </w:rPr>
        <w:t xml:space="preserve">2. Breakout Facilitation Tips</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Post the breakout prompt in chat before opening rooms, not just verbally — some students will already be in a breakout room and miss a spoken instruction.</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Assign or ask each team to self-assign a scribe and a reporter before work begins; this prevents the awkward silence when it's time to report back and no one has notes.</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Set a visible countdown timer (Zoom's built-in breakout timer, or a shared-screen countdown) — 20 minutes disappears quickly once teams start debating criteria weights.</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Roam rooms briefly (60-90 seconds each) rather than staying in one room the whole time — most teams need a light touch, not sustained presence.</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If a room is stuck, don't solve their disagreement for them — ask a guiding question (e.g., 'what would change if you weighted Equity higher?') and move on.</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Rotate which teams you cold-call for report-back across meetings so the same two teams aren't always carrying the discussion.</w:t>
      </w:r>
    </w:p>
    <w:p>
      <w:pPr>
        <w:pStyle w:val="Heading2"/>
        <w:spacing w:after="110" w:before="260"/>
      </w:pPr>
      <w:r>
        <w:rPr>
          <w:rFonts w:ascii="Cambria" w:cs="Cambria" w:eastAsia="Cambria" w:hAnsi="Cambria"/>
          <w:b/>
          <w:bCs/>
          <w:color w:val="1E7A8C"/>
          <w:sz w:val="25"/>
          <w:szCs w:val="25"/>
        </w:rPr>
        <w:t xml:space="preserve">Sample Facilitator Language</w:t>
      </w:r>
    </w:p>
    <w:p>
      <w:pPr>
        <w:spacing w:after="100" w:line="276"/>
      </w:pPr>
      <w:r>
        <w:rPr>
          <w:rFonts w:ascii="Calibri" w:cs="Calibri" w:eastAsia="Calibri" w:hAnsi="Calibri"/>
          <w:b w:val="false"/>
          <w:bCs w:val="false"/>
          <w:i w:val="false"/>
          <w:iCs w:val="false"/>
          <w:color w:val="1B2A3D"/>
          <w:sz w:val="21"/>
          <w:szCs w:val="21"/>
        </w:rPr>
        <w:t xml:space="preserve">New TAs sometimes find the transition moments hardest to script on the fly. A few ready-to-use lines:</w:t>
      </w:r>
    </w:p>
    <w:p>
      <w:pPr>
        <w:pStyle w:val="ListParagraph"/>
        <w:numPr>
          <w:ilvl w:val="0"/>
          <w:numId w:val="2"/>
        </w:numPr>
        <w:spacing w:after="90" w:line="264"/>
      </w:pPr>
      <w:r>
        <w:rPr>
          <w:rFonts w:ascii="Calibri" w:cs="Calibri" w:eastAsia="Calibri" w:hAnsi="Calibri"/>
          <w:b w:val="false"/>
          <w:bCs w:val="false"/>
          <w:color w:val="1B2A3D"/>
          <w:sz w:val="21"/>
          <w:szCs w:val="21"/>
        </w:rPr>
        <w:t xml:space="preserve">Opening a breakout: "You have 20 minutes. The prompt is in chat now. Pick a scribe and a reporter in your first minute — I'll pop into rooms briefly, but you don't need me there to get started."</w:t>
      </w:r>
    </w:p>
    <w:p>
      <w:pPr>
        <w:pStyle w:val="ListParagraph"/>
        <w:numPr>
          <w:ilvl w:val="0"/>
          <w:numId w:val="2"/>
        </w:numPr>
        <w:spacing w:after="90" w:line="264"/>
      </w:pPr>
      <w:r>
        <w:rPr>
          <w:rFonts w:ascii="Calibri" w:cs="Calibri" w:eastAsia="Calibri" w:hAnsi="Calibri"/>
          <w:b w:val="false"/>
          <w:bCs w:val="false"/>
          <w:color w:val="1B2A3D"/>
          <w:sz w:val="21"/>
          <w:szCs w:val="21"/>
        </w:rPr>
        <w:t xml:space="preserve">Closing a breakout: "One minute left — start wrapping up your last point so your reporter is ready when we're back in the main room."</w:t>
      </w:r>
    </w:p>
    <w:p>
      <w:pPr>
        <w:pStyle w:val="ListParagraph"/>
        <w:numPr>
          <w:ilvl w:val="0"/>
          <w:numId w:val="2"/>
        </w:numPr>
        <w:spacing w:after="200" w:line="264"/>
      </w:pPr>
      <w:r>
        <w:rPr>
          <w:rFonts w:ascii="Calibri" w:cs="Calibri" w:eastAsia="Calibri" w:hAnsi="Calibri"/>
          <w:b w:val="false"/>
          <w:bCs w:val="false"/>
          <w:color w:val="1B2A3D"/>
          <w:sz w:val="21"/>
          <w:szCs w:val="21"/>
        </w:rPr>
        <w:t xml:space="preserve">Cold-calling a report-back: "Team [name], what did you land on, and what's one thing your team disagreed about?" — asking for a disagreement, not just a conclusion, tends to produce a much more honest and useful report-back.</w:t>
      </w:r>
    </w:p>
    <w:p>
      <w:pPr>
        <w:pStyle w:val="Heading1"/>
        <w:spacing w:after="140" w:before="360"/>
      </w:pPr>
      <w:r>
        <w:rPr>
          <w:rFonts w:ascii="Cambria" w:cs="Cambria" w:eastAsia="Cambria" w:hAnsi="Cambria"/>
          <w:b/>
          <w:bCs/>
          <w:color w:val="132A4C"/>
          <w:sz w:val="32"/>
          <w:szCs w:val="32"/>
        </w:rPr>
        <w:t xml:space="preserve">3. Grading Weekly Mini-Tasks</w:t>
      </w:r>
    </w:p>
    <w:p>
      <w:pPr>
        <w:spacing w:after="120" w:line="276"/>
      </w:pPr>
      <w:r>
        <w:rPr>
          <w:rFonts w:ascii="Calibri" w:cs="Calibri" w:eastAsia="Calibri" w:hAnsi="Calibri"/>
          <w:b w:val="false"/>
          <w:bCs w:val="false"/>
          <w:i w:val="false"/>
          <w:iCs w:val="false"/>
          <w:color w:val="1B2A3D"/>
          <w:sz w:val="21"/>
          <w:szCs w:val="21"/>
        </w:rPr>
        <w:t xml:space="preserve">Weekly mini-tasks are graded complete/incomplete by the TA — this is not a quality rubric, it's a completion check that keeps students accountable to the pace of the course.</w:t>
      </w:r>
    </w:p>
    <w:p>
      <w:pPr>
        <w:spacing w:after="120" w:line="276"/>
      </w:pPr>
      <w:r>
        <w:rPr>
          <w:rFonts w:ascii="Calibri" w:cs="Calibri" w:eastAsia="Calibri" w:hAnsi="Calibri"/>
          <w:b w:val="false"/>
          <w:bCs w:val="false"/>
          <w:i w:val="false"/>
          <w:iCs w:val="false"/>
          <w:color w:val="1B2A3D"/>
          <w:sz w:val="21"/>
          <w:szCs w:val="21"/>
        </w:rPr>
        <w:t xml:space="preserve">"Complete" means: the student (or team, where the artifact is a team artifact) submitted the lab's required artifact, answered all four standard reflection prompts with a genuine, task-specific response (not a placeholder like "N/A"), and — where applicable — added at least one entry to the AI Use Log for that session.</w:t>
      </w:r>
    </w:p>
    <w:p>
      <w:pPr>
        <w:spacing w:after="160" w:line="276"/>
      </w:pPr>
      <w:r>
        <w:rPr>
          <w:rFonts w:ascii="Calibri" w:cs="Calibri" w:eastAsia="Calibri" w:hAnsi="Calibri"/>
          <w:b w:val="false"/>
          <w:bCs w:val="false"/>
          <w:i w:val="false"/>
          <w:iCs w:val="false"/>
          <w:color w:val="1B2A3D"/>
          <w:sz w:val="21"/>
          <w:szCs w:val="21"/>
        </w:rPr>
        <w:t xml:space="preserve">Turn around mini-task grading within 48 hours so students get timely signal before the next meeting. If a submission is borderline (e.g., reflection prompts answered but very thin), mark it complete with a short written note rather than incomplete — the bar is genuine engagement, not polish.</w:t>
      </w:r>
    </w:p>
    <w:p>
      <w:pPr>
        <w:pStyle w:val="Heading2"/>
        <w:spacing w:after="110" w:before="260"/>
      </w:pPr>
      <w:r>
        <w:rPr>
          <w:rFonts w:ascii="Cambria" w:cs="Cambria" w:eastAsia="Cambria" w:hAnsi="Cambria"/>
          <w:b/>
          <w:bCs/>
          <w:color w:val="1E7A8C"/>
          <w:sz w:val="25"/>
          <w:szCs w:val="25"/>
        </w:rPr>
        <w:t xml:space="preserve">Worked Example: Complete vs. Incomplete</w:t>
      </w:r>
    </w:p>
    <w:p>
      <w:pPr>
        <w:spacing w:after="100" w:line="276"/>
      </w:pPr>
      <w:r>
        <w:rPr>
          <w:rFonts w:ascii="Calibri" w:cs="Calibri" w:eastAsia="Calibri" w:hAnsi="Calibri"/>
          <w:b w:val="false"/>
          <w:bCs w:val="false"/>
          <w:i w:val="false"/>
          <w:iCs w:val="false"/>
          <w:color w:val="1B2A3D"/>
          <w:sz w:val="21"/>
          <w:szCs w:val="21"/>
        </w:rPr>
        <w:t xml:space="preserve">Lab 2 (Clustering Analysis) mini-task, two real submission patterns you'll see often:</w:t>
      </w:r>
    </w:p>
    <w:p>
      <w:pPr>
        <w:pStyle w:val="ListParagraph"/>
        <w:numPr>
          <w:ilvl w:val="0"/>
          <w:numId w:val="2"/>
        </w:numPr>
        <w:spacing w:after="90" w:line="264"/>
      </w:pPr>
      <w:r>
        <w:rPr>
          <w:rFonts w:ascii="Calibri" w:cs="Calibri" w:eastAsia="Calibri" w:hAnsi="Calibri"/>
          <w:b w:val="false"/>
          <w:bCs w:val="false"/>
          <w:color w:val="1B2A3D"/>
          <w:sz w:val="21"/>
          <w:szCs w:val="21"/>
        </w:rPr>
        <w:t xml:space="preserve">Complete: student submits a neighborhood-typology map with a chosen k, a one-sentence justification tied to the silhouette score, and specific answers to all four reflection prompts (e.g., naming a real indicator they suspect is missing from the ACS data used).</w:t>
      </w:r>
    </w:p>
    <w:p>
      <w:pPr>
        <w:pStyle w:val="ListParagraph"/>
        <w:numPr>
          <w:ilvl w:val="0"/>
          <w:numId w:val="2"/>
        </w:numPr>
        <w:spacing w:after="200" w:line="264"/>
      </w:pPr>
      <w:r>
        <w:rPr>
          <w:rFonts w:ascii="Calibri" w:cs="Calibri" w:eastAsia="Calibri" w:hAnsi="Calibri"/>
          <w:b w:val="false"/>
          <w:bCs w:val="false"/>
          <w:color w:val="1B2A3D"/>
          <w:sz w:val="21"/>
          <w:szCs w:val="21"/>
        </w:rPr>
        <w:t xml:space="preserve">Incomplete: student submits the map with no justification for k, and reflection answers that are generic enough to apply to any lab (e.g., 'the tool assumed the data was correct'). Return this with a specific note pointing to one reflection prompt to revisit, and give the student a short window to resubmit before the deadline closes.</w:t>
      </w:r>
    </w:p>
    <w:p>
      <w:pPr>
        <w:pStyle w:val="Heading1"/>
        <w:spacing w:after="140" w:before="360"/>
      </w:pPr>
      <w:r>
        <w:rPr>
          <w:rFonts w:ascii="Cambria" w:cs="Cambria" w:eastAsia="Cambria" w:hAnsi="Cambria"/>
          <w:b/>
          <w:bCs/>
          <w:color w:val="132A4C"/>
          <w:sz w:val="32"/>
          <w:szCs w:val="32"/>
        </w:rPr>
        <w:t xml:space="preserve">4. Common Student Questions</w:t>
      </w:r>
    </w:p>
    <w:p>
      <w:pPr>
        <w:pStyle w:val="Heading3"/>
        <w:spacing w:after="80" w:before="200"/>
      </w:pPr>
      <w:r>
        <w:rPr>
          <w:rFonts w:ascii="Calibri" w:cs="Calibri" w:eastAsia="Calibri" w:hAnsi="Calibri"/>
          <w:b/>
          <w:bCs/>
          <w:color w:val="1B2A3D"/>
          <w:sz w:val="22"/>
          <w:szCs w:val="22"/>
        </w:rPr>
        <w:t xml:space="preserve">Which AI tools am I allowed to use?</w:t>
      </w:r>
    </w:p>
    <w:p>
      <w:pPr>
        <w:spacing w:after="160" w:line="276"/>
      </w:pPr>
      <w:r>
        <w:rPr>
          <w:rFonts w:ascii="Calibri" w:cs="Calibri" w:eastAsia="Calibri" w:hAnsi="Calibri"/>
          <w:b w:val="false"/>
          <w:bCs w:val="false"/>
          <w:i w:val="false"/>
          <w:iCs w:val="false"/>
          <w:color w:val="1B2A3D"/>
          <w:sz w:val="21"/>
          <w:szCs w:val="21"/>
        </w:rPr>
        <w:t xml:space="preserve">Only tools on the current MSU-approved list, maintained by the MSU AI-Ready Initiative. Check the list posted on the course D2L site before each lab — it may be updated between cohorts.</w:t>
      </w:r>
    </w:p>
    <w:p>
      <w:pPr>
        <w:pStyle w:val="Heading3"/>
        <w:spacing w:after="80" w:before="200"/>
      </w:pPr>
      <w:r>
        <w:rPr>
          <w:rFonts w:ascii="Calibri" w:cs="Calibri" w:eastAsia="Calibri" w:hAnsi="Calibri"/>
          <w:b/>
          <w:bCs/>
          <w:color w:val="1B2A3D"/>
          <w:sz w:val="22"/>
          <w:szCs w:val="22"/>
        </w:rPr>
        <w:t xml:space="preserve">Do I need to know how to code?</w:t>
      </w:r>
    </w:p>
    <w:p>
      <w:pPr>
        <w:spacing w:after="160" w:line="276"/>
      </w:pPr>
      <w:r>
        <w:rPr>
          <w:rFonts w:ascii="Calibri" w:cs="Calibri" w:eastAsia="Calibri" w:hAnsi="Calibri"/>
          <w:b w:val="false"/>
          <w:bCs w:val="false"/>
          <w:i w:val="false"/>
          <w:iCs w:val="false"/>
          <w:color w:val="1B2A3D"/>
          <w:sz w:val="21"/>
          <w:szCs w:val="21"/>
        </w:rPr>
        <w:t xml:space="preserve">No. Every lab has a Track A (no-code) option that produces the same artifact as the Colab-based Track B. Coding is never required to complete a deliverable.</w:t>
      </w:r>
    </w:p>
    <w:p>
      <w:pPr>
        <w:pStyle w:val="Heading3"/>
        <w:spacing w:after="80" w:before="200"/>
      </w:pPr>
      <w:r>
        <w:rPr>
          <w:rFonts w:ascii="Calibri" w:cs="Calibri" w:eastAsia="Calibri" w:hAnsi="Calibri"/>
          <w:b/>
          <w:bCs/>
          <w:color w:val="1B2A3D"/>
          <w:sz w:val="22"/>
          <w:szCs w:val="22"/>
        </w:rPr>
        <w:t xml:space="preserve">Is using AI for this course 'cheating'?</w:t>
      </w:r>
    </w:p>
    <w:p>
      <w:pPr>
        <w:spacing w:after="160" w:line="276"/>
      </w:pPr>
      <w:r>
        <w:rPr>
          <w:rFonts w:ascii="Calibri" w:cs="Calibri" w:eastAsia="Calibri" w:hAnsi="Calibri"/>
          <w:b w:val="false"/>
          <w:bCs w:val="false"/>
          <w:i w:val="false"/>
          <w:iCs w:val="false"/>
          <w:color w:val="1B2A3D"/>
          <w:sz w:val="21"/>
          <w:szCs w:val="21"/>
        </w:rPr>
        <w:t xml:space="preserve">No — using AI is expected and taught explicitly. What's prohibited is concealing AI use or submitting unverified AI claims as fact. Disclosure in the AI Use Log is never penalized; concealment is.</w:t>
      </w:r>
    </w:p>
    <w:p>
      <w:pPr>
        <w:pStyle w:val="Heading3"/>
        <w:spacing w:after="80" w:before="200"/>
      </w:pPr>
      <w:r>
        <w:rPr>
          <w:rFonts w:ascii="Calibri" w:cs="Calibri" w:eastAsia="Calibri" w:hAnsi="Calibri"/>
          <w:b/>
          <w:bCs/>
          <w:color w:val="1B2A3D"/>
          <w:sz w:val="22"/>
          <w:szCs w:val="22"/>
        </w:rPr>
        <w:t xml:space="preserve">What if my team disagrees about criteria weights?</w:t>
      </w:r>
    </w:p>
    <w:p>
      <w:pPr>
        <w:spacing w:after="160" w:line="276"/>
      </w:pPr>
      <w:r>
        <w:rPr>
          <w:rFonts w:ascii="Calibri" w:cs="Calibri" w:eastAsia="Calibri" w:hAnsi="Calibri"/>
          <w:b w:val="false"/>
          <w:bCs w:val="false"/>
          <w:i w:val="false"/>
          <w:iCs w:val="false"/>
          <w:color w:val="1B2A3D"/>
          <w:sz w:val="21"/>
          <w:szCs w:val="21"/>
        </w:rPr>
        <w:t xml:space="preserve">That disagreement is a legitimate, gradable finding — document it in the Decision Criteria Matrix or Brief rather than papering over it. Differing weights are exactly what the sensitivity-analysis exercises are designed to surface.</w:t>
      </w:r>
    </w:p>
    <w:p>
      <w:pPr>
        <w:pStyle w:val="Heading3"/>
        <w:spacing w:after="80" w:before="200"/>
      </w:pPr>
      <w:r>
        <w:rPr>
          <w:rFonts w:ascii="Calibri" w:cs="Calibri" w:eastAsia="Calibri" w:hAnsi="Calibri"/>
          <w:b/>
          <w:bCs/>
          <w:color w:val="1B2A3D"/>
          <w:sz w:val="22"/>
          <w:szCs w:val="22"/>
        </w:rPr>
        <w:t xml:space="preserve">What happens if I miss a meeting?</w:t>
      </w:r>
    </w:p>
    <w:p>
      <w:pPr>
        <w:spacing w:after="160" w:line="276"/>
      </w:pPr>
      <w:r>
        <w:rPr>
          <w:rFonts w:ascii="Calibri" w:cs="Calibri" w:eastAsia="Calibri" w:hAnsi="Calibri"/>
          <w:b w:val="false"/>
          <w:bCs w:val="false"/>
          <w:i w:val="false"/>
          <w:iCs w:val="false"/>
          <w:color w:val="1B2A3D"/>
          <w:sz w:val="21"/>
          <w:szCs w:val="21"/>
        </w:rPr>
        <w:t xml:space="preserve">Completion requires attending at least 7 of 8 meetings. Missed-meeting materials (slides, recording if available, lab instructions) are posted on D2L; contact your TA to arrange makeup mini-task credit.</w:t>
      </w:r>
    </w:p>
    <w:p>
      <w:pPr>
        <w:pStyle w:val="Heading3"/>
        <w:spacing w:after="80" w:before="200"/>
      </w:pPr>
      <w:r>
        <w:rPr>
          <w:rFonts w:ascii="Calibri" w:cs="Calibri" w:eastAsia="Calibri" w:hAnsi="Calibri"/>
          <w:b/>
          <w:bCs/>
          <w:color w:val="1B2A3D"/>
          <w:sz w:val="22"/>
          <w:szCs w:val="22"/>
        </w:rPr>
        <w:t xml:space="preserve">Can I use my own personal AI account instead of the course's approved tool?</w:t>
      </w:r>
    </w:p>
    <w:p>
      <w:pPr>
        <w:spacing w:after="160" w:line="276"/>
      </w:pPr>
      <w:r>
        <w:rPr>
          <w:rFonts w:ascii="Calibri" w:cs="Calibri" w:eastAsia="Calibri" w:hAnsi="Calibri"/>
          <w:b w:val="false"/>
          <w:bCs w:val="false"/>
          <w:i w:val="false"/>
          <w:iCs w:val="false"/>
          <w:color w:val="1B2A3D"/>
          <w:sz w:val="21"/>
          <w:szCs w:val="21"/>
        </w:rPr>
        <w:t xml:space="preserve">Only if that specific tool is on the current MSU-approved list. If it isn't, don't use it for coursework — ask your instructor about the MSU IT review process if you think it should be added.</w:t>
      </w:r>
    </w:p>
    <w:p>
      <w:pPr>
        <w:pStyle w:val="Heading3"/>
        <w:spacing w:after="80" w:before="200"/>
      </w:pPr>
      <w:r>
        <w:rPr>
          <w:rFonts w:ascii="Calibri" w:cs="Calibri" w:eastAsia="Calibri" w:hAnsi="Calibri"/>
          <w:b/>
          <w:bCs/>
          <w:color w:val="1B2A3D"/>
          <w:sz w:val="22"/>
          <w:szCs w:val="22"/>
        </w:rPr>
        <w:t xml:space="preserve">What data am I allowed to put into an AI tool?</w:t>
      </w:r>
    </w:p>
    <w:p>
      <w:pPr>
        <w:spacing w:after="160" w:line="276"/>
      </w:pPr>
      <w:r>
        <w:rPr>
          <w:rFonts w:ascii="Calibri" w:cs="Calibri" w:eastAsia="Calibri" w:hAnsi="Calibri"/>
          <w:b w:val="false"/>
          <w:bCs w:val="false"/>
          <w:i w:val="false"/>
          <w:iCs w:val="false"/>
          <w:color w:val="1B2A3D"/>
          <w:sz w:val="21"/>
          <w:szCs w:val="21"/>
        </w:rPr>
        <w:t xml:space="preserve">Public or synthetic data only — never personal, identifiable, or restricted data, even data about yourself or a real named individual.</w:t>
      </w:r>
    </w:p>
    <w:p>
      <w:pPr>
        <w:pStyle w:val="Heading3"/>
        <w:spacing w:after="80" w:before="200"/>
      </w:pPr>
      <w:r>
        <w:rPr>
          <w:rFonts w:ascii="Calibri" w:cs="Calibri" w:eastAsia="Calibri" w:hAnsi="Calibri"/>
          <w:b/>
          <w:bCs/>
          <w:color w:val="1B2A3D"/>
          <w:sz w:val="22"/>
          <w:szCs w:val="22"/>
        </w:rPr>
        <w:t xml:space="preserve">How is the final Decision-Support Brief graded?</w:t>
      </w:r>
    </w:p>
    <w:p>
      <w:pPr>
        <w:spacing w:after="160" w:line="276"/>
      </w:pPr>
      <w:r>
        <w:rPr>
          <w:rFonts w:ascii="Calibri" w:cs="Calibri" w:eastAsia="Calibri" w:hAnsi="Calibri"/>
          <w:b w:val="false"/>
          <w:bCs w:val="false"/>
          <w:i w:val="false"/>
          <w:iCs w:val="false"/>
          <w:color w:val="1B2A3D"/>
          <w:sz w:val="21"/>
          <w:szCs w:val="21"/>
        </w:rPr>
        <w:t xml:space="preserve">Against the five 20%-weighted criteria in the Grading Rubric: problem framing and stakeholder analysis, AI/DSS workflow and documentation, scenario comparison and evidence quality, evaluation of AI outputs, and responsible AI safeguards/oversight/communication.</w:t>
      </w:r>
    </w:p>
    <w:p>
      <w:pPr>
        <w:pStyle w:val="Heading3"/>
        <w:spacing w:after="80" w:before="200"/>
      </w:pPr>
      <w:r>
        <w:rPr>
          <w:rFonts w:ascii="Calibri" w:cs="Calibri" w:eastAsia="Calibri" w:hAnsi="Calibri"/>
          <w:b/>
          <w:bCs/>
          <w:color w:val="1B2A3D"/>
          <w:sz w:val="22"/>
          <w:szCs w:val="22"/>
        </w:rPr>
        <w:t xml:space="preserve">Do I need a laptop for every meeting?</w:t>
      </w:r>
    </w:p>
    <w:p>
      <w:pPr>
        <w:spacing w:after="160" w:line="276"/>
      </w:pPr>
      <w:r>
        <w:rPr>
          <w:rFonts w:ascii="Calibri" w:cs="Calibri" w:eastAsia="Calibri" w:hAnsi="Calibri"/>
          <w:b w:val="false"/>
          <w:bCs w:val="false"/>
          <w:i w:val="false"/>
          <w:iCs w:val="false"/>
          <w:color w:val="1B2A3D"/>
          <w:sz w:val="21"/>
          <w:szCs w:val="21"/>
        </w:rPr>
        <w:t xml:space="preserve">A laptop or tablet is strongly recommended for lab meetings, but Track A tools are chosen specifically to work in a browser on modest hardware — flag any access barrier to your TA early so accommodations can be made.</w:t>
      </w:r>
    </w:p>
    <w:p>
      <w:pPr>
        <w:pStyle w:val="Heading1"/>
        <w:spacing w:after="140" w:before="360"/>
      </w:pPr>
      <w:r>
        <w:rPr>
          <w:rFonts w:ascii="Cambria" w:cs="Cambria" w:eastAsia="Cambria" w:hAnsi="Cambria"/>
          <w:b/>
          <w:bCs/>
          <w:color w:val="132A4C"/>
          <w:sz w:val="32"/>
          <w:szCs w:val="32"/>
        </w:rPr>
        <w:t xml:space="preserve">5. Facilitating Discussion of Sensitive Real-World Cases</w:t>
      </w:r>
    </w:p>
    <w:p>
      <w:pPr>
        <w:spacing w:after="120" w:line="276"/>
      </w:pPr>
      <w:r>
        <w:rPr>
          <w:rFonts w:ascii="Calibri" w:cs="Calibri" w:eastAsia="Calibri" w:hAnsi="Calibri"/>
          <w:b w:val="false"/>
          <w:bCs w:val="false"/>
          <w:i w:val="false"/>
          <w:iCs w:val="false"/>
          <w:color w:val="1B2A3D"/>
          <w:sz w:val="21"/>
          <w:szCs w:val="21"/>
        </w:rPr>
        <w:t xml:space="preserve">Multiple class decks (1-1, 1-2, 3-2, 4-2 especially) build on real, named cases of documented AI-related harm or governance failure. These are chosen deliberately because they are real and checkable, not hypothetical — facilitate discussion of them with care.</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Several class decks discuss real, documented harms — a wrongful arrest (Detroit facial recognition), an illegal government algorithm (SyRI, Netherlands), a company's own costly model failure (Zillow), and a widely cited bias investigation (COMPAS). Treat these with the same seriousness you would any real news event, because they are one.</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Stick to what is documented and cited in the deck's speaker notes. If a student asks a question you can't answer from a verifiable source, say so plainly rather than speculating — this models the exact verification norm the course teaches.</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These cases will sometimes surface strong reactions or personal experiences from students. Acknowledge the reaction, keep the discussion anchored to the specific documented facts of the case, and redirect general or unverifiable claims back to 'what do we actually know, and from where?'</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Avoid presenting any of these cases as fully resolved or simple — most (SyRI's aftermath, Detroit's policy changes, ongoing facial-recognition debates) are still evolving. It's fine, and honest, to say a situation is unsettled.</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If a case touches a topic a student finds personally difficult, there is no obligation to have them speak about it — participation in breakout discussion of a specific case is never mandatory beyond the general breakout expectations.</w:t>
      </w:r>
    </w:p>
    <w:p>
      <w:pPr>
        <w:pStyle w:val="Heading1"/>
        <w:spacing w:after="140" w:before="360"/>
      </w:pPr>
      <w:r>
        <w:rPr>
          <w:rFonts w:ascii="Cambria" w:cs="Cambria" w:eastAsia="Cambria" w:hAnsi="Cambria"/>
          <w:b/>
          <w:bCs/>
          <w:color w:val="132A4C"/>
          <w:sz w:val="32"/>
          <w:szCs w:val="32"/>
        </w:rPr>
        <w:t xml:space="preserve">6. Accessibility Practices (UDL)</w:t>
      </w:r>
    </w:p>
    <w:p>
      <w:pPr>
        <w:spacing w:after="140" w:line="276"/>
      </w:pPr>
      <w:r>
        <w:rPr>
          <w:rFonts w:ascii="Calibri" w:cs="Calibri" w:eastAsia="Calibri" w:hAnsi="Calibri"/>
          <w:b w:val="false"/>
          <w:bCs w:val="false"/>
          <w:i w:val="false"/>
          <w:iCs w:val="false"/>
          <w:color w:val="1B2A3D"/>
          <w:sz w:val="21"/>
          <w:szCs w:val="21"/>
        </w:rPr>
        <w:t xml:space="preserve">This course follows Universal Design for Learning (UDL) principles throughout — the practices below are already built into the course design; this section names them explicitly so facilitators reinforce rather than accidentally undercut them.</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Multiple means of representation: every deck includes speaker notes for TAs, slides avoid color-only meaning (labels accompany color coding, e.g., H/M/L text alongside color), and any diagram or image used in materials includes alt text.</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Multiple means of engagement: the two-track lab rule (Track A no-code / Track B Colab) is itself a UDL accommodation — students choose the path that fits their comfort and access, and both produce the same graded artifact.</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Multiple means of action &amp; expression: breakout report-backs can be given verbally, in chat, or through a shared notes document — never require only one mode of participation.</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Turn on live captioning for every Zoom meeting by default, and post slides and lab instructions at least 24 hours before each meeting so screen-reader and assistive-technology users have advance access.</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If a student requests an accommodation through the MSU Resource Center for Persons with Disabilities (RCPD), extended time on the AI Output Audit Worksheet or an alternative to a live cold-call report-back are both reasonable adjustments consistent with this course's design.</w:t>
      </w:r>
    </w:p>
    <w:p>
      <w:pPr>
        <w:pStyle w:val="Heading1"/>
        <w:spacing w:after="140" w:before="360"/>
      </w:pPr>
      <w:r>
        <w:rPr>
          <w:rFonts w:ascii="Cambria" w:cs="Cambria" w:eastAsia="Cambria" w:hAnsi="Cambria"/>
          <w:b/>
          <w:bCs/>
          <w:color w:val="132A4C"/>
          <w:sz w:val="32"/>
          <w:szCs w:val="32"/>
        </w:rPr>
        <w:t xml:space="preserve">7. What To Do When an AI Tool Is Down</w:t>
      </w:r>
    </w:p>
    <w:p>
      <w:pPr>
        <w:spacing w:after="140" w:line="276"/>
      </w:pPr>
      <w:r>
        <w:rPr>
          <w:rFonts w:ascii="Calibri" w:cs="Calibri" w:eastAsia="Calibri" w:hAnsi="Calibri"/>
          <w:b w:val="false"/>
          <w:bCs w:val="false"/>
          <w:i w:val="false"/>
          <w:iCs w:val="false"/>
          <w:color w:val="1B2A3D"/>
          <w:sz w:val="21"/>
          <w:szCs w:val="21"/>
        </w:rPr>
        <w:t xml:space="preserve">AI tool outages are a realistic, even instructive, part of this course — handle them calmly and use the moment if it fits.</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First, try the other track: if the Track B Colab notebook is down, switch the room to Track A's no-code tool (or vice versa) — the two-track design exists partly for exactly this contingency.</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If both tracks for a specific tool are unavailable, use the pre-tested example output cached from your dry run (see Pre-Cohort Checklist) — narrate it live and have students complete the mini-task's reflection prompts against that cached output instead of a live run.</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Log the outage: note in the meeting record what was unavailable and how the team adapted — this is useful both for your own planning and as a live teaching moment about tool reliability, one of the course's own themes.</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Never skip the reflection prompts to save time because a tool failed — the four standard reflection prompts (what did the tool assume, who's missing, what would change the recommendation, what must a human verify) work even when discussing a cached or hypothetical output.</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If an outage affects a graded deliverable's due date, flag it to the lead instructor promptly — a short, documented extension is preferable to students submitting rushed, unverified work.</w:t>
      </w:r>
    </w:p>
    <w:p>
      <w:pPr>
        <w:pStyle w:val="Heading1"/>
        <w:spacing w:after="140" w:before="360"/>
      </w:pPr>
      <w:r>
        <w:rPr>
          <w:rFonts w:ascii="Cambria" w:cs="Cambria" w:eastAsia="Cambria" w:hAnsi="Cambria"/>
          <w:b/>
          <w:bCs/>
          <w:color w:val="132A4C"/>
          <w:sz w:val="32"/>
          <w:szCs w:val="32"/>
        </w:rPr>
        <w:t xml:space="preserve">8. Pre-Cohort Checklist</w:t>
      </w:r>
    </w:p>
    <w:p>
      <w:pPr>
        <w:spacing w:after="140" w:line="276"/>
      </w:pPr>
      <w:r>
        <w:rPr>
          <w:rFonts w:ascii="Calibri" w:cs="Calibri" w:eastAsia="Calibri" w:hAnsi="Calibri"/>
          <w:b w:val="false"/>
          <w:bCs w:val="false"/>
          <w:i w:val="false"/>
          <w:iCs w:val="false"/>
          <w:color w:val="1B2A3D"/>
          <w:sz w:val="21"/>
          <w:szCs w:val="21"/>
        </w:rPr>
        <w:t xml:space="preserve">Complete every item below before Meeting 1 of a new cohort.</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Confirm the D2L Brightspace shell is live and the enrolled roster matches final registration.</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Test the Zoom link, breakout-room configuration, and captioning settings at least one week before Meeting 1.</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Confirm the current MSU-approved AI tool list is posted on D2L and matches what labs actually reference.</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Send a welcome email with cohort dates, Zoom link, D2L link, and the AI-readiness pre-survey link.</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Walk through every lab's Track A and Track B end-to-end yourself, and save a cached example output for each in case of an outage.</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Prepare and print (or pre-load into chat) the breakout scenario cards used in Meetings 1, 3, 6, and 8.</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Confirm TA grading access to the D2L gradebook for weekly mini-tasks.</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Confirm TA role assignments for the cohort (analytics labs vs. DSS labs) and share this Facilitator Guide with both TAs.</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Confirm the Responsible AI Agreement and pre-survey are ready to distribute at Orientation.</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Confirm the gift-card procurement process for the top five teams at the Meeting 8 final presentations.</w:t>
      </w:r>
    </w:p>
    <w:p>
      <w:pPr>
        <w:pStyle w:val="Heading1"/>
        <w:spacing w:after="140" w:before="360"/>
      </w:pPr>
      <w:r>
        <w:rPr>
          <w:rFonts w:ascii="Cambria" w:cs="Cambria" w:eastAsia="Cambria" w:hAnsi="Cambria"/>
          <w:b/>
          <w:bCs/>
          <w:color w:val="132A4C"/>
          <w:sz w:val="32"/>
          <w:szCs w:val="32"/>
        </w:rPr>
        <w:t xml:space="preserve">9. Day-Of Quick Reference</w:t>
      </w:r>
    </w:p>
    <w:p>
      <w:pPr>
        <w:spacing w:after="140" w:line="276"/>
      </w:pPr>
      <w:r>
        <w:rPr>
          <w:rFonts w:ascii="Calibri" w:cs="Calibri" w:eastAsia="Calibri" w:hAnsi="Calibri"/>
          <w:b w:val="false"/>
          <w:bCs w:val="false"/>
          <w:i w:val="false"/>
          <w:iCs w:val="false"/>
          <w:color w:val="1B2A3D"/>
          <w:sz w:val="21"/>
          <w:szCs w:val="21"/>
        </w:rPr>
        <w:t xml:space="preserve">Ten minutes before every meeting, whether it's your first or your eighth of the cohort, confirm the items below. This short habit prevents nearly every avoidable live-facilitation problem.</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Zoom link open, screen-share tested, and captioning turned on.</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Today's slide deck open to slide 1, with speaker notes visible in presenter view if you're the lead instructor.</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Breakout-room assignments configured — self-select or pre-assigned, matching today's team list.</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Both the Track A and Track B links for today's lab open in separate tabs, and both tested within the last 24 hours.</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This meeting's cached backup output ready to share in case of an AI-tool outage (Section 7).</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A shared notes document open and ready for report-back capture.</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Today's breakout prompt and any scenario cards ready to paste into chat the moment rooms open.</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A visible countdown timer ready for the breakout segment.</w:t>
      </w:r>
    </w:p>
    <w:p>
      <w:pPr>
        <w:pStyle w:val="ListParagraph"/>
        <w:numPr>
          <w:ilvl w:val="0"/>
          <w:numId w:val="2"/>
        </w:numPr>
        <w:spacing w:after="100" w:line="264"/>
      </w:pPr>
      <w:r>
        <w:rPr>
          <w:rFonts w:ascii="Calibri" w:cs="Calibri" w:eastAsia="Calibri" w:hAnsi="Calibri"/>
          <w:b w:val="false"/>
          <w:bCs w:val="false"/>
          <w:color w:val="1B2A3D"/>
          <w:sz w:val="21"/>
          <w:szCs w:val="21"/>
        </w:rPr>
        <w:t xml:space="preserve">The D2L gradebook tab open if you plan to grade mini-tasks same-day.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4" w:sz="4" w:space="4"/>
      </w:pBdr>
      <w:tabs>
        <w:tab w:val="right" w:pos="9026"/>
      </w:tabs>
    </w:pPr>
    <w:r>
      <w:rPr>
        <w:rFonts w:ascii="Calibri" w:cs="Calibri" w:eastAsia="Calibri" w:hAnsi="Calibri"/>
        <w:color w:val="5B6B7C"/>
        <w:sz w:val="16"/>
        <w:szCs w:val="16"/>
      </w:rPr>
      <w:t xml:space="preserve">Urban AI · MSU AI-Ready Initiative</w:t>
    </w:r>
    <w:r>
      <w:t xml:space="preserve">	</w:t>
    </w:r>
    <w:r>
      <w:rPr>
        <w:rFonts w:ascii="Calibri" w:cs="Calibri" w:eastAsia="Calibri" w:hAnsi="Calibri"/>
        <w:color w:val="5B6B7C"/>
        <w:sz w:val="16"/>
        <w:szCs w:val="16"/>
      </w:rPr>
      <w:t xml:space="preserve">Facilitator Guide  ·  Page </w:t>
    </w:r>
    <w:r>
      <w:rPr>
        <w:rFonts w:ascii="Calibri" w:cs="Calibri" w:eastAsia="Calibri" w:hAnsi="Calibri"/>
        <w:color w:val="5B6B7C"/>
        <w:sz w:val="16"/>
        <w:szCs w:val="16"/>
      </w:rPr>
      <w:fldChar w:fldCharType="begin"/>
      <w:instrText xml:space="preserve">PAGE</w:instrText>
      <w:fldChar w:fldCharType="separate"/>
      <w:fldChar w:fldCharType="end"/>
    </w:r>
    <w:r>
      <w:rPr>
        <w:rFonts w:ascii="Calibri" w:cs="Calibri" w:eastAsia="Calibri" w:hAnsi="Calibri"/>
        <w:color w:val="5B6B7C"/>
        <w:sz w:val="16"/>
        <w:szCs w:val="16"/>
      </w:rPr>
      <w:t xml:space="preserve"> of </w:t>
    </w:r>
    <w:r>
      <w:rPr>
        <w:rFonts w:ascii="Calibri" w:cs="Calibri" w:eastAsia="Calibri" w:hAnsi="Calibri"/>
        <w:color w:val="5B6B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4" w:sz="4" w:space="4"/>
      </w:pBdr>
    </w:pPr>
    <w:r>
      <w:rPr>
        <w:rFonts w:ascii="Calibri" w:cs="Calibri" w:eastAsia="Calibri" w:hAnsi="Calibri"/>
        <w:b/>
        <w:bCs/>
        <w:color w:val="5B6B7C"/>
        <w:sz w:val="16"/>
        <w:szCs w:val="16"/>
      </w:rPr>
      <w:t xml:space="preserve">Facilitator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Facilitator Guide</dc:title>
  <dc:creator>Urban AI · MSU AI-Ready Initiative</dc:creator>
  <cp:lastModifiedBy>Un-named</cp:lastModifiedBy>
  <cp:revision>1</cp:revision>
  <dcterms:created xsi:type="dcterms:W3CDTF">2026-08-11T13:02:03.527Z</dcterms:created>
  <dcterms:modified xsi:type="dcterms:W3CDTF">2026-08-11T13:02:03.527Z</dcterms:modified>
</cp:coreProperties>
</file>

<file path=docProps/custom.xml><?xml version="1.0" encoding="utf-8"?>
<Properties xmlns="http://schemas.openxmlformats.org/officeDocument/2006/custom-properties" xmlns:vt="http://schemas.openxmlformats.org/officeDocument/2006/docPropsVTypes"/>
</file>