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E8A33D"/>
          <w:spacing w:val="20"/>
          <w:sz w:val="18"/>
          <w:szCs w:val="18"/>
        </w:rPr>
        <w:t xml:space="preserve">URBAN AI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32A4C"/>
          <w:sz w:val="40"/>
          <w:szCs w:val="40"/>
        </w:rPr>
        <w:t xml:space="preserve">Grading Rubric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Urban AI Decision-Support Brief &amp; Final Presentation — Assessment Criteria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3D"/>
          <w:sz w:val="19"/>
          <w:szCs w:val="19"/>
        </w:rPr>
        <w:t xml:space="preserve">The five criteria below, each weighted 20%, are the official course assessment criteria (see the Course Design Spec). Use this rubric to self-assess your team's draft Brief before submission, and expect the same rubric to be used for grading.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85"/>
        <w:gridCol w:w="2985"/>
        <w:gridCol w:w="2985"/>
        <w:gridCol w:w="2985"/>
      </w:tblGrid>
      <w:tr>
        <w:trPr>
          <w:tblHeader/>
        </w:trPr>
        <w:tc>
          <w:tcPr>
            <w:tcW w:type="dxa" w:w="2100"/>
            <w:shd w:fill="132A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 (100% total)</w:t>
            </w:r>
          </w:p>
        </w:tc>
        <w:tc>
          <w:tcPr>
            <w:tcW w:type="dxa" w:w="2985"/>
            <w:shd w:fill="132A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Exemplary</w:t>
            </w:r>
          </w:p>
        </w:tc>
        <w:tc>
          <w:tcPr>
            <w:tcW w:type="dxa" w:w="2985"/>
            <w:shd w:fill="132A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Proficient</w:t>
            </w:r>
          </w:p>
        </w:tc>
        <w:tc>
          <w:tcPr>
            <w:tcW w:type="dxa" w:w="2985"/>
            <w:shd w:fill="132A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Developing</w:t>
            </w:r>
          </w:p>
        </w:tc>
        <w:tc>
          <w:tcPr>
            <w:tcW w:type="dxa" w:w="2985"/>
            <w:shd w:fill="132A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Beginning</w:t>
            </w:r>
          </w:p>
        </w:tc>
      </w:tr>
      <w:tr>
        <w:trPr>
          <w:cantSplit/>
        </w:trPr>
        <w:tc>
          <w:tcPr>
            <w:tcW w:type="dxa" w:w="21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20"/>
            </w:pPr>
            <w:r>
              <w:rPr>
                <w:rFonts w:ascii="Cambria" w:cs="Cambria" w:eastAsia="Cambria" w:hAnsi="Cambria"/>
                <w:b/>
                <w:bCs/>
                <w:color w:val="132A4C"/>
                <w:sz w:val="18"/>
                <w:szCs w:val="18"/>
              </w:rPr>
              <w:t xml:space="preserve">Urban Problem Framing &amp; Stakeholder Analysis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B7C"/>
                <w:sz w:val="15"/>
                <w:szCs w:val="15"/>
              </w:rPr>
              <w:t xml:space="preserve">20% of grade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Problem is precisely framed around a named place and population. Stakeholder map is comprehensive, rates interest/influence accurately, and ties each engagement method to that stakeholder's specific needs.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Problem is clearly framed. Stakeholder map identifies the major stakeholders with reasonable interest/influence ratings and a plausible engagement plan.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Problem framing is vague or overly broad. Stakeholder map is incomplete or omits an obviously affected group.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Problem is not clearly defined. Stakeholder analysis is missing or superficial, with no interest/influence rating or engagement detail.</w:t>
            </w:r>
          </w:p>
        </w:tc>
      </w:tr>
      <w:tr>
        <w:trPr>
          <w:cantSplit/>
        </w:trPr>
        <w:tc>
          <w:tcPr>
            <w:tcW w:type="dxa" w:w="21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20"/>
            </w:pPr>
            <w:r>
              <w:rPr>
                <w:rFonts w:ascii="Cambria" w:cs="Cambria" w:eastAsia="Cambria" w:hAnsi="Cambria"/>
                <w:b/>
                <w:bCs/>
                <w:color w:val="132A4C"/>
                <w:sz w:val="18"/>
                <w:szCs w:val="18"/>
              </w:rPr>
              <w:t xml:space="preserve">Appropriate AI/DSS Workflow &amp; Documentation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B7C"/>
                <w:sz w:val="15"/>
                <w:szCs w:val="15"/>
              </w:rPr>
              <w:t xml:space="preserve">20% of grade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DSS category and tools are clearly matched to the task. Every AI-influenced step is documented in the Process Log with a defined human-review point.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DSS/AI tools are reasonably matched to the task. Most steps are documented in the Process Log with review points identified.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Tool choice is only loosely justified. Process Log has gaps or missing review points for some steps.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No clear rationale for tool or DSS choice. Process Log is largely incomplete or absent.</w:t>
            </w:r>
          </w:p>
        </w:tc>
      </w:tr>
      <w:tr>
        <w:trPr>
          <w:cantSplit/>
        </w:trPr>
        <w:tc>
          <w:tcPr>
            <w:tcW w:type="dxa" w:w="21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20"/>
            </w:pPr>
            <w:r>
              <w:rPr>
                <w:rFonts w:ascii="Cambria" w:cs="Cambria" w:eastAsia="Cambria" w:hAnsi="Cambria"/>
                <w:b/>
                <w:bCs/>
                <w:color w:val="132A4C"/>
                <w:sz w:val="18"/>
                <w:szCs w:val="18"/>
              </w:rPr>
              <w:t xml:space="preserve">Scenario Comparison &amp; Evidence Quality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B7C"/>
                <w:sz w:val="15"/>
                <w:szCs w:val="15"/>
              </w:rPr>
              <w:t xml:space="preserve">20% of grade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Multiple realistic scenarios are compared using a well-justified, correctly calculated weighted matrix. A sensitivity analysis is performed and interpreted.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Scenarios are compared with a weighted matrix that sums and calculates correctly, with some discussion of how results might change with different weights.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Scenario comparison is present but weights or scores are poorly justified, or the matrix contains calculation errors.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Scenario comparison is missing, or reduced to a single preferred option with no supporting evidence.</w:t>
            </w:r>
          </w:p>
        </w:tc>
      </w:tr>
      <w:tr>
        <w:trPr>
          <w:cantSplit/>
        </w:trPr>
        <w:tc>
          <w:tcPr>
            <w:tcW w:type="dxa" w:w="21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20"/>
            </w:pPr>
            <w:r>
              <w:rPr>
                <w:rFonts w:ascii="Cambria" w:cs="Cambria" w:eastAsia="Cambria" w:hAnsi="Cambria"/>
                <w:b/>
                <w:bCs/>
                <w:color w:val="132A4C"/>
                <w:sz w:val="18"/>
                <w:szCs w:val="18"/>
              </w:rPr>
              <w:t xml:space="preserve">Evaluation of AI Outputs, Bias, Uncertainty &amp; Limitations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B7C"/>
                <w:sz w:val="15"/>
                <w:szCs w:val="15"/>
              </w:rPr>
              <w:t xml:space="preserve">20% of grade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Every AI-assisted claim is checked against a named source. Audit worksheets thoroughly document accuracy, bias, missing context, and uncertainty with specific evidence.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Most AI-assisted claims are checked against a source. Audit worksheets address bias and uncertainty with reasonable, if general, analysis.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Only some AI outputs are checked. Bias and uncertainty discussion is generic and not tied to the team's specific outputs.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AI outputs are used without verification. No meaningful bias or uncertainty discussion is present.</w:t>
            </w:r>
          </w:p>
        </w:tc>
      </w:tr>
      <w:tr>
        <w:trPr>
          <w:cantSplit/>
        </w:trPr>
        <w:tc>
          <w:tcPr>
            <w:tcW w:type="dxa" w:w="21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20"/>
            </w:pPr>
            <w:r>
              <w:rPr>
                <w:rFonts w:ascii="Cambria" w:cs="Cambria" w:eastAsia="Cambria" w:hAnsi="Cambria"/>
                <w:b/>
                <w:bCs/>
                <w:color w:val="132A4C"/>
                <w:sz w:val="18"/>
                <w:szCs w:val="18"/>
              </w:rPr>
              <w:t xml:space="preserve">Responsible AI Safeguards, Human Oversight &amp; Communication Clarity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B7C"/>
                <w:sz w:val="15"/>
                <w:szCs w:val="15"/>
              </w:rPr>
              <w:t xml:space="preserve">20% of grade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Human oversight plan names specific reviewers and checkpoints. AI Use Log is complete and consistent. The Brief is clearly written, well-organized, accessible, and thoroughly discloses AI use.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Oversight plan is present and reasonable. AI Use Log has only minor gaps. The Brief is clear and organized with adequate disclosure.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Oversight plan is vague (e.g., 'a human will check it') without specifics. AI Use Log has notable gaps. The Brief has organization or clarity issues.</w:t>
            </w:r>
          </w:p>
        </w:tc>
        <w:tc>
          <w:tcPr>
            <w:tcW w:type="dxa" w:w="298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16"/>
            </w:pPr>
            <w:r>
              <w:rPr>
                <w:rFonts w:ascii="Calibri" w:cs="Calibri" w:eastAsia="Calibri" w:hAnsi="Calibri"/>
                <w:color w:val="1B2A3D"/>
                <w:sz w:val="16"/>
                <w:szCs w:val="16"/>
              </w:rPr>
              <w:t xml:space="preserve">No meaningful oversight plan is present. AI Use Log is missing or clearly incomplete. The Brief is difficult to follow or omits required disclosure.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Note: this rubric evaluates the team's final Decision-Support Brief and presentation. Weekly mini-tasks are graded separately, complete/incomplete, by the TA.</w:t>
      </w:r>
    </w:p>
    <w:sectPr>
      <w:headerReference w:type="default" r:id="rId7"/>
      <w:footerReference w:type="default" r:id="rId8"/>
      <w:pgSz w:w="15840" w:h="12240" w:orient="landscape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4" w:sz="4" w:space="4"/>
      </w:pBdr>
      <w:tabs>
        <w:tab w:val="right" w:pos="9026"/>
      </w:tabs>
    </w:pPr>
    <w:r>
      <w:rPr>
        <w:rFonts w:ascii="Calibri" w:cs="Calibri" w:eastAsia="Calibri" w:hAnsi="Calibri"/>
        <w:color w:val="5B6B7C"/>
        <w:sz w:val="16"/>
        <w:szCs w:val="16"/>
      </w:rPr>
      <w:t xml:space="preserve">Urban AI · MSU AI-Ready Initiative</w:t>
    </w:r>
    <w:r>
      <w:t xml:space="preserve">	</w:t>
    </w:r>
    <w:r>
      <w:rPr>
        <w:rFonts w:ascii="Calibri" w:cs="Calibri" w:eastAsia="Calibri" w:hAnsi="Calibri"/>
        <w:color w:val="5B6B7C"/>
        <w:sz w:val="16"/>
        <w:szCs w:val="16"/>
      </w:rPr>
      <w:t xml:space="preserve">Grading Rubric  ·  Page </w:t>
    </w:r>
    <w:r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7C"/>
        <w:sz w:val="16"/>
        <w:szCs w:val="16"/>
      </w:rPr>
      <w:t xml:space="preserve"> of </w:t>
    </w:r>
    <w:r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4" w:sz="4" w:space="4"/>
      </w:pBdr>
    </w:pPr>
    <w:r>
      <w:rPr>
        <w:rFonts w:ascii="Calibri" w:cs="Calibri" w:eastAsia="Calibri" w:hAnsi="Calibri"/>
        <w:b/>
        <w:bCs/>
        <w:color w:val="5B6B7C"/>
        <w:sz w:val="16"/>
        <w:szCs w:val="16"/>
      </w:rPr>
      <w:t xml:space="preserve">Grading Rubric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Grading Rubric</dc:title>
  <dc:creator>Urban AI · MSU AI-Ready Initiative</dc:creator>
  <cp:lastModifiedBy>Un-named</cp:lastModifiedBy>
  <cp:revision>1</cp:revision>
  <dcterms:created xsi:type="dcterms:W3CDTF">2026-08-11T13:04:23.288Z</dcterms:created>
  <dcterms:modified xsi:type="dcterms:W3CDTF">2026-08-11T13:04:23.288Z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