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6A8A6">
      <w:pPr>
        <w:jc w:val="center"/>
      </w:pPr>
      <w:r>
        <w:rPr>
          <w:rFonts w:ascii="微软雅黑" w:hAnsi="微软雅黑" w:eastAsia="微软雅黑"/>
          <w:b/>
          <w:sz w:val="48"/>
        </w:rPr>
        <w:t>《皇室战争》产品拆解案</w:t>
      </w:r>
    </w:p>
    <w:p w14:paraId="1206A32A">
      <w:pPr>
        <w:jc w:val="center"/>
      </w:pPr>
      <w:r>
        <w:t>用途：策划学习、竞品拆解、系统设计参考</w:t>
      </w:r>
    </w:p>
    <w:p w14:paraId="13B49114">
      <w:r>
        <w:br w:type="page"/>
      </w:r>
      <w:bookmarkStart w:id="0" w:name="_GoBack"/>
      <w:bookmarkEnd w:id="0"/>
    </w:p>
    <w:p w14:paraId="6574F79A">
      <w:pPr>
        <w:pStyle w:val="3"/>
      </w:pPr>
      <w:r>
        <w:rPr>
          <w:rFonts w:ascii="微软雅黑" w:hAnsi="微软雅黑" w:eastAsia="微软雅黑"/>
        </w:rPr>
        <w:t>一、结论摘要</w:t>
      </w:r>
    </w:p>
    <w:p w14:paraId="540B977F">
      <w:pPr>
        <w:spacing w:after="120"/>
      </w:pPr>
      <w:r>
        <w:t>《皇室战争》的核心价值并不是单一的卡牌收集，而是“3分钟实时对抗 + 低门槛卡组构筑 + 长线资源追逐”三者之间的稳定耦合。它用极短局长提供强反馈，用八卡牌组制造可理解的策略边界，再用卡牌等级、赛季、活动、塔兵、英雄与进化系统持续扩展长期目标。</w:t>
      </w:r>
    </w:p>
    <w:p w14:paraId="4725DA7D">
      <w:pPr>
        <w:pStyle w:val="16"/>
      </w:pPr>
      <w:r>
        <w:t>成功点：把MOBA的兵线对抗、塔防的空间控制、卡牌游戏的构筑克制压缩进移动端短局。</w:t>
      </w:r>
    </w:p>
    <w:p w14:paraId="083716B7">
      <w:pPr>
        <w:pStyle w:val="16"/>
      </w:pPr>
      <w:r>
        <w:t>增长点：版本更新不断增加“构筑维度”，让老卡获得新用途，同时维持玩家讨论热度。</w:t>
      </w:r>
    </w:p>
    <w:p w14:paraId="45B04019">
      <w:pPr>
        <w:pStyle w:val="16"/>
      </w:pPr>
      <w:r>
        <w:t>商业化点：围绕资源瓶颈、赛季目标和新内容窗口构建付费动机，付费不只买数值，也买效率、尝鲜和构筑完整度。</w:t>
      </w:r>
    </w:p>
    <w:p w14:paraId="3F3861E8">
      <w:pPr>
        <w:pStyle w:val="16"/>
      </w:pPr>
      <w:r>
        <w:t>风险点：新增系统越多，公平感与新手理解成本越高；高阶玩家对平衡、养成成本和强势新内容更敏感。</w:t>
      </w:r>
    </w:p>
    <w:p w14:paraId="38C17136">
      <w:pPr>
        <w:jc w:val="center"/>
      </w:pPr>
      <w:r>
        <w:drawing>
          <wp:inline distT="0" distB="0" distL="114300" distR="114300">
            <wp:extent cx="5579745" cy="3258820"/>
            <wp:effectExtent l="0" t="0" r="190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ED86">
      <w:pPr>
        <w:pStyle w:val="3"/>
      </w:pPr>
      <w:r>
        <w:rPr>
          <w:rFonts w:ascii="微软雅黑" w:hAnsi="微软雅黑" w:eastAsia="微软雅黑"/>
        </w:rPr>
        <w:t>二、产品定位与基本信息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87"/>
      </w:tblGrid>
      <w:tr w14:paraId="6195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774AE"/>
            <w:vAlign w:val="center"/>
          </w:tcPr>
          <w:p w14:paraId="01F7685B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w="7087" w:type="dxa"/>
            <w:shd w:val="clear" w:color="auto" w:fill="2774AE"/>
            <w:vAlign w:val="center"/>
          </w:tcPr>
          <w:p w14:paraId="5E60A69F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拆解</w:t>
            </w:r>
          </w:p>
        </w:tc>
      </w:tr>
      <w:tr w14:paraId="608D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537E646">
            <w:pPr>
              <w:spacing w:after="0" w:line="240" w:lineRule="auto"/>
            </w:pPr>
            <w:r>
              <w:rPr>
                <w:b w:val="0"/>
                <w:sz w:val="19"/>
              </w:rPr>
              <w:t>品类</w:t>
            </w:r>
          </w:p>
        </w:tc>
        <w:tc>
          <w:tcPr>
            <w:tcW w:w="7087" w:type="dxa"/>
            <w:vAlign w:val="center"/>
          </w:tcPr>
          <w:p w14:paraId="08AAACDF">
            <w:pPr>
              <w:spacing w:after="0" w:line="240" w:lineRule="auto"/>
            </w:pPr>
            <w:r>
              <w:rPr>
                <w:b w:val="0"/>
                <w:sz w:val="19"/>
              </w:rPr>
              <w:t>实时策略 / 卡牌构筑 / 塔防 / 轻MOBA</w:t>
            </w:r>
          </w:p>
        </w:tc>
      </w:tr>
      <w:tr w14:paraId="38C3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82FA7C3">
            <w:pPr>
              <w:spacing w:after="0" w:line="240" w:lineRule="auto"/>
            </w:pPr>
            <w:r>
              <w:rPr>
                <w:b w:val="0"/>
                <w:sz w:val="19"/>
              </w:rPr>
              <w:t>核心体验</w:t>
            </w:r>
          </w:p>
        </w:tc>
        <w:tc>
          <w:tcPr>
            <w:tcW w:w="7087" w:type="dxa"/>
            <w:vAlign w:val="center"/>
          </w:tcPr>
          <w:p w14:paraId="2EAA5038">
            <w:pPr>
              <w:spacing w:after="0" w:line="240" w:lineRule="auto"/>
            </w:pPr>
            <w:r>
              <w:rPr>
                <w:b w:val="0"/>
                <w:sz w:val="19"/>
              </w:rPr>
              <w:t>实时1v1攻防，围绕圣水、下牌位置、过牌周期和兵线压力展开博弈</w:t>
            </w:r>
          </w:p>
        </w:tc>
      </w:tr>
      <w:tr w14:paraId="6F32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C89C59E">
            <w:pPr>
              <w:spacing w:after="0" w:line="240" w:lineRule="auto"/>
            </w:pPr>
            <w:r>
              <w:rPr>
                <w:b w:val="0"/>
                <w:sz w:val="19"/>
              </w:rPr>
              <w:t>单局长度</w:t>
            </w:r>
          </w:p>
        </w:tc>
        <w:tc>
          <w:tcPr>
            <w:tcW w:w="7087" w:type="dxa"/>
            <w:vAlign w:val="center"/>
          </w:tcPr>
          <w:p w14:paraId="2533CAAE">
            <w:pPr>
              <w:spacing w:after="0" w:line="240" w:lineRule="auto"/>
            </w:pPr>
            <w:r>
              <w:rPr>
                <w:b w:val="0"/>
                <w:sz w:val="19"/>
              </w:rPr>
              <w:t>约3分钟基础局长，平局/加时机制拉高决胜张力</w:t>
            </w:r>
          </w:p>
        </w:tc>
      </w:tr>
      <w:tr w14:paraId="21E9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91CC4E9">
            <w:pPr>
              <w:spacing w:after="0" w:line="240" w:lineRule="auto"/>
            </w:pPr>
            <w:r>
              <w:rPr>
                <w:b w:val="0"/>
                <w:sz w:val="19"/>
              </w:rPr>
              <w:t>目标用户</w:t>
            </w:r>
          </w:p>
        </w:tc>
        <w:tc>
          <w:tcPr>
            <w:tcW w:w="7087" w:type="dxa"/>
            <w:vAlign w:val="center"/>
          </w:tcPr>
          <w:p w14:paraId="173022D0">
            <w:pPr>
              <w:spacing w:after="0" w:line="240" w:lineRule="auto"/>
            </w:pPr>
            <w:r>
              <w:rPr>
                <w:b w:val="0"/>
                <w:sz w:val="19"/>
              </w:rPr>
              <w:t>喜欢竞技对抗、可重复短局、可收集成长和低学习门槛策略的移动端玩家</w:t>
            </w:r>
          </w:p>
        </w:tc>
      </w:tr>
      <w:tr w14:paraId="7AAA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400E3C7">
            <w:pPr>
              <w:spacing w:after="0" w:line="240" w:lineRule="auto"/>
            </w:pPr>
            <w:r>
              <w:rPr>
                <w:b w:val="0"/>
                <w:sz w:val="19"/>
              </w:rPr>
              <w:t>长期运营关键词</w:t>
            </w:r>
          </w:p>
        </w:tc>
        <w:tc>
          <w:tcPr>
            <w:tcW w:w="7087" w:type="dxa"/>
            <w:vAlign w:val="center"/>
          </w:tcPr>
          <w:p w14:paraId="5E9B05EF">
            <w:pPr>
              <w:spacing w:after="0" w:line="240" w:lineRule="auto"/>
            </w:pPr>
            <w:r>
              <w:rPr>
                <w:b w:val="0"/>
                <w:sz w:val="19"/>
              </w:rPr>
              <w:t>赛季、排位、活动、通行证、平衡调整、新卡、卡牌进化、塔兵、英雄、模式扩展</w:t>
            </w:r>
          </w:p>
        </w:tc>
      </w:tr>
    </w:tbl>
    <w:p w14:paraId="02266511"/>
    <w:p w14:paraId="5D36EA90">
      <w:pPr>
        <w:spacing w:after="120"/>
      </w:pPr>
      <w:r>
        <w:t>公开市场数据上，Clash Royale 已进入长生命周期阶段，但仍通过更新与赛季运营维持较高商业表现。公开估算显示其 2025 年收入较 2024 年明显上升，累计收入与下载规模均处于移动游戏头部产品区间。</w:t>
      </w:r>
    </w:p>
    <w:p w14:paraId="3014618C">
      <w:pPr>
        <w:jc w:val="center"/>
      </w:pPr>
      <w:r>
        <w:drawing>
          <wp:inline distT="0" distB="0" distL="114300" distR="114300">
            <wp:extent cx="5579745" cy="304101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A848">
      <w:pPr>
        <w:pStyle w:val="3"/>
      </w:pPr>
      <w:r>
        <w:rPr>
          <w:rFonts w:ascii="微软雅黑" w:hAnsi="微软雅黑" w:eastAsia="微软雅黑"/>
        </w:rPr>
        <w:t>三、核心玩法拆解</w:t>
      </w:r>
    </w:p>
    <w:p w14:paraId="4CE486D5">
      <w:pPr>
        <w:spacing w:after="120"/>
      </w:pPr>
      <w:r>
        <w:t>战斗结构可以拆成三层：资源、空间、时间。资源是圣水和卡牌循环；空间是左右路、河道、建筑拉扯和塔血；时间是开局试探、双倍圣水爆发、加时决胜。玩家每一次下牌都同时在这三层上下注。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948"/>
        <w:gridCol w:w="4195"/>
      </w:tblGrid>
      <w:tr w14:paraId="5A26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774AE"/>
            <w:vAlign w:val="center"/>
          </w:tcPr>
          <w:p w14:paraId="7F90113C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设计模块</w:t>
            </w:r>
          </w:p>
        </w:tc>
        <w:tc>
          <w:tcPr>
            <w:tcW w:w="2948" w:type="dxa"/>
            <w:shd w:val="clear" w:color="auto" w:fill="2774AE"/>
            <w:vAlign w:val="center"/>
          </w:tcPr>
          <w:p w14:paraId="3406A932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玩家感知</w:t>
            </w:r>
          </w:p>
        </w:tc>
        <w:tc>
          <w:tcPr>
            <w:tcW w:w="4195" w:type="dxa"/>
            <w:shd w:val="clear" w:color="auto" w:fill="2774AE"/>
            <w:vAlign w:val="center"/>
          </w:tcPr>
          <w:p w14:paraId="404397C3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策划价值</w:t>
            </w:r>
          </w:p>
        </w:tc>
      </w:tr>
      <w:tr w14:paraId="0BDD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539D8F">
            <w:pPr>
              <w:spacing w:after="0" w:line="240" w:lineRule="auto"/>
            </w:pPr>
            <w:r>
              <w:rPr>
                <w:b w:val="0"/>
                <w:sz w:val="19"/>
              </w:rPr>
              <w:t>8卡卡组</w:t>
            </w:r>
          </w:p>
        </w:tc>
        <w:tc>
          <w:tcPr>
            <w:tcW w:w="2948" w:type="dxa"/>
            <w:vAlign w:val="center"/>
          </w:tcPr>
          <w:p w14:paraId="2735C853">
            <w:pPr>
              <w:spacing w:after="0" w:line="240" w:lineRule="auto"/>
            </w:pPr>
            <w:r>
              <w:rPr>
                <w:b w:val="0"/>
                <w:sz w:val="19"/>
              </w:rPr>
              <w:t>选择少、组合多，便于记忆与复盘</w:t>
            </w:r>
          </w:p>
        </w:tc>
        <w:tc>
          <w:tcPr>
            <w:tcW w:w="4195" w:type="dxa"/>
            <w:vAlign w:val="center"/>
          </w:tcPr>
          <w:p w14:paraId="1CFCE528">
            <w:pPr>
              <w:spacing w:after="0" w:line="240" w:lineRule="auto"/>
            </w:pPr>
            <w:r>
              <w:rPr>
                <w:b w:val="0"/>
                <w:sz w:val="19"/>
              </w:rPr>
              <w:t>限制复杂度，同时给构筑留下足够空间</w:t>
            </w:r>
          </w:p>
        </w:tc>
      </w:tr>
      <w:tr w14:paraId="187B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B9ABEC">
            <w:pPr>
              <w:spacing w:after="0" w:line="240" w:lineRule="auto"/>
            </w:pPr>
            <w:r>
              <w:rPr>
                <w:b w:val="0"/>
                <w:sz w:val="19"/>
              </w:rPr>
              <w:t>圣水系统</w:t>
            </w:r>
          </w:p>
        </w:tc>
        <w:tc>
          <w:tcPr>
            <w:tcW w:w="2948" w:type="dxa"/>
            <w:vAlign w:val="center"/>
          </w:tcPr>
          <w:p w14:paraId="28F7C49B">
            <w:pPr>
              <w:spacing w:after="0" w:line="240" w:lineRule="auto"/>
            </w:pPr>
            <w:r>
              <w:rPr>
                <w:b w:val="0"/>
                <w:sz w:val="19"/>
              </w:rPr>
              <w:t>等待与爆发交替，形成节奏感</w:t>
            </w:r>
          </w:p>
        </w:tc>
        <w:tc>
          <w:tcPr>
            <w:tcW w:w="4195" w:type="dxa"/>
            <w:vAlign w:val="center"/>
          </w:tcPr>
          <w:p w14:paraId="3FBBF1C3">
            <w:pPr>
              <w:spacing w:after="0" w:line="240" w:lineRule="auto"/>
            </w:pPr>
            <w:r>
              <w:rPr>
                <w:b w:val="0"/>
                <w:sz w:val="19"/>
              </w:rPr>
              <w:t>天然防止无脑铺场，使每次行动带有机会成本</w:t>
            </w:r>
          </w:p>
        </w:tc>
      </w:tr>
      <w:tr w14:paraId="375B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354C1E">
            <w:pPr>
              <w:spacing w:after="0" w:line="240" w:lineRule="auto"/>
            </w:pPr>
            <w:r>
              <w:rPr>
                <w:b w:val="0"/>
                <w:sz w:val="19"/>
              </w:rPr>
              <w:t>双路地图</w:t>
            </w:r>
          </w:p>
        </w:tc>
        <w:tc>
          <w:tcPr>
            <w:tcW w:w="2948" w:type="dxa"/>
            <w:vAlign w:val="center"/>
          </w:tcPr>
          <w:p w14:paraId="731D45D1">
            <w:pPr>
              <w:spacing w:after="0" w:line="240" w:lineRule="auto"/>
            </w:pPr>
            <w:r>
              <w:rPr>
                <w:b w:val="0"/>
                <w:sz w:val="19"/>
              </w:rPr>
              <w:t>能分推、换路、抢节奏</w:t>
            </w:r>
          </w:p>
        </w:tc>
        <w:tc>
          <w:tcPr>
            <w:tcW w:w="4195" w:type="dxa"/>
            <w:vAlign w:val="center"/>
          </w:tcPr>
          <w:p w14:paraId="0AA028A1">
            <w:pPr>
              <w:spacing w:after="0" w:line="240" w:lineRule="auto"/>
            </w:pPr>
            <w:r>
              <w:rPr>
                <w:b w:val="0"/>
                <w:sz w:val="19"/>
              </w:rPr>
              <w:t>让攻防转换可视化，增强观战与理解</w:t>
            </w:r>
          </w:p>
        </w:tc>
      </w:tr>
      <w:tr w14:paraId="0FC2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DAFE77">
            <w:pPr>
              <w:spacing w:after="0" w:line="240" w:lineRule="auto"/>
            </w:pPr>
            <w:r>
              <w:rPr>
                <w:b w:val="0"/>
                <w:sz w:val="19"/>
              </w:rPr>
              <w:t>塔血胜负</w:t>
            </w:r>
          </w:p>
        </w:tc>
        <w:tc>
          <w:tcPr>
            <w:tcW w:w="2948" w:type="dxa"/>
            <w:vAlign w:val="center"/>
          </w:tcPr>
          <w:p w14:paraId="0761D946">
            <w:pPr>
              <w:spacing w:after="0" w:line="240" w:lineRule="auto"/>
            </w:pPr>
            <w:r>
              <w:rPr>
                <w:b w:val="0"/>
                <w:sz w:val="19"/>
              </w:rPr>
              <w:t>目标清晰，优势可被量化</w:t>
            </w:r>
          </w:p>
        </w:tc>
        <w:tc>
          <w:tcPr>
            <w:tcW w:w="4195" w:type="dxa"/>
            <w:vAlign w:val="center"/>
          </w:tcPr>
          <w:p w14:paraId="6BC0E600">
            <w:pPr>
              <w:spacing w:after="0" w:line="240" w:lineRule="auto"/>
            </w:pPr>
            <w:r>
              <w:rPr>
                <w:b w:val="0"/>
                <w:sz w:val="19"/>
              </w:rPr>
              <w:t>降低学习门槛，也方便制造最后一击爽感</w:t>
            </w:r>
          </w:p>
        </w:tc>
      </w:tr>
      <w:tr w14:paraId="3D67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7831C0">
            <w:pPr>
              <w:spacing w:after="0" w:line="240" w:lineRule="auto"/>
            </w:pPr>
            <w:r>
              <w:rPr>
                <w:b w:val="0"/>
                <w:sz w:val="19"/>
              </w:rPr>
              <w:t>卡牌克制</w:t>
            </w:r>
          </w:p>
        </w:tc>
        <w:tc>
          <w:tcPr>
            <w:tcW w:w="2948" w:type="dxa"/>
            <w:vAlign w:val="center"/>
          </w:tcPr>
          <w:p w14:paraId="7D28BABC">
            <w:pPr>
              <w:spacing w:after="0" w:line="240" w:lineRule="auto"/>
            </w:pPr>
            <w:r>
              <w:rPr>
                <w:b w:val="0"/>
                <w:sz w:val="19"/>
              </w:rPr>
              <w:t>输赢常能归因到选择或操作</w:t>
            </w:r>
          </w:p>
        </w:tc>
        <w:tc>
          <w:tcPr>
            <w:tcW w:w="4195" w:type="dxa"/>
            <w:vAlign w:val="center"/>
          </w:tcPr>
          <w:p w14:paraId="65B6F74C">
            <w:pPr>
              <w:spacing w:after="0" w:line="240" w:lineRule="auto"/>
            </w:pPr>
            <w:r>
              <w:rPr>
                <w:b w:val="0"/>
                <w:sz w:val="19"/>
              </w:rPr>
              <w:t>支撑持续学习和社区讨论</w:t>
            </w:r>
          </w:p>
        </w:tc>
      </w:tr>
    </w:tbl>
    <w:p w14:paraId="4A7EA338"/>
    <w:p w14:paraId="01552813">
      <w:pPr>
        <w:jc w:val="center"/>
      </w:pPr>
      <w:r>
        <w:drawing>
          <wp:inline distT="0" distB="0" distL="114300" distR="114300">
            <wp:extent cx="5579745" cy="32696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C339">
      <w:pPr>
        <w:pStyle w:val="3"/>
      </w:pPr>
      <w:r>
        <w:rPr>
          <w:rFonts w:ascii="微软雅黑" w:hAnsi="微软雅黑" w:eastAsia="微软雅黑"/>
        </w:rPr>
        <w:t>四、成长与经济系统</w:t>
      </w:r>
    </w:p>
    <w:p w14:paraId="261D65AE">
      <w:pPr>
        <w:spacing w:after="120"/>
      </w:pPr>
      <w:r>
        <w:t>成长系统本质是在“对战能力”和“收集完整度”之间制造双目标：玩家既想赢下一局，也想把常用卡组补齐。资源设计围绕金币、卡牌、万能牌、进化碎片、赛季货币、宝箱和活动奖励展开，形成多入口但同向的成长压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24"/>
        <w:gridCol w:w="2211"/>
        <w:gridCol w:w="2551"/>
      </w:tblGrid>
      <w:tr w14:paraId="0B68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774AE"/>
            <w:vAlign w:val="center"/>
          </w:tcPr>
          <w:p w14:paraId="6D82E57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资源/系统</w:t>
            </w:r>
          </w:p>
        </w:tc>
        <w:tc>
          <w:tcPr>
            <w:tcW w:w="2324" w:type="dxa"/>
            <w:shd w:val="clear" w:color="auto" w:fill="2774AE"/>
            <w:vAlign w:val="center"/>
          </w:tcPr>
          <w:p w14:paraId="4A838A1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主要来源</w:t>
            </w:r>
          </w:p>
        </w:tc>
        <w:tc>
          <w:tcPr>
            <w:tcW w:w="2211" w:type="dxa"/>
            <w:shd w:val="clear" w:color="auto" w:fill="2774AE"/>
            <w:vAlign w:val="center"/>
          </w:tcPr>
          <w:p w14:paraId="4E23375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消耗/用途</w:t>
            </w:r>
          </w:p>
        </w:tc>
        <w:tc>
          <w:tcPr>
            <w:tcW w:w="2551" w:type="dxa"/>
            <w:shd w:val="clear" w:color="auto" w:fill="2774AE"/>
            <w:vAlign w:val="center"/>
          </w:tcPr>
          <w:p w14:paraId="2A749A2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设计作用</w:t>
            </w:r>
          </w:p>
        </w:tc>
      </w:tr>
      <w:tr w14:paraId="17A0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187DEB">
            <w:pPr>
              <w:spacing w:after="0" w:line="240" w:lineRule="auto"/>
            </w:pPr>
            <w:r>
              <w:rPr>
                <w:b w:val="0"/>
                <w:sz w:val="19"/>
              </w:rPr>
              <w:t>卡牌与万能牌</w:t>
            </w:r>
          </w:p>
        </w:tc>
        <w:tc>
          <w:tcPr>
            <w:tcW w:w="2324" w:type="dxa"/>
            <w:vAlign w:val="center"/>
          </w:tcPr>
          <w:p w14:paraId="5E4C8F71">
            <w:pPr>
              <w:spacing w:after="0" w:line="240" w:lineRule="auto"/>
            </w:pPr>
            <w:r>
              <w:rPr>
                <w:b w:val="0"/>
                <w:sz w:val="19"/>
              </w:rPr>
              <w:t>宝箱、活动、商店、赛季奖励</w:t>
            </w:r>
          </w:p>
        </w:tc>
        <w:tc>
          <w:tcPr>
            <w:tcW w:w="2211" w:type="dxa"/>
            <w:vAlign w:val="center"/>
          </w:tcPr>
          <w:p w14:paraId="4B1FE958">
            <w:pPr>
              <w:spacing w:after="0" w:line="240" w:lineRule="auto"/>
            </w:pPr>
            <w:r>
              <w:rPr>
                <w:b w:val="0"/>
                <w:sz w:val="19"/>
              </w:rPr>
              <w:t>升级卡牌、补齐构筑</w:t>
            </w:r>
          </w:p>
        </w:tc>
        <w:tc>
          <w:tcPr>
            <w:tcW w:w="2551" w:type="dxa"/>
            <w:vAlign w:val="center"/>
          </w:tcPr>
          <w:p w14:paraId="4DCC7746">
            <w:pPr>
              <w:spacing w:after="0" w:line="240" w:lineRule="auto"/>
            </w:pPr>
            <w:r>
              <w:rPr>
                <w:b w:val="0"/>
                <w:sz w:val="19"/>
              </w:rPr>
              <w:t>制造长期收集目标</w:t>
            </w:r>
          </w:p>
        </w:tc>
      </w:tr>
      <w:tr w14:paraId="233B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5A4901">
            <w:pPr>
              <w:spacing w:after="0" w:line="240" w:lineRule="auto"/>
            </w:pPr>
            <w:r>
              <w:rPr>
                <w:b w:val="0"/>
                <w:sz w:val="19"/>
              </w:rPr>
              <w:t>金币</w:t>
            </w:r>
          </w:p>
        </w:tc>
        <w:tc>
          <w:tcPr>
            <w:tcW w:w="2324" w:type="dxa"/>
            <w:vAlign w:val="center"/>
          </w:tcPr>
          <w:p w14:paraId="42FA4BDE">
            <w:pPr>
              <w:spacing w:after="0" w:line="240" w:lineRule="auto"/>
            </w:pPr>
            <w:r>
              <w:rPr>
                <w:b w:val="0"/>
                <w:sz w:val="19"/>
              </w:rPr>
              <w:t>宝箱、任务、活动、购买</w:t>
            </w:r>
          </w:p>
        </w:tc>
        <w:tc>
          <w:tcPr>
            <w:tcW w:w="2211" w:type="dxa"/>
            <w:vAlign w:val="center"/>
          </w:tcPr>
          <w:p w14:paraId="5C64FE29">
            <w:pPr>
              <w:spacing w:after="0" w:line="240" w:lineRule="auto"/>
            </w:pPr>
            <w:r>
              <w:rPr>
                <w:b w:val="0"/>
                <w:sz w:val="19"/>
              </w:rPr>
              <w:t>升级卡牌/塔兵</w:t>
            </w:r>
          </w:p>
        </w:tc>
        <w:tc>
          <w:tcPr>
            <w:tcW w:w="2551" w:type="dxa"/>
            <w:vAlign w:val="center"/>
          </w:tcPr>
          <w:p w14:paraId="3E8E13CB">
            <w:pPr>
              <w:spacing w:after="0" w:line="240" w:lineRule="auto"/>
            </w:pPr>
            <w:r>
              <w:rPr>
                <w:b w:val="0"/>
                <w:sz w:val="19"/>
              </w:rPr>
              <w:t>核心瓶颈资源，驱动留存与付费</w:t>
            </w:r>
          </w:p>
        </w:tc>
      </w:tr>
      <w:tr w14:paraId="7BAF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5A8342">
            <w:pPr>
              <w:spacing w:after="0" w:line="240" w:lineRule="auto"/>
            </w:pPr>
            <w:r>
              <w:rPr>
                <w:b w:val="0"/>
                <w:sz w:val="19"/>
              </w:rPr>
              <w:t>进化碎片</w:t>
            </w:r>
          </w:p>
        </w:tc>
        <w:tc>
          <w:tcPr>
            <w:tcW w:w="2324" w:type="dxa"/>
            <w:vAlign w:val="center"/>
          </w:tcPr>
          <w:p w14:paraId="469105D6">
            <w:pPr>
              <w:spacing w:after="0" w:line="240" w:lineRule="auto"/>
            </w:pPr>
            <w:r>
              <w:rPr>
                <w:b w:val="0"/>
                <w:sz w:val="19"/>
              </w:rPr>
              <w:t>活动、商店、通行证、特殊奖励</w:t>
            </w:r>
          </w:p>
        </w:tc>
        <w:tc>
          <w:tcPr>
            <w:tcW w:w="2211" w:type="dxa"/>
            <w:vAlign w:val="center"/>
          </w:tcPr>
          <w:p w14:paraId="24436121">
            <w:pPr>
              <w:spacing w:after="0" w:line="240" w:lineRule="auto"/>
            </w:pPr>
            <w:r>
              <w:rPr>
                <w:b w:val="0"/>
                <w:sz w:val="19"/>
              </w:rPr>
              <w:t>解锁卡牌进化</w:t>
            </w:r>
          </w:p>
        </w:tc>
        <w:tc>
          <w:tcPr>
            <w:tcW w:w="2551" w:type="dxa"/>
            <w:vAlign w:val="center"/>
          </w:tcPr>
          <w:p w14:paraId="38305DAE">
            <w:pPr>
              <w:spacing w:after="0" w:line="240" w:lineRule="auto"/>
            </w:pPr>
            <w:r>
              <w:rPr>
                <w:b w:val="0"/>
                <w:sz w:val="19"/>
              </w:rPr>
              <w:t>给老卡增加新追求</w:t>
            </w:r>
          </w:p>
        </w:tc>
      </w:tr>
      <w:tr w14:paraId="3AC9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FF8CCA">
            <w:pPr>
              <w:spacing w:after="0" w:line="240" w:lineRule="auto"/>
            </w:pPr>
            <w:r>
              <w:rPr>
                <w:b w:val="0"/>
                <w:sz w:val="19"/>
              </w:rPr>
              <w:t>奖杯/排位</w:t>
            </w:r>
          </w:p>
        </w:tc>
        <w:tc>
          <w:tcPr>
            <w:tcW w:w="2324" w:type="dxa"/>
            <w:vAlign w:val="center"/>
          </w:tcPr>
          <w:p w14:paraId="22D77074">
            <w:pPr>
              <w:spacing w:after="0" w:line="240" w:lineRule="auto"/>
            </w:pPr>
            <w:r>
              <w:rPr>
                <w:b w:val="0"/>
                <w:sz w:val="19"/>
              </w:rPr>
              <w:t>对战胜负</w:t>
            </w:r>
          </w:p>
        </w:tc>
        <w:tc>
          <w:tcPr>
            <w:tcW w:w="2211" w:type="dxa"/>
            <w:vAlign w:val="center"/>
          </w:tcPr>
          <w:p w14:paraId="6964DB4F">
            <w:pPr>
              <w:spacing w:after="0" w:line="240" w:lineRule="auto"/>
            </w:pPr>
            <w:r>
              <w:rPr>
                <w:b w:val="0"/>
                <w:sz w:val="19"/>
              </w:rPr>
              <w:t>竞技分层、解锁奖励</w:t>
            </w:r>
          </w:p>
        </w:tc>
        <w:tc>
          <w:tcPr>
            <w:tcW w:w="2551" w:type="dxa"/>
            <w:vAlign w:val="center"/>
          </w:tcPr>
          <w:p w14:paraId="51F00B6D">
            <w:pPr>
              <w:spacing w:after="0" w:line="240" w:lineRule="auto"/>
            </w:pPr>
            <w:r>
              <w:rPr>
                <w:b w:val="0"/>
                <w:sz w:val="19"/>
              </w:rPr>
              <w:t>提供荣誉目标和匹配分层</w:t>
            </w:r>
          </w:p>
        </w:tc>
      </w:tr>
      <w:tr w14:paraId="48A36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074112">
            <w:pPr>
              <w:spacing w:after="0" w:line="240" w:lineRule="auto"/>
            </w:pPr>
            <w:r>
              <w:rPr>
                <w:b w:val="0"/>
                <w:sz w:val="19"/>
              </w:rPr>
              <w:t>赛季货币</w:t>
            </w:r>
          </w:p>
        </w:tc>
        <w:tc>
          <w:tcPr>
            <w:tcW w:w="2324" w:type="dxa"/>
            <w:vAlign w:val="center"/>
          </w:tcPr>
          <w:p w14:paraId="11F8194B">
            <w:pPr>
              <w:spacing w:after="0" w:line="240" w:lineRule="auto"/>
            </w:pPr>
            <w:r>
              <w:rPr>
                <w:b w:val="0"/>
                <w:sz w:val="19"/>
              </w:rPr>
              <w:t>活动与赛季玩法</w:t>
            </w:r>
          </w:p>
        </w:tc>
        <w:tc>
          <w:tcPr>
            <w:tcW w:w="2211" w:type="dxa"/>
            <w:vAlign w:val="center"/>
          </w:tcPr>
          <w:p w14:paraId="20C70B79">
            <w:pPr>
              <w:spacing w:after="0" w:line="240" w:lineRule="auto"/>
            </w:pPr>
            <w:r>
              <w:rPr>
                <w:b w:val="0"/>
                <w:sz w:val="19"/>
              </w:rPr>
              <w:t>兑换限时资源</w:t>
            </w:r>
          </w:p>
        </w:tc>
        <w:tc>
          <w:tcPr>
            <w:tcW w:w="2551" w:type="dxa"/>
            <w:vAlign w:val="center"/>
          </w:tcPr>
          <w:p w14:paraId="6CABE2D2">
            <w:pPr>
              <w:spacing w:after="0" w:line="240" w:lineRule="auto"/>
            </w:pPr>
            <w:r>
              <w:rPr>
                <w:b w:val="0"/>
                <w:sz w:val="19"/>
              </w:rPr>
              <w:t>让非天梯玩家也有周/月目标</w:t>
            </w:r>
          </w:p>
        </w:tc>
      </w:tr>
    </w:tbl>
    <w:p w14:paraId="4D288BDE"/>
    <w:p w14:paraId="7268A6FE">
      <w:pPr>
        <w:jc w:val="center"/>
      </w:pPr>
      <w:r>
        <w:drawing>
          <wp:inline distT="0" distB="0" distL="114300" distR="114300">
            <wp:extent cx="5579745" cy="3052445"/>
            <wp:effectExtent l="0" t="0" r="190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82CC">
      <w:pPr>
        <w:pStyle w:val="3"/>
      </w:pPr>
      <w:r>
        <w:rPr>
          <w:rFonts w:ascii="微软雅黑" w:hAnsi="微软雅黑" w:eastAsia="微软雅黑"/>
        </w:rPr>
        <w:t>五、商业化拆解</w:t>
      </w:r>
    </w:p>
    <w:p w14:paraId="29BF0BC2">
      <w:pPr>
        <w:spacing w:after="120"/>
      </w:pPr>
      <w:r>
        <w:t>《皇室战争》的付费点并不依赖单一强卖，而是把付费嵌入多个“差一点”的时刻：差一点升级、差一点解锁进化、差一点完成赛季、差一点补齐主力卡组。核心是用目标感而非单纯广告式刺激推动转化。</w:t>
      </w:r>
    </w:p>
    <w:p w14:paraId="5AD13E61">
      <w:pPr>
        <w:pStyle w:val="16"/>
      </w:pPr>
      <w:r>
        <w:t>通行证：把月度活跃、奖励预期和高性价比付费绑定，是稳定收入底盘。</w:t>
      </w:r>
    </w:p>
    <w:p w14:paraId="00451C10">
      <w:pPr>
        <w:pStyle w:val="16"/>
      </w:pPr>
      <w:r>
        <w:t>限时礼包：围绕新卡、新进化、新英雄和赛季节点制造购买窗口。</w:t>
      </w:r>
    </w:p>
    <w:p w14:paraId="58850B8B">
      <w:pPr>
        <w:pStyle w:val="16"/>
      </w:pPr>
      <w:r>
        <w:t>商店资源：服务有明确升级目标的玩家，缩短资源积累时间。</w:t>
      </w:r>
    </w:p>
    <w:p w14:paraId="0F3F7171">
      <w:pPr>
        <w:pStyle w:val="16"/>
      </w:pPr>
      <w:r>
        <w:t>外观与荣誉：徽章、表情、战旗等内容增强身份表达，但不承担主要数值压力。</w:t>
      </w:r>
    </w:p>
    <w:p w14:paraId="2890A69A">
      <w:pPr>
        <w:jc w:val="center"/>
      </w:pPr>
      <w:r>
        <w:drawing>
          <wp:inline distT="0" distB="0" distL="114300" distR="114300">
            <wp:extent cx="5579745" cy="32696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6EED">
      <w:pPr>
        <w:pStyle w:val="3"/>
      </w:pPr>
      <w:r>
        <w:rPr>
          <w:rFonts w:ascii="微软雅黑" w:hAnsi="微软雅黑" w:eastAsia="微软雅黑"/>
        </w:rPr>
        <w:t>六、版本运营与内容扩展</w:t>
      </w:r>
    </w:p>
    <w:p w14:paraId="6066006B">
      <w:pPr>
        <w:spacing w:after="120"/>
      </w:pPr>
      <w:r>
        <w:t>长线运营的关键动作是不断增加构筑维度，而不是只堆新卡数量。卡牌进化让老卡有新机制；塔兵改变防守端基线；英雄进一步增加卡组身份；Merge Tactics 等模式则承担“换口味”和测试新玩法的作用。</w:t>
      </w:r>
    </w:p>
    <w:p w14:paraId="38265B62">
      <w:pPr>
        <w:jc w:val="center"/>
      </w:pPr>
      <w:r>
        <w:drawing>
          <wp:inline distT="0" distB="0" distL="114300" distR="114300">
            <wp:extent cx="5579745" cy="219837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721"/>
        <w:gridCol w:w="2721"/>
      </w:tblGrid>
      <w:tr w14:paraId="7430F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774AE"/>
            <w:vAlign w:val="center"/>
          </w:tcPr>
          <w:p w14:paraId="52B04A6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扩展方向</w:t>
            </w:r>
          </w:p>
        </w:tc>
        <w:tc>
          <w:tcPr>
            <w:tcW w:w="2268" w:type="dxa"/>
            <w:shd w:val="clear" w:color="auto" w:fill="2774AE"/>
            <w:vAlign w:val="center"/>
          </w:tcPr>
          <w:p w14:paraId="53BED8BF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代表内容</w:t>
            </w:r>
          </w:p>
        </w:tc>
        <w:tc>
          <w:tcPr>
            <w:tcW w:w="2721" w:type="dxa"/>
            <w:shd w:val="clear" w:color="auto" w:fill="2774AE"/>
            <w:vAlign w:val="center"/>
          </w:tcPr>
          <w:p w14:paraId="04EFBA4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对体验的影响</w:t>
            </w:r>
          </w:p>
        </w:tc>
        <w:tc>
          <w:tcPr>
            <w:tcW w:w="2721" w:type="dxa"/>
            <w:shd w:val="clear" w:color="auto" w:fill="2774AE"/>
            <w:vAlign w:val="center"/>
          </w:tcPr>
          <w:p w14:paraId="47CCDBDD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潜在风险</w:t>
            </w:r>
          </w:p>
        </w:tc>
      </w:tr>
      <w:tr w14:paraId="010B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FFD51F">
            <w:pPr>
              <w:spacing w:after="0" w:line="240" w:lineRule="auto"/>
            </w:pPr>
            <w:r>
              <w:rPr>
                <w:b w:val="0"/>
                <w:sz w:val="19"/>
              </w:rPr>
              <w:t>老内容再激活</w:t>
            </w:r>
          </w:p>
        </w:tc>
        <w:tc>
          <w:tcPr>
            <w:tcW w:w="2268" w:type="dxa"/>
            <w:vAlign w:val="center"/>
          </w:tcPr>
          <w:p w14:paraId="7D699FEF">
            <w:pPr>
              <w:spacing w:after="0" w:line="240" w:lineRule="auto"/>
            </w:pPr>
            <w:r>
              <w:rPr>
                <w:b w:val="0"/>
                <w:sz w:val="19"/>
              </w:rPr>
              <w:t>卡牌进化</w:t>
            </w:r>
          </w:p>
        </w:tc>
        <w:tc>
          <w:tcPr>
            <w:tcW w:w="2721" w:type="dxa"/>
            <w:vAlign w:val="center"/>
          </w:tcPr>
          <w:p w14:paraId="03271068">
            <w:pPr>
              <w:spacing w:after="0" w:line="240" w:lineRule="auto"/>
            </w:pPr>
            <w:r>
              <w:rPr>
                <w:b w:val="0"/>
                <w:sz w:val="19"/>
              </w:rPr>
              <w:t>让老玩家重新评估旧卡，提升讨论热度</w:t>
            </w:r>
          </w:p>
        </w:tc>
        <w:tc>
          <w:tcPr>
            <w:tcW w:w="2721" w:type="dxa"/>
            <w:vAlign w:val="center"/>
          </w:tcPr>
          <w:p w14:paraId="080CA4EC">
            <w:pPr>
              <w:spacing w:after="0" w:line="240" w:lineRule="auto"/>
            </w:pPr>
            <w:r>
              <w:rPr>
                <w:b w:val="0"/>
                <w:sz w:val="19"/>
              </w:rPr>
              <w:t>强势进化易被感知为付费压力</w:t>
            </w:r>
          </w:p>
        </w:tc>
      </w:tr>
      <w:tr w14:paraId="607E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8C29FB">
            <w:pPr>
              <w:spacing w:after="0" w:line="240" w:lineRule="auto"/>
            </w:pPr>
            <w:r>
              <w:rPr>
                <w:b w:val="0"/>
                <w:sz w:val="19"/>
              </w:rPr>
              <w:t>构筑维度增加</w:t>
            </w:r>
          </w:p>
        </w:tc>
        <w:tc>
          <w:tcPr>
            <w:tcW w:w="2268" w:type="dxa"/>
            <w:vAlign w:val="center"/>
          </w:tcPr>
          <w:p w14:paraId="16EE6D4E">
            <w:pPr>
              <w:spacing w:after="0" w:line="240" w:lineRule="auto"/>
            </w:pPr>
            <w:r>
              <w:rPr>
                <w:b w:val="0"/>
                <w:sz w:val="19"/>
              </w:rPr>
              <w:t>塔兵、英雄槽位</w:t>
            </w:r>
          </w:p>
        </w:tc>
        <w:tc>
          <w:tcPr>
            <w:tcW w:w="2721" w:type="dxa"/>
            <w:vAlign w:val="center"/>
          </w:tcPr>
          <w:p w14:paraId="3FF66271">
            <w:pPr>
              <w:spacing w:after="0" w:line="240" w:lineRule="auto"/>
            </w:pPr>
            <w:r>
              <w:rPr>
                <w:b w:val="0"/>
                <w:sz w:val="19"/>
              </w:rPr>
              <w:t>对局前策略更丰富，卡组身份更清晰</w:t>
            </w:r>
          </w:p>
        </w:tc>
        <w:tc>
          <w:tcPr>
            <w:tcW w:w="2721" w:type="dxa"/>
            <w:vAlign w:val="center"/>
          </w:tcPr>
          <w:p w14:paraId="485BC49C">
            <w:pPr>
              <w:spacing w:after="0" w:line="240" w:lineRule="auto"/>
            </w:pPr>
            <w:r>
              <w:rPr>
                <w:b w:val="0"/>
                <w:sz w:val="19"/>
              </w:rPr>
              <w:t>新手理解门槛与平衡压力上升</w:t>
            </w:r>
          </w:p>
        </w:tc>
      </w:tr>
      <w:tr w14:paraId="4659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5A1318">
            <w:pPr>
              <w:spacing w:after="0" w:line="240" w:lineRule="auto"/>
            </w:pPr>
            <w:r>
              <w:rPr>
                <w:b w:val="0"/>
                <w:sz w:val="19"/>
              </w:rPr>
              <w:t>模式拓展</w:t>
            </w:r>
          </w:p>
        </w:tc>
        <w:tc>
          <w:tcPr>
            <w:tcW w:w="2268" w:type="dxa"/>
            <w:vAlign w:val="center"/>
          </w:tcPr>
          <w:p w14:paraId="504EAE7D">
            <w:pPr>
              <w:spacing w:after="0" w:line="240" w:lineRule="auto"/>
            </w:pPr>
            <w:r>
              <w:rPr>
                <w:b w:val="0"/>
                <w:sz w:val="19"/>
              </w:rPr>
              <w:t>Merge Tactics、活动挑战</w:t>
            </w:r>
          </w:p>
        </w:tc>
        <w:tc>
          <w:tcPr>
            <w:tcW w:w="2721" w:type="dxa"/>
            <w:vAlign w:val="center"/>
          </w:tcPr>
          <w:p w14:paraId="631A6862">
            <w:pPr>
              <w:spacing w:after="0" w:line="240" w:lineRule="auto"/>
            </w:pPr>
            <w:r>
              <w:rPr>
                <w:b w:val="0"/>
                <w:sz w:val="19"/>
              </w:rPr>
              <w:t>给非天梯玩家提供轻压力入口</w:t>
            </w:r>
          </w:p>
        </w:tc>
        <w:tc>
          <w:tcPr>
            <w:tcW w:w="2721" w:type="dxa"/>
            <w:vAlign w:val="center"/>
          </w:tcPr>
          <w:p w14:paraId="7952E421">
            <w:pPr>
              <w:spacing w:after="0" w:line="240" w:lineRule="auto"/>
            </w:pPr>
            <w:r>
              <w:rPr>
                <w:b w:val="0"/>
                <w:sz w:val="19"/>
              </w:rPr>
              <w:t>若奖励过强会稀释主模式，过弱则参与不足</w:t>
            </w:r>
          </w:p>
        </w:tc>
      </w:tr>
      <w:tr w14:paraId="225A8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6FFE58">
            <w:pPr>
              <w:spacing w:after="0" w:line="240" w:lineRule="auto"/>
            </w:pPr>
            <w:r>
              <w:rPr>
                <w:b w:val="0"/>
                <w:sz w:val="19"/>
              </w:rPr>
              <w:t>社交摩擦降低</w:t>
            </w:r>
          </w:p>
        </w:tc>
        <w:tc>
          <w:tcPr>
            <w:tcW w:w="2268" w:type="dxa"/>
            <w:vAlign w:val="center"/>
          </w:tcPr>
          <w:p w14:paraId="626D5FBA">
            <w:pPr>
              <w:spacing w:after="0" w:line="240" w:lineRule="auto"/>
            </w:pPr>
            <w:r>
              <w:rPr>
                <w:b w:val="0"/>
                <w:sz w:val="19"/>
              </w:rPr>
              <w:t>Quickplay、好友二维码</w:t>
            </w:r>
          </w:p>
        </w:tc>
        <w:tc>
          <w:tcPr>
            <w:tcW w:w="2721" w:type="dxa"/>
            <w:vAlign w:val="center"/>
          </w:tcPr>
          <w:p w14:paraId="67E71A86">
            <w:pPr>
              <w:spacing w:after="0" w:line="240" w:lineRule="auto"/>
            </w:pPr>
            <w:r>
              <w:rPr>
                <w:b w:val="0"/>
                <w:sz w:val="19"/>
              </w:rPr>
              <w:t>降低线下/熟人对战门槛</w:t>
            </w:r>
          </w:p>
        </w:tc>
        <w:tc>
          <w:tcPr>
            <w:tcW w:w="2721" w:type="dxa"/>
            <w:vAlign w:val="center"/>
          </w:tcPr>
          <w:p w14:paraId="34BF8CB4">
            <w:pPr>
              <w:spacing w:after="0" w:line="240" w:lineRule="auto"/>
            </w:pPr>
            <w:r>
              <w:rPr>
                <w:b w:val="0"/>
                <w:sz w:val="19"/>
              </w:rPr>
              <w:t>对长期留存贡献依赖社交场景密度</w:t>
            </w:r>
          </w:p>
        </w:tc>
      </w:tr>
    </w:tbl>
    <w:p w14:paraId="5C9F7D5E"/>
    <w:p w14:paraId="786792E7">
      <w:pPr>
        <w:pStyle w:val="3"/>
      </w:pPr>
      <w:r>
        <w:rPr>
          <w:rFonts w:ascii="微软雅黑" w:hAnsi="微软雅黑" w:eastAsia="微软雅黑"/>
        </w:rPr>
        <w:t>七、用户体验路径</w:t>
      </w:r>
    </w:p>
    <w:p w14:paraId="3D384E6F">
      <w:pPr>
        <w:spacing w:after="120"/>
      </w:pPr>
      <w:r>
        <w:t>新手期的优势在于规则直观：放卡、推塔、赢。中期的主要挑战来自卡等、卡池和卡组理解；高阶阶段则转向版本理解、微操、算费、算牌序和心理博弈。策划上最难的是保持这条学习曲线“陡而不崩”。</w:t>
      </w:r>
    </w:p>
    <w:p w14:paraId="35A4B49E">
      <w:pPr>
        <w:pStyle w:val="14"/>
      </w:pPr>
      <w:r>
        <w:t>新手前10局：让玩家快速理解“圣水不足不能出牌”“推塔即胜利”“不同卡牌有不同职责”。</w:t>
      </w:r>
    </w:p>
    <w:p w14:paraId="50C00BE6">
      <w:pPr>
        <w:pStyle w:val="14"/>
      </w:pPr>
      <w:r>
        <w:t>卡组成型期：通过常用组合、推荐卡组、活动试用降低构筑焦虑。</w:t>
      </w:r>
    </w:p>
    <w:p w14:paraId="64451D48">
      <w:pPr>
        <w:pStyle w:val="14"/>
      </w:pPr>
      <w:r>
        <w:t>中阶瓶颈期：玩家开始感受到卡等与资源缺口，需要用活动奖励和赛季目标缓冲挫败。</w:t>
      </w:r>
    </w:p>
    <w:p w14:paraId="45F1E51C">
      <w:pPr>
        <w:pStyle w:val="14"/>
      </w:pPr>
      <w:r>
        <w:t>高阶竞技期：胜负更多来自细节、版本理解和卡组针对，社区内容开始反哺留存。</w:t>
      </w:r>
    </w:p>
    <w:p w14:paraId="419CA0D6">
      <w:pPr>
        <w:jc w:val="center"/>
      </w:pPr>
      <w:r>
        <w:drawing>
          <wp:inline distT="0" distB="0" distL="114300" distR="114300">
            <wp:extent cx="5579745" cy="5716905"/>
            <wp:effectExtent l="0" t="0" r="1905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317F">
      <w:pPr>
        <w:pStyle w:val="3"/>
      </w:pPr>
      <w:r>
        <w:rPr>
          <w:rFonts w:ascii="微软雅黑" w:hAnsi="微软雅黑" w:eastAsia="微软雅黑"/>
        </w:rPr>
        <w:t>八、社交与竞技生态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798"/>
      </w:tblGrid>
      <w:tr w14:paraId="6F01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774AE"/>
            <w:vAlign w:val="center"/>
          </w:tcPr>
          <w:p w14:paraId="1E80D799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生态模块</w:t>
            </w:r>
          </w:p>
        </w:tc>
        <w:tc>
          <w:tcPr>
            <w:tcW w:w="3118" w:type="dxa"/>
            <w:shd w:val="clear" w:color="auto" w:fill="2774AE"/>
            <w:vAlign w:val="center"/>
          </w:tcPr>
          <w:p w14:paraId="448ACC0C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价值</w:t>
            </w:r>
          </w:p>
        </w:tc>
        <w:tc>
          <w:tcPr>
            <w:tcW w:w="3798" w:type="dxa"/>
            <w:shd w:val="clear" w:color="auto" w:fill="2774AE"/>
            <w:vAlign w:val="center"/>
          </w:tcPr>
          <w:p w14:paraId="578F5D73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可学习点</w:t>
            </w:r>
          </w:p>
        </w:tc>
      </w:tr>
      <w:tr w14:paraId="346E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BDC3197">
            <w:pPr>
              <w:spacing w:after="0" w:line="240" w:lineRule="auto"/>
            </w:pPr>
            <w:r>
              <w:rPr>
                <w:b w:val="0"/>
                <w:sz w:val="19"/>
              </w:rPr>
              <w:t>部落</w:t>
            </w:r>
          </w:p>
        </w:tc>
        <w:tc>
          <w:tcPr>
            <w:tcW w:w="3118" w:type="dxa"/>
            <w:vAlign w:val="center"/>
          </w:tcPr>
          <w:p w14:paraId="160BF12D">
            <w:pPr>
              <w:spacing w:after="0" w:line="240" w:lineRule="auto"/>
            </w:pPr>
            <w:r>
              <w:rPr>
                <w:b w:val="0"/>
                <w:sz w:val="19"/>
              </w:rPr>
              <w:t>提供捐卡、交流、部落战等长期关系</w:t>
            </w:r>
          </w:p>
        </w:tc>
        <w:tc>
          <w:tcPr>
            <w:tcW w:w="3798" w:type="dxa"/>
            <w:vAlign w:val="center"/>
          </w:tcPr>
          <w:p w14:paraId="4BD6BE21">
            <w:pPr>
              <w:spacing w:after="0" w:line="240" w:lineRule="auto"/>
            </w:pPr>
            <w:r>
              <w:rPr>
                <w:b w:val="0"/>
                <w:sz w:val="19"/>
              </w:rPr>
              <w:t>轻社交也能提升回访频率</w:t>
            </w:r>
          </w:p>
        </w:tc>
      </w:tr>
      <w:tr w14:paraId="7BF95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95B03D0">
            <w:pPr>
              <w:spacing w:after="0" w:line="240" w:lineRule="auto"/>
            </w:pPr>
            <w:r>
              <w:rPr>
                <w:b w:val="0"/>
                <w:sz w:val="19"/>
              </w:rPr>
              <w:t>排位/天梯</w:t>
            </w:r>
          </w:p>
        </w:tc>
        <w:tc>
          <w:tcPr>
            <w:tcW w:w="3118" w:type="dxa"/>
            <w:vAlign w:val="center"/>
          </w:tcPr>
          <w:p w14:paraId="0EE28D2F">
            <w:pPr>
              <w:spacing w:after="0" w:line="240" w:lineRule="auto"/>
            </w:pPr>
            <w:r>
              <w:rPr>
                <w:b w:val="0"/>
                <w:sz w:val="19"/>
              </w:rPr>
              <w:t>形成明确实力分层和荣誉追求</w:t>
            </w:r>
          </w:p>
        </w:tc>
        <w:tc>
          <w:tcPr>
            <w:tcW w:w="3798" w:type="dxa"/>
            <w:vAlign w:val="center"/>
          </w:tcPr>
          <w:p w14:paraId="22500550">
            <w:pPr>
              <w:spacing w:after="0" w:line="240" w:lineRule="auto"/>
            </w:pPr>
            <w:r>
              <w:rPr>
                <w:b w:val="0"/>
                <w:sz w:val="19"/>
              </w:rPr>
              <w:t>竞技产品需要可见的阶层目标</w:t>
            </w:r>
          </w:p>
        </w:tc>
      </w:tr>
      <w:tr w14:paraId="4145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C584F19">
            <w:pPr>
              <w:spacing w:after="0" w:line="240" w:lineRule="auto"/>
            </w:pPr>
            <w:r>
              <w:rPr>
                <w:b w:val="0"/>
                <w:sz w:val="19"/>
              </w:rPr>
              <w:t>观战/回放/社区</w:t>
            </w:r>
          </w:p>
        </w:tc>
        <w:tc>
          <w:tcPr>
            <w:tcW w:w="3118" w:type="dxa"/>
            <w:vAlign w:val="center"/>
          </w:tcPr>
          <w:p w14:paraId="299CA281">
            <w:pPr>
              <w:spacing w:after="0" w:line="240" w:lineRule="auto"/>
            </w:pPr>
            <w:r>
              <w:rPr>
                <w:b w:val="0"/>
                <w:sz w:val="19"/>
              </w:rPr>
              <w:t>促进学习和传播</w:t>
            </w:r>
          </w:p>
        </w:tc>
        <w:tc>
          <w:tcPr>
            <w:tcW w:w="3798" w:type="dxa"/>
            <w:vAlign w:val="center"/>
          </w:tcPr>
          <w:p w14:paraId="65BF4662">
            <w:pPr>
              <w:spacing w:after="0" w:line="240" w:lineRule="auto"/>
            </w:pPr>
            <w:r>
              <w:rPr>
                <w:b w:val="0"/>
                <w:sz w:val="19"/>
              </w:rPr>
              <w:t>短局游戏天然适合内容切片</w:t>
            </w:r>
          </w:p>
        </w:tc>
      </w:tr>
      <w:tr w14:paraId="67B6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6DA950F">
            <w:pPr>
              <w:spacing w:after="0" w:line="240" w:lineRule="auto"/>
            </w:pPr>
            <w:r>
              <w:rPr>
                <w:b w:val="0"/>
                <w:sz w:val="19"/>
              </w:rPr>
              <w:t>表情/战旗</w:t>
            </w:r>
          </w:p>
        </w:tc>
        <w:tc>
          <w:tcPr>
            <w:tcW w:w="3118" w:type="dxa"/>
            <w:vAlign w:val="center"/>
          </w:tcPr>
          <w:p w14:paraId="68CA7B28">
            <w:pPr>
              <w:spacing w:after="0" w:line="240" w:lineRule="auto"/>
            </w:pPr>
            <w:r>
              <w:rPr>
                <w:b w:val="0"/>
                <w:sz w:val="19"/>
              </w:rPr>
              <w:t>增强情绪表达和身份展示</w:t>
            </w:r>
          </w:p>
        </w:tc>
        <w:tc>
          <w:tcPr>
            <w:tcW w:w="3798" w:type="dxa"/>
            <w:vAlign w:val="center"/>
          </w:tcPr>
          <w:p w14:paraId="5215124A">
            <w:pPr>
              <w:spacing w:after="0" w:line="240" w:lineRule="auto"/>
            </w:pPr>
            <w:r>
              <w:rPr>
                <w:b w:val="0"/>
                <w:sz w:val="19"/>
              </w:rPr>
              <w:t>低成本内容可提升记忆点与付费扩展</w:t>
            </w:r>
          </w:p>
        </w:tc>
      </w:tr>
    </w:tbl>
    <w:p w14:paraId="4A3247EF"/>
    <w:p w14:paraId="76E2A3EA">
      <w:pPr>
        <w:spacing w:after="120"/>
      </w:pPr>
      <w:r>
        <w:t>竞技生态的正循环来自“我能看懂为什么输，也相信下一局能打回来”。一旦玩家把失败主要归因到付费差距或强势新系统，竞技信任就会被削弱，因此平衡公告、补偿、模式分层和卡等限制都非常关键。</w:t>
      </w:r>
    </w:p>
    <w:p w14:paraId="3697551F">
      <w:pPr>
        <w:pStyle w:val="3"/>
      </w:pPr>
      <w:r>
        <w:rPr>
          <w:rFonts w:ascii="微软雅黑" w:hAnsi="微软雅黑" w:eastAsia="微软雅黑"/>
        </w:rPr>
        <w:t>九、SWOT分析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D2B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774AE"/>
            <w:vAlign w:val="center"/>
          </w:tcPr>
          <w:p w14:paraId="03893B61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 优势</w:t>
            </w:r>
          </w:p>
        </w:tc>
        <w:tc>
          <w:tcPr>
            <w:tcW w:w="2268" w:type="dxa"/>
            <w:shd w:val="clear" w:color="auto" w:fill="2774AE"/>
            <w:vAlign w:val="center"/>
          </w:tcPr>
          <w:p w14:paraId="7407270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W 劣势</w:t>
            </w:r>
          </w:p>
        </w:tc>
        <w:tc>
          <w:tcPr>
            <w:tcW w:w="2268" w:type="dxa"/>
            <w:shd w:val="clear" w:color="auto" w:fill="2774AE"/>
            <w:vAlign w:val="center"/>
          </w:tcPr>
          <w:p w14:paraId="3AA4EE7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O 机会</w:t>
            </w:r>
          </w:p>
        </w:tc>
        <w:tc>
          <w:tcPr>
            <w:tcW w:w="2268" w:type="dxa"/>
            <w:shd w:val="clear" w:color="auto" w:fill="2774AE"/>
            <w:vAlign w:val="center"/>
          </w:tcPr>
          <w:p w14:paraId="504734F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T 威胁</w:t>
            </w:r>
          </w:p>
        </w:tc>
      </w:tr>
      <w:tr w14:paraId="1A8F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B918E2">
            <w:pPr>
              <w:spacing w:after="0" w:line="240" w:lineRule="auto"/>
            </w:pPr>
            <w:r>
              <w:rPr>
                <w:b w:val="0"/>
                <w:sz w:val="19"/>
              </w:rPr>
              <w:t>短局强反馈；规则直观；策略上限高；IP辨识度强；长线运营经验成熟</w:t>
            </w:r>
          </w:p>
        </w:tc>
        <w:tc>
          <w:tcPr>
            <w:tcW w:w="2268" w:type="dxa"/>
            <w:vAlign w:val="center"/>
          </w:tcPr>
          <w:p w14:paraId="49676C2E">
            <w:pPr>
              <w:spacing w:after="0" w:line="240" w:lineRule="auto"/>
            </w:pPr>
            <w:r>
              <w:rPr>
                <w:b w:val="0"/>
                <w:sz w:val="19"/>
              </w:rPr>
              <w:t>中后期资源压力明显；系统叠加后理解成本上升；卡等差异影响公平感</w:t>
            </w:r>
          </w:p>
        </w:tc>
        <w:tc>
          <w:tcPr>
            <w:tcW w:w="2268" w:type="dxa"/>
            <w:vAlign w:val="center"/>
          </w:tcPr>
          <w:p w14:paraId="116BE8A3">
            <w:pPr>
              <w:spacing w:after="0" w:line="240" w:lineRule="auto"/>
            </w:pPr>
            <w:r>
              <w:rPr>
                <w:b w:val="0"/>
                <w:sz w:val="19"/>
              </w:rPr>
              <w:t>英雄与新模式扩展；轻社交场景；老卡再设计；电竞/内容创作再激活</w:t>
            </w:r>
          </w:p>
        </w:tc>
        <w:tc>
          <w:tcPr>
            <w:tcW w:w="2268" w:type="dxa"/>
            <w:vAlign w:val="center"/>
          </w:tcPr>
          <w:p w14:paraId="08F4E81E">
            <w:pPr>
              <w:spacing w:after="0" w:line="240" w:lineRule="auto"/>
            </w:pPr>
            <w:r>
              <w:rPr>
                <w:b w:val="0"/>
                <w:sz w:val="19"/>
              </w:rPr>
              <w:t>同类竞技手游分流；老玩家疲劳；平衡争议；新系统被解读为付费门槛</w:t>
            </w:r>
          </w:p>
        </w:tc>
      </w:tr>
    </w:tbl>
    <w:p w14:paraId="358E71CB"/>
    <w:p w14:paraId="158EDCB0">
      <w:pPr>
        <w:pStyle w:val="3"/>
      </w:pPr>
      <w:r>
        <w:rPr>
          <w:rFonts w:ascii="微软雅黑" w:hAnsi="微软雅黑" w:eastAsia="微软雅黑"/>
        </w:rPr>
        <w:t>十、对策划的可迁移经验</w:t>
      </w:r>
    </w:p>
    <w:p w14:paraId="171312A0">
      <w:pPr>
        <w:pStyle w:val="16"/>
      </w:pPr>
      <w:r>
        <w:t>把复杂策略压缩进清晰目标：不是减少深度，而是让玩家先看懂胜负目标。</w:t>
      </w:r>
    </w:p>
    <w:p w14:paraId="16393160">
      <w:pPr>
        <w:pStyle w:val="16"/>
      </w:pPr>
      <w:r>
        <w:t>让失败有归因：卡组、费用、位置、牌序、时机都能成为下一局优化点。</w:t>
      </w:r>
    </w:p>
    <w:p w14:paraId="1672C759">
      <w:pPr>
        <w:pStyle w:val="16"/>
      </w:pPr>
      <w:r>
        <w:t>长期系统要服务主玩法：新系统最好改变构筑和决策，而不是只增加数值。</w:t>
      </w:r>
    </w:p>
    <w:p w14:paraId="6CA48815">
      <w:pPr>
        <w:pStyle w:val="16"/>
      </w:pPr>
      <w:r>
        <w:t>资源瓶颈要有释放口：活动、赛季、任务和通行证需要共同缓冲成长焦虑。</w:t>
      </w:r>
    </w:p>
    <w:p w14:paraId="30A40502">
      <w:pPr>
        <w:pStyle w:val="16"/>
      </w:pPr>
      <w:r>
        <w:t>竞技商业化要守住信任：越是强竞技产品，越需要把付费效率和胜负公平区隔清楚。</w:t>
      </w:r>
    </w:p>
    <w:p w14:paraId="44E5283C">
      <w:pPr>
        <w:spacing w:after="120"/>
      </w:pPr>
    </w:p>
    <w:sectPr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206AD5"/>
    <w:rsid w:val="4940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2447</Words>
  <Characters>2536</Characters>
  <Lines>0</Lines>
  <Paragraphs>0</Paragraphs>
  <TotalTime>9</TotalTime>
  <ScaleCrop>false</ScaleCrop>
  <LinksUpToDate>false</LinksUpToDate>
  <CharactersWithSpaces>2566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WPS_1662123700</cp:lastModifiedBy>
  <dcterms:modified xsi:type="dcterms:W3CDTF">2026-04-16T10:31:21Z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eyJoZGlkIjoiNTU3YTUwZDNmZmI1ZTAwZTQyMmY5NzVhNDU2ODYxMGQiLCJ1c2VySWQiOiIxNDA4MzI2MDIyIn0=</vt:lpwstr>
  </property>
  <property fmtid="{D5CDD505-2E9C-101B-9397-08002B2CF9AE}" pid="3" name="KSOProductBuildVer">
    <vt:lpwstr>2052-12.1.0.19302</vt:lpwstr>
  </property>
  <property fmtid="{D5CDD505-2E9C-101B-9397-08002B2CF9AE}" pid="4" name="ICV">
    <vt:lpwstr>1AB1F49AD4124C51BCCDDDE1B25D86AB_12</vt:lpwstr>
  </property>
</Properties>
</file>