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2E5E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bCs w:val="0"/>
          <w:sz w:val="44"/>
          <w:szCs w:val="44"/>
          <w:highlight w:val="none"/>
        </w:rPr>
      </w:pPr>
      <w:r>
        <w:rPr>
          <w:rFonts w:hint="eastAsia" w:ascii="楷体" w:hAnsi="楷体" w:eastAsia="楷体" w:cs="楷体"/>
          <w:b/>
          <w:bCs w:val="0"/>
          <w:sz w:val="36"/>
          <w:szCs w:val="36"/>
          <w:highlight w:val="none"/>
          <w:lang w:val="en-US" w:eastAsia="zh-CN"/>
        </w:rPr>
        <w:t>耐心资本</w:t>
      </w:r>
      <w:r>
        <w:rPr>
          <w:rFonts w:hint="eastAsia" w:ascii="楷体" w:hAnsi="楷体" w:eastAsia="楷体" w:cs="楷体"/>
          <w:b/>
          <w:bCs w:val="0"/>
          <w:sz w:val="36"/>
          <w:szCs w:val="36"/>
          <w:highlight w:val="none"/>
        </w:rPr>
        <w:t>能否促进区域创新生态建设？</w:t>
      </w:r>
    </w:p>
    <w:p w14:paraId="670DB4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楷体" w:hAnsi="楷体" w:eastAsia="楷体"/>
          <w:b w:val="0"/>
          <w:sz w:val="28"/>
          <w:szCs w:val="28"/>
          <w:highlight w:val="none"/>
        </w:rPr>
      </w:pPr>
      <w:r>
        <w:rPr>
          <w:rFonts w:ascii="楷体" w:hAnsi="楷体" w:eastAsia="楷体"/>
          <w:b w:val="0"/>
          <w:sz w:val="28"/>
          <w:szCs w:val="28"/>
          <w:highlight w:val="none"/>
        </w:rPr>
        <w:t>——</w:t>
      </w:r>
      <w:r>
        <w:rPr>
          <w:rFonts w:hint="eastAsia" w:ascii="楷体" w:hAnsi="楷体" w:eastAsia="楷体"/>
          <w:b w:val="0"/>
          <w:sz w:val="28"/>
          <w:szCs w:val="28"/>
          <w:highlight w:val="none"/>
        </w:rPr>
        <w:t>基于政府引导基金的准自然实验</w:t>
      </w:r>
    </w:p>
    <w:p w14:paraId="0D5630C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楷体" w:hAnsi="楷体" w:eastAsia="楷体" w:cs="楷体"/>
          <w:sz w:val="28"/>
          <w:szCs w:val="28"/>
          <w:highlight w:val="none"/>
          <w:lang w:val="en-US" w:eastAsia="zh-CN"/>
        </w:rPr>
      </w:pPr>
      <w:r>
        <w:rPr>
          <w:rFonts w:hint="eastAsia" w:ascii="楷体" w:hAnsi="楷体" w:eastAsia="楷体" w:cs="楷体"/>
          <w:sz w:val="28"/>
          <w:szCs w:val="28"/>
          <w:highlight w:val="none"/>
          <w:lang w:val="en-US" w:eastAsia="zh-CN"/>
        </w:rPr>
        <w:t>实证部分</w:t>
      </w:r>
    </w:p>
    <w:p w14:paraId="4D8B53C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楷体" w:hAnsi="楷体" w:eastAsia="楷体" w:cs="楷体"/>
          <w:sz w:val="28"/>
          <w:szCs w:val="28"/>
          <w:highlight w:val="none"/>
          <w:lang w:val="en-US" w:eastAsia="zh-CN"/>
        </w:rPr>
      </w:pPr>
      <w:r>
        <w:rPr>
          <w:rFonts w:hint="eastAsia" w:ascii="楷体" w:hAnsi="楷体" w:eastAsia="楷体" w:cs="楷体"/>
          <w:sz w:val="28"/>
          <w:szCs w:val="28"/>
          <w:highlight w:val="none"/>
        </w:rPr>
        <w:t>三、</w:t>
      </w:r>
      <w:r>
        <w:rPr>
          <w:rFonts w:hint="eastAsia" w:ascii="楷体" w:hAnsi="楷体" w:eastAsia="楷体" w:cs="楷体"/>
          <w:sz w:val="28"/>
          <w:szCs w:val="28"/>
          <w:highlight w:val="none"/>
          <w:lang w:val="en-US" w:eastAsia="zh-CN"/>
        </w:rPr>
        <w:t>研究设计</w:t>
      </w:r>
    </w:p>
    <w:p w14:paraId="6A4B0072">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（一）数据说明</w:t>
      </w:r>
      <w:bookmarkStart w:id="0" w:name="_GoBack"/>
      <w:bookmarkEnd w:id="0"/>
    </w:p>
    <w:p w14:paraId="0411B211">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本文以2010—2024年长三角41个地级市面板数据作为研究样本，实证分析耐心资本对区域创新生态的影响，并进一步讨论上述关系中的潜在作用机制和可能存在的异质性。政府引导基金数据来自清科私募通数据库；区域创新生态指数、中介与调节变量基于《中国城市统计年鉴》、《中国科技统计年鉴》、CNRDS中国研究数据服务平台、EPS数据平台及各省市统计年鉴等原始数据测算；北京大学数字普惠金融指数来自北京大学数字金融研究中心；控制变量数据来自历年《中国城市统计年鉴》及各省市统计年鉴。在样本处理过程中，为降低极端值对回归分析可能造成的潜在影响，采用缩尾处理方法，</w:t>
      </w:r>
      <w:r>
        <w:rPr>
          <w:rFonts w:hint="default" w:ascii="宋体" w:hAnsi="宋体" w:eastAsia="宋体" w:cs="宋体"/>
          <w:b w:val="0"/>
          <w:sz w:val="21"/>
          <w:szCs w:val="21"/>
          <w:highlight w:val="none"/>
          <w:lang w:val="en-US" w:eastAsia="zh-CN"/>
        </w:rPr>
        <w:t>进行1%水平双向缩尾处理</w:t>
      </w:r>
      <w:r>
        <w:rPr>
          <w:rFonts w:hint="eastAsia" w:ascii="宋体" w:hAnsi="宋体" w:eastAsia="宋体" w:cs="宋体"/>
          <w:b w:val="0"/>
          <w:sz w:val="21"/>
          <w:szCs w:val="21"/>
          <w:highlight w:val="none"/>
          <w:lang w:val="en-US" w:eastAsia="zh-CN"/>
        </w:rPr>
        <w:t>。</w:t>
      </w:r>
    </w:p>
    <w:p w14:paraId="7A0EEB15">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（二）变量设定</w:t>
      </w:r>
    </w:p>
    <w:p w14:paraId="08479496">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1</w:t>
      </w:r>
      <w:r>
        <w:rPr>
          <w:rFonts w:hint="default" w:ascii="宋体" w:hAnsi="宋体" w:eastAsia="宋体" w:cs="宋体"/>
          <w:b w:val="0"/>
          <w:sz w:val="21"/>
          <w:szCs w:val="21"/>
          <w:highlight w:val="none"/>
          <w:lang w:val="en-US" w:eastAsia="zh-CN"/>
        </w:rPr>
        <w:t>.</w:t>
      </w:r>
      <w:r>
        <w:rPr>
          <w:rFonts w:hint="eastAsia" w:ascii="宋体" w:hAnsi="宋体" w:eastAsia="宋体" w:cs="宋体"/>
          <w:b w:val="0"/>
          <w:sz w:val="21"/>
          <w:szCs w:val="21"/>
          <w:highlight w:val="none"/>
          <w:lang w:val="en-US" w:eastAsia="zh-CN"/>
        </w:rPr>
        <w:t>被解释变量：区域创新生态(</w:t>
      </w:r>
      <w:r>
        <w:rPr>
          <w:rFonts w:hint="eastAsia" w:ascii="宋体" w:hAnsi="宋体" w:eastAsia="宋体" w:cs="宋体"/>
          <w:b w:val="0"/>
          <w:i/>
          <w:iCs/>
          <w:sz w:val="21"/>
          <w:szCs w:val="21"/>
          <w:highlight w:val="none"/>
          <w:lang w:val="en-US" w:eastAsia="zh-CN"/>
        </w:rPr>
        <w:t>Inn</w:t>
      </w:r>
      <w:r>
        <w:rPr>
          <w:rFonts w:hint="eastAsia" w:ascii="宋体" w:hAnsi="宋体" w:eastAsia="宋体" w:cs="宋体"/>
          <w:b w:val="0"/>
          <w:i w:val="0"/>
          <w:iCs w:val="0"/>
          <w:sz w:val="21"/>
          <w:szCs w:val="21"/>
          <w:highlight w:val="none"/>
          <w:lang w:val="en-US" w:eastAsia="zh-CN"/>
        </w:rPr>
        <w:t>）</w:t>
      </w:r>
    </w:p>
    <w:p w14:paraId="5718DABE">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区域创新生态系统理论源于创新系统理论与生态学隐喻的融合，经历了从国家创新系统到区域创新系统，再到创新生态系统的持续演进。与传统创新系统强调线性投入产出不同，创新生态系统强调系统性、动态性和共生性，认为区域创新生态并非研发投入与专利产出的简单加总，而是创新主体、资源与环境协同互动的生态化演化结果。进入数字经济时代，数据作为新生产要素全面参与创新活动，数字化重塑了创新主体间的价值共创方式</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_Ref4458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[6]</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_Ref4546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[11]</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_Ref4863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[20]</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。然而，现有测度尚未形成统一框架，主要形成三类思路：一是传统三维框架（创新主体、资源、环境）</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_Ref4667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[17]</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，以传统制造业创新为核心，未纳入数字专属生产要素；二是韧性四维框架（多样性、流动性、缓冲力、进化力）</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，仅关注抗冲击与恢复能力，缺乏对主体活力与要素流动的整体考察；三是数字创新理论框架，多为定性分析，缺乏可操作的量化指标体系。</w:t>
      </w:r>
    </w:p>
    <w:p w14:paraId="595C3C41">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基于此，本文构建“创新主体</w:t>
      </w:r>
      <w:r>
        <w:rPr>
          <w:rFonts w:hint="eastAsia" w:ascii="宋体" w:hAnsi="宋体" w:eastAsia="宋体" w:cs="宋体"/>
          <w:b w:val="0"/>
          <w:sz w:val="21"/>
          <w:szCs w:val="21"/>
          <w:highlight w:val="none"/>
          <w:lang w:val="en-US" w:eastAsia="zh-CN"/>
        </w:rPr>
        <w:t>——</w:t>
      </w:r>
      <w:r>
        <w:rPr>
          <w:rFonts w:hint="default" w:ascii="宋体" w:hAnsi="宋体" w:eastAsia="宋体" w:cs="宋体"/>
          <w:b w:val="0"/>
          <w:sz w:val="21"/>
          <w:szCs w:val="21"/>
          <w:highlight w:val="none"/>
          <w:lang w:val="en-US" w:eastAsia="zh-CN"/>
        </w:rPr>
        <w:t>资源配置</w:t>
      </w:r>
      <w:r>
        <w:rPr>
          <w:rFonts w:hint="eastAsia" w:ascii="宋体" w:hAnsi="宋体" w:eastAsia="宋体" w:cs="宋体"/>
          <w:b w:val="0"/>
          <w:sz w:val="21"/>
          <w:szCs w:val="21"/>
          <w:highlight w:val="none"/>
          <w:lang w:val="en-US" w:eastAsia="zh-CN"/>
        </w:rPr>
        <w:t>——</w:t>
      </w:r>
      <w:r>
        <w:rPr>
          <w:rFonts w:hint="default" w:ascii="宋体" w:hAnsi="宋体" w:eastAsia="宋体" w:cs="宋体"/>
          <w:b w:val="0"/>
          <w:sz w:val="21"/>
          <w:szCs w:val="21"/>
          <w:highlight w:val="none"/>
          <w:lang w:val="en-US" w:eastAsia="zh-CN"/>
        </w:rPr>
        <w:t>要素流动——创新韧性”四维一体化评价体系</w:t>
      </w:r>
      <w:r>
        <w:rPr>
          <w:rFonts w:hint="eastAsia" w:ascii="宋体" w:hAnsi="宋体" w:eastAsia="宋体" w:cs="宋体"/>
          <w:b w:val="0"/>
          <w:sz w:val="21"/>
          <w:szCs w:val="21"/>
          <w:highlight w:val="none"/>
          <w:lang w:val="en-US" w:eastAsia="zh-CN"/>
        </w:rPr>
        <w:t>（见表1）</w:t>
      </w:r>
      <w:r>
        <w:rPr>
          <w:rFonts w:hint="default" w:ascii="宋体" w:hAnsi="宋体" w:eastAsia="宋体" w:cs="宋体"/>
          <w:b w:val="0"/>
          <w:sz w:val="21"/>
          <w:szCs w:val="21"/>
          <w:highlight w:val="none"/>
          <w:lang w:val="en-US" w:eastAsia="zh-CN"/>
        </w:rPr>
        <w:t>。其中，创新主体包含高校数量</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_Ref4409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[4]</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、数字产业企业数</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_Ref6241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[3</w:t>
      </w:r>
      <w:r>
        <w:rPr>
          <w:rFonts w:hint="eastAsia" w:ascii="宋体" w:hAnsi="宋体" w:eastAsia="宋体" w:cs="宋体"/>
          <w:b w:val="0"/>
          <w:sz w:val="21"/>
          <w:szCs w:val="21"/>
          <w:highlight w:val="none"/>
          <w:vertAlign w:val="superscript"/>
          <w:lang w:val="en-US" w:eastAsia="zh-CN"/>
        </w:rPr>
        <w:t>3</w:t>
      </w:r>
      <w:r>
        <w:rPr>
          <w:rFonts w:hint="default" w:ascii="宋体" w:hAnsi="宋体" w:eastAsia="宋体" w:cs="宋体"/>
          <w:b w:val="0"/>
          <w:sz w:val="21"/>
          <w:szCs w:val="21"/>
          <w:highlight w:val="none"/>
          <w:vertAlign w:val="superscript"/>
          <w:lang w:val="en-US" w:eastAsia="zh-CN"/>
        </w:rPr>
        <w:t>]</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、高新技术企业数</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_Ref4409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[4]</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3个指标，反映核心创新主体的集聚与活力；资源配置包含科技水平</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、教育水平</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、数字人才比例</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_Ref6241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[3</w:t>
      </w:r>
      <w:r>
        <w:rPr>
          <w:rFonts w:hint="eastAsia" w:ascii="宋体" w:hAnsi="宋体" w:eastAsia="宋体" w:cs="宋体"/>
          <w:b w:val="0"/>
          <w:sz w:val="21"/>
          <w:szCs w:val="21"/>
          <w:highlight w:val="none"/>
          <w:vertAlign w:val="superscript"/>
          <w:lang w:val="en-US" w:eastAsia="zh-CN"/>
        </w:rPr>
        <w:t>3</w:t>
      </w:r>
      <w:r>
        <w:rPr>
          <w:rFonts w:hint="default" w:ascii="宋体" w:hAnsi="宋体" w:eastAsia="宋体" w:cs="宋体"/>
          <w:b w:val="0"/>
          <w:sz w:val="21"/>
          <w:szCs w:val="21"/>
          <w:highlight w:val="none"/>
          <w:vertAlign w:val="superscript"/>
          <w:lang w:val="en-US" w:eastAsia="zh-CN"/>
        </w:rPr>
        <w:t>]</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等5个指标，反映创新资源的配置规模与质量；要素流动包含技术合同成交额</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、电子商务销售额</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_Ref6241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[3</w:t>
      </w:r>
      <w:r>
        <w:rPr>
          <w:rFonts w:hint="eastAsia" w:ascii="宋体" w:hAnsi="宋体" w:eastAsia="宋体" w:cs="宋体"/>
          <w:b w:val="0"/>
          <w:sz w:val="21"/>
          <w:szCs w:val="21"/>
          <w:highlight w:val="none"/>
          <w:vertAlign w:val="superscript"/>
          <w:lang w:val="en-US" w:eastAsia="zh-CN"/>
        </w:rPr>
        <w:t>3</w:t>
      </w:r>
      <w:r>
        <w:rPr>
          <w:rFonts w:hint="default" w:ascii="宋体" w:hAnsi="宋体" w:eastAsia="宋体" w:cs="宋体"/>
          <w:b w:val="0"/>
          <w:sz w:val="21"/>
          <w:szCs w:val="21"/>
          <w:highlight w:val="none"/>
          <w:vertAlign w:val="superscript"/>
          <w:lang w:val="en-US" w:eastAsia="zh-CN"/>
        </w:rPr>
        <w:t>]</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、人均GDP</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等7个指标，反映创新要素的跨主体流动效率；创新韧性包含每万人在校大学生数</w:t>
      </w:r>
      <w:r>
        <w:rPr>
          <w:rFonts w:hint="eastAsia" w:ascii="宋体" w:hAnsi="宋体" w:eastAsia="宋体" w:cs="宋体"/>
          <w:b w:val="0"/>
          <w:sz w:val="21"/>
          <w:szCs w:val="21"/>
          <w:highlight w:val="none"/>
          <w:vertAlign w:val="superscript"/>
          <w:lang w:val="en-US" w:eastAsia="zh-CN"/>
        </w:rPr>
        <w:t>[4]</w:t>
      </w:r>
      <w:r>
        <w:rPr>
          <w:rFonts w:hint="default" w:ascii="宋体" w:hAnsi="宋体" w:eastAsia="宋体" w:cs="宋体"/>
          <w:b w:val="0"/>
          <w:sz w:val="21"/>
          <w:szCs w:val="21"/>
          <w:highlight w:val="none"/>
          <w:lang w:val="en-US" w:eastAsia="zh-CN"/>
        </w:rPr>
        <w:t>、人均金融机构存贷款余额</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_Ref4409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[4]</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_Ref6241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[3</w:t>
      </w:r>
      <w:r>
        <w:rPr>
          <w:rFonts w:hint="eastAsia" w:ascii="宋体" w:hAnsi="宋体" w:eastAsia="宋体" w:cs="宋体"/>
          <w:b w:val="0"/>
          <w:sz w:val="21"/>
          <w:szCs w:val="21"/>
          <w:highlight w:val="none"/>
          <w:vertAlign w:val="superscript"/>
          <w:lang w:val="en-US" w:eastAsia="zh-CN"/>
        </w:rPr>
        <w:t>3</w:t>
      </w:r>
      <w:r>
        <w:rPr>
          <w:rFonts w:hint="default" w:ascii="宋体" w:hAnsi="宋体" w:eastAsia="宋体" w:cs="宋体"/>
          <w:b w:val="0"/>
          <w:sz w:val="21"/>
          <w:szCs w:val="21"/>
          <w:highlight w:val="none"/>
          <w:vertAlign w:val="superscript"/>
          <w:lang w:val="en-US" w:eastAsia="zh-CN"/>
        </w:rPr>
        <w:t>]</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、数字普惠金融指数</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_Ref5693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[26]</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等6个指标，反映系统应对外部冲击的抵抗力、恢复力与进化力。完整指标体系见表1。</w:t>
      </w:r>
    </w:p>
    <w:p w14:paraId="239C425D">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样本聚焦长三角41个地级市2010—2024年面板数据，相较于省级样本能够更精细地捕捉城市间异质性。</w:t>
      </w:r>
      <w:r>
        <w:rPr>
          <w:rFonts w:hint="eastAsia" w:ascii="宋体" w:hAnsi="宋体" w:eastAsia="宋体" w:cs="宋体"/>
          <w:b w:val="0"/>
          <w:sz w:val="21"/>
          <w:szCs w:val="21"/>
          <w:highlight w:val="none"/>
          <w:lang w:val="en-US" w:eastAsia="zh-CN"/>
        </w:rPr>
        <w:t>本文参照</w:t>
      </w:r>
      <w:r>
        <w:rPr>
          <w:rFonts w:hint="default" w:ascii="宋体" w:hAnsi="宋体" w:eastAsia="宋体" w:cs="宋体"/>
          <w:b w:val="0"/>
          <w:sz w:val="21"/>
          <w:szCs w:val="21"/>
          <w:highlight w:val="none"/>
          <w:lang w:val="en-US" w:eastAsia="zh-CN"/>
        </w:rPr>
        <w:t>王珍愚等（2022）在区域创新生态系统评价体系研究中采用CRITIC等客观赋权方法赋予各个三级指标权重，计算各市的区域创新生态综合评价得分</w:t>
      </w:r>
      <w:r>
        <w:rPr>
          <w:rFonts w:hint="default" w:ascii="宋体" w:hAnsi="宋体" w:eastAsia="宋体" w:cs="宋体"/>
          <w:b w:val="0"/>
          <w:sz w:val="21"/>
          <w:szCs w:val="21"/>
          <w:highlight w:val="none"/>
          <w:vertAlign w:val="superscript"/>
          <w:lang w:val="en-US" w:eastAsia="zh-CN"/>
        </w:rPr>
        <w:fldChar w:fldCharType="begin"/>
      </w:r>
      <w:r>
        <w:rPr>
          <w:highlight w:val="none"/>
        </w:rPr>
        <w:instrText xml:space="preserve"> REF _Ref6192 \r \h  \* MERGEFORMAT</w:instrText>
      </w:r>
      <w:r>
        <w:rPr>
          <w:rFonts w:hint="default" w:ascii="宋体" w:hAnsi="宋体" w:eastAsia="宋体" w:cs="宋体"/>
          <w:b w:val="0"/>
          <w:sz w:val="21"/>
          <w:szCs w:val="21"/>
          <w:highlight w:val="none"/>
          <w:vertAlign w:val="superscript"/>
          <w:lang w:val="en-US" w:eastAsia="zh-CN"/>
        </w:rPr>
        <w:fldChar w:fldCharType="separate"/>
      </w:r>
      <w:r>
        <w:rPr>
          <w:rFonts w:hint="default" w:ascii="宋体" w:hAnsi="宋体" w:eastAsia="宋体" w:cs="宋体"/>
          <w:b w:val="0"/>
          <w:sz w:val="21"/>
          <w:szCs w:val="21"/>
          <w:highlight w:val="none"/>
          <w:vertAlign w:val="superscript"/>
          <w:lang w:val="en-US" w:eastAsia="zh-CN"/>
        </w:rPr>
        <w:t>[19]</w:t>
      </w:r>
      <w:r>
        <w:rPr>
          <w:rFonts w:hint="default" w:ascii="宋体" w:hAnsi="宋体" w:eastAsia="宋体" w:cs="宋体"/>
          <w:b w:val="0"/>
          <w:sz w:val="21"/>
          <w:szCs w:val="21"/>
          <w:highlight w:val="none"/>
          <w:vertAlign w:val="superscript"/>
          <w:lang w:val="en-US" w:eastAsia="zh-CN"/>
        </w:rPr>
        <w:fldChar w:fldCharType="end"/>
      </w:r>
      <w:r>
        <w:rPr>
          <w:rFonts w:hint="default" w:ascii="宋体" w:hAnsi="宋体" w:eastAsia="宋体" w:cs="宋体"/>
          <w:b w:val="0"/>
          <w:sz w:val="21"/>
          <w:szCs w:val="21"/>
          <w:highlight w:val="none"/>
          <w:lang w:val="en-US" w:eastAsia="zh-CN"/>
        </w:rPr>
        <w:t>。对于少量连续型变量缺失值，本文采用线性插值法进行补充处理</w:t>
      </w:r>
      <w:r>
        <w:rPr>
          <w:rFonts w:hint="eastAsia" w:ascii="宋体" w:hAnsi="宋体" w:eastAsia="宋体" w:cs="宋体"/>
          <w:b w:val="0"/>
          <w:sz w:val="21"/>
          <w:szCs w:val="21"/>
          <w:highlight w:val="none"/>
          <w:lang w:val="en-US" w:eastAsia="zh-CN"/>
        </w:rPr>
        <w:t>。</w:t>
      </w:r>
    </w:p>
    <w:p w14:paraId="766426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bCs w:val="0"/>
          <w:sz w:val="18"/>
          <w:szCs w:val="18"/>
          <w:highlight w:val="none"/>
        </w:rPr>
      </w:pPr>
      <w:r>
        <w:rPr>
          <w:rFonts w:hint="eastAsia" w:ascii="黑体" w:hAnsi="黑体" w:eastAsia="黑体" w:cs="黑体"/>
          <w:b/>
          <w:bCs w:val="0"/>
          <w:sz w:val="15"/>
          <w:szCs w:val="15"/>
          <w:highlight w:val="none"/>
        </w:rPr>
        <w:t>表1</w:t>
      </w:r>
      <w:r>
        <w:rPr>
          <w:rFonts w:hint="eastAsia" w:ascii="黑体" w:hAnsi="黑体" w:eastAsia="黑体" w:cs="黑体"/>
          <w:b/>
          <w:bCs w:val="0"/>
          <w:sz w:val="15"/>
          <w:szCs w:val="15"/>
          <w:highlight w:val="none"/>
          <w:lang w:val="en-US" w:eastAsia="zh-CN"/>
        </w:rPr>
        <w:t xml:space="preserve">  </w:t>
      </w:r>
      <w:r>
        <w:rPr>
          <w:rFonts w:hint="eastAsia" w:ascii="黑体" w:hAnsi="黑体" w:eastAsia="黑体" w:cs="黑体"/>
          <w:b/>
          <w:bCs w:val="0"/>
          <w:sz w:val="15"/>
          <w:szCs w:val="15"/>
          <w:highlight w:val="none"/>
        </w:rPr>
        <w:t>区域创新生态评价指标体系</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2608"/>
        <w:gridCol w:w="4122"/>
      </w:tblGrid>
      <w:tr w14:paraId="257F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tcBorders>
              <w:top w:val="single" w:color="auto" w:sz="12" w:space="0"/>
              <w:left w:val="nil"/>
              <w:bottom w:val="single" w:color="auto" w:sz="6" w:space="0"/>
              <w:right w:val="nil"/>
            </w:tcBorders>
            <w:vAlign w:val="center"/>
          </w:tcPr>
          <w:p w14:paraId="079B7CF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sz w:val="15"/>
                <w:szCs w:val="15"/>
                <w:highlight w:val="none"/>
              </w:rPr>
            </w:pPr>
            <w:r>
              <w:rPr>
                <w:rFonts w:hint="eastAsia" w:ascii="宋体" w:hAnsi="宋体" w:eastAsia="宋体" w:cs="宋体"/>
                <w:b w:val="0"/>
                <w:bCs/>
                <w:sz w:val="15"/>
                <w:szCs w:val="15"/>
                <w:highlight w:val="none"/>
                <w:lang w:val="en-US" w:eastAsia="zh-CN"/>
              </w:rPr>
              <w:t>一</w:t>
            </w:r>
            <w:r>
              <w:rPr>
                <w:rFonts w:hint="eastAsia" w:ascii="宋体" w:hAnsi="宋体" w:eastAsia="宋体" w:cs="宋体"/>
                <w:b w:val="0"/>
                <w:bCs/>
                <w:sz w:val="15"/>
                <w:szCs w:val="15"/>
                <w:highlight w:val="none"/>
              </w:rPr>
              <w:t>级指标</w:t>
            </w:r>
          </w:p>
        </w:tc>
        <w:tc>
          <w:tcPr>
            <w:tcW w:w="2631" w:type="dxa"/>
            <w:tcBorders>
              <w:top w:val="single" w:color="auto" w:sz="12" w:space="0"/>
              <w:left w:val="nil"/>
              <w:bottom w:val="single" w:color="auto" w:sz="6" w:space="0"/>
              <w:right w:val="nil"/>
            </w:tcBorders>
            <w:vAlign w:val="center"/>
          </w:tcPr>
          <w:p w14:paraId="15DA09D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sz w:val="15"/>
                <w:szCs w:val="15"/>
                <w:highlight w:val="none"/>
              </w:rPr>
            </w:pPr>
            <w:r>
              <w:rPr>
                <w:rFonts w:hint="eastAsia" w:ascii="宋体" w:hAnsi="宋体" w:eastAsia="宋体" w:cs="宋体"/>
                <w:b w:val="0"/>
                <w:bCs/>
                <w:sz w:val="15"/>
                <w:szCs w:val="15"/>
                <w:highlight w:val="none"/>
                <w:lang w:val="en-US" w:eastAsia="zh-CN"/>
              </w:rPr>
              <w:t>二级</w:t>
            </w:r>
            <w:r>
              <w:rPr>
                <w:rFonts w:hint="eastAsia" w:ascii="宋体" w:hAnsi="宋体" w:eastAsia="宋体" w:cs="宋体"/>
                <w:b w:val="0"/>
                <w:bCs/>
                <w:sz w:val="15"/>
                <w:szCs w:val="15"/>
                <w:highlight w:val="none"/>
              </w:rPr>
              <w:t>指标</w:t>
            </w:r>
          </w:p>
        </w:tc>
        <w:tc>
          <w:tcPr>
            <w:tcW w:w="4159" w:type="dxa"/>
            <w:tcBorders>
              <w:top w:val="single" w:color="auto" w:sz="12" w:space="0"/>
              <w:left w:val="nil"/>
              <w:bottom w:val="single" w:color="auto" w:sz="6" w:space="0"/>
              <w:right w:val="nil"/>
            </w:tcBorders>
            <w:vAlign w:val="center"/>
          </w:tcPr>
          <w:p w14:paraId="77D4D8C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sz w:val="15"/>
                <w:szCs w:val="15"/>
                <w:highlight w:val="none"/>
              </w:rPr>
            </w:pPr>
            <w:r>
              <w:rPr>
                <w:rFonts w:hint="eastAsia" w:ascii="宋体" w:hAnsi="宋体" w:eastAsia="宋体" w:cs="宋体"/>
                <w:b w:val="0"/>
                <w:bCs/>
                <w:sz w:val="15"/>
                <w:szCs w:val="15"/>
                <w:highlight w:val="none"/>
              </w:rPr>
              <w:t>指标属性</w:t>
            </w:r>
          </w:p>
        </w:tc>
      </w:tr>
      <w:tr w14:paraId="7091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restart"/>
            <w:tcBorders>
              <w:top w:val="single" w:color="auto" w:sz="6" w:space="0"/>
              <w:left w:val="nil"/>
              <w:bottom w:val="nil"/>
              <w:right w:val="nil"/>
            </w:tcBorders>
            <w:vAlign w:val="center"/>
          </w:tcPr>
          <w:p w14:paraId="30A9754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创新主体</w:t>
            </w:r>
          </w:p>
        </w:tc>
        <w:tc>
          <w:tcPr>
            <w:tcW w:w="2631" w:type="dxa"/>
            <w:tcBorders>
              <w:top w:val="single" w:color="auto" w:sz="6" w:space="0"/>
              <w:left w:val="nil"/>
              <w:bottom w:val="nil"/>
              <w:right w:val="nil"/>
            </w:tcBorders>
            <w:vAlign w:val="center"/>
          </w:tcPr>
          <w:p w14:paraId="1D892A9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高校数量</w:t>
            </w:r>
          </w:p>
        </w:tc>
        <w:tc>
          <w:tcPr>
            <w:tcW w:w="4159" w:type="dxa"/>
            <w:tcBorders>
              <w:top w:val="single" w:color="auto" w:sz="6" w:space="0"/>
              <w:left w:val="nil"/>
              <w:bottom w:val="nil"/>
              <w:right w:val="nil"/>
            </w:tcBorders>
            <w:vAlign w:val="center"/>
          </w:tcPr>
          <w:p w14:paraId="6E0FFB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普通高等学校数（个）</w:t>
            </w:r>
          </w:p>
        </w:tc>
      </w:tr>
      <w:tr w14:paraId="0392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73BA2E0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0F51C3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数字产业企业数</w:t>
            </w:r>
          </w:p>
        </w:tc>
        <w:tc>
          <w:tcPr>
            <w:tcW w:w="4159" w:type="dxa"/>
            <w:tcBorders>
              <w:top w:val="nil"/>
              <w:left w:val="nil"/>
              <w:bottom w:val="nil"/>
              <w:right w:val="nil"/>
            </w:tcBorders>
            <w:vAlign w:val="center"/>
          </w:tcPr>
          <w:p w14:paraId="6A4D4DC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信息传输、计算机服务和软件业企业数（个）</w:t>
            </w:r>
          </w:p>
        </w:tc>
      </w:tr>
      <w:tr w14:paraId="6805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132460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6483FCD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高新技术企业数</w:t>
            </w:r>
          </w:p>
        </w:tc>
        <w:tc>
          <w:tcPr>
            <w:tcW w:w="4159" w:type="dxa"/>
            <w:tcBorders>
              <w:top w:val="nil"/>
              <w:left w:val="nil"/>
              <w:bottom w:val="nil"/>
              <w:right w:val="nil"/>
            </w:tcBorders>
            <w:vAlign w:val="center"/>
          </w:tcPr>
          <w:p w14:paraId="761FB7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国家级高新技术企业数（个）</w:t>
            </w:r>
          </w:p>
        </w:tc>
      </w:tr>
      <w:tr w14:paraId="6C95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restart"/>
            <w:tcBorders>
              <w:top w:val="nil"/>
              <w:left w:val="nil"/>
              <w:bottom w:val="nil"/>
              <w:right w:val="nil"/>
            </w:tcBorders>
            <w:vAlign w:val="center"/>
          </w:tcPr>
          <w:p w14:paraId="7814B2B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资源配置</w:t>
            </w:r>
          </w:p>
        </w:tc>
        <w:tc>
          <w:tcPr>
            <w:tcW w:w="2631" w:type="dxa"/>
            <w:tcBorders>
              <w:top w:val="nil"/>
              <w:left w:val="nil"/>
              <w:bottom w:val="nil"/>
              <w:right w:val="nil"/>
            </w:tcBorders>
            <w:vAlign w:val="center"/>
          </w:tcPr>
          <w:p w14:paraId="6C48B8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科学技术水平</w:t>
            </w:r>
          </w:p>
        </w:tc>
        <w:tc>
          <w:tcPr>
            <w:tcW w:w="4159" w:type="dxa"/>
            <w:tcBorders>
              <w:top w:val="nil"/>
              <w:left w:val="nil"/>
              <w:bottom w:val="nil"/>
              <w:right w:val="nil"/>
            </w:tcBorders>
            <w:vAlign w:val="center"/>
          </w:tcPr>
          <w:p w14:paraId="6C26464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科学技术支出/地方财政一般预算内支出（%）</w:t>
            </w:r>
          </w:p>
        </w:tc>
      </w:tr>
      <w:tr w14:paraId="155C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417D8B3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607B23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教育水平</w:t>
            </w:r>
          </w:p>
        </w:tc>
        <w:tc>
          <w:tcPr>
            <w:tcW w:w="4159" w:type="dxa"/>
            <w:tcBorders>
              <w:top w:val="nil"/>
              <w:left w:val="nil"/>
              <w:bottom w:val="nil"/>
              <w:right w:val="nil"/>
            </w:tcBorders>
            <w:vAlign w:val="center"/>
          </w:tcPr>
          <w:p w14:paraId="695F14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教育支出/地方财政一般预算内支出（%）</w:t>
            </w:r>
          </w:p>
        </w:tc>
      </w:tr>
      <w:tr w14:paraId="01AB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11E361B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64A3E89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数字人才比例</w:t>
            </w:r>
          </w:p>
        </w:tc>
        <w:tc>
          <w:tcPr>
            <w:tcW w:w="4159" w:type="dxa"/>
            <w:tcBorders>
              <w:top w:val="nil"/>
              <w:left w:val="nil"/>
              <w:bottom w:val="nil"/>
              <w:right w:val="nil"/>
            </w:tcBorders>
            <w:vAlign w:val="center"/>
          </w:tcPr>
          <w:p w14:paraId="5DFDF35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数字产业用工人数/城镇就业总人数（%）</w:t>
            </w:r>
          </w:p>
        </w:tc>
      </w:tr>
      <w:tr w14:paraId="7238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2EE89F5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5F3143C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就业人员学历水平</w:t>
            </w:r>
          </w:p>
        </w:tc>
        <w:tc>
          <w:tcPr>
            <w:tcW w:w="4159" w:type="dxa"/>
            <w:tcBorders>
              <w:top w:val="nil"/>
              <w:left w:val="nil"/>
              <w:bottom w:val="nil"/>
              <w:right w:val="nil"/>
            </w:tcBorders>
            <w:vAlign w:val="center"/>
          </w:tcPr>
          <w:p w14:paraId="694AE1F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大学专科及以上学历就业人员占比（%）</w:t>
            </w:r>
          </w:p>
        </w:tc>
      </w:tr>
      <w:tr w14:paraId="2FB3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436AD7F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5F6B91F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规上企业研发人员数</w:t>
            </w:r>
          </w:p>
        </w:tc>
        <w:tc>
          <w:tcPr>
            <w:tcW w:w="4159" w:type="dxa"/>
            <w:tcBorders>
              <w:top w:val="nil"/>
              <w:left w:val="nil"/>
              <w:bottom w:val="nil"/>
              <w:right w:val="nil"/>
            </w:tcBorders>
            <w:vAlign w:val="center"/>
          </w:tcPr>
          <w:p w14:paraId="56A0672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规模以上工业企业R&amp;D人员（人）</w:t>
            </w:r>
          </w:p>
        </w:tc>
      </w:tr>
      <w:tr w14:paraId="34392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restart"/>
            <w:tcBorders>
              <w:top w:val="nil"/>
              <w:left w:val="nil"/>
              <w:bottom w:val="nil"/>
              <w:right w:val="nil"/>
            </w:tcBorders>
            <w:vAlign w:val="center"/>
          </w:tcPr>
          <w:p w14:paraId="3094CA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要素流动</w:t>
            </w:r>
          </w:p>
        </w:tc>
        <w:tc>
          <w:tcPr>
            <w:tcW w:w="2631" w:type="dxa"/>
            <w:tcBorders>
              <w:top w:val="nil"/>
              <w:left w:val="nil"/>
              <w:bottom w:val="nil"/>
              <w:right w:val="nil"/>
            </w:tcBorders>
            <w:vAlign w:val="center"/>
          </w:tcPr>
          <w:p w14:paraId="788201C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技术合同成交额</w:t>
            </w:r>
          </w:p>
        </w:tc>
        <w:tc>
          <w:tcPr>
            <w:tcW w:w="4159" w:type="dxa"/>
            <w:tcBorders>
              <w:top w:val="nil"/>
              <w:left w:val="nil"/>
              <w:bottom w:val="nil"/>
              <w:right w:val="nil"/>
            </w:tcBorders>
            <w:vAlign w:val="center"/>
          </w:tcPr>
          <w:p w14:paraId="52C1E18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技术合同成交金额（万元）</w:t>
            </w:r>
          </w:p>
        </w:tc>
      </w:tr>
      <w:tr w14:paraId="01BA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36476F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5C5FAB6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电子商务销售额</w:t>
            </w:r>
          </w:p>
        </w:tc>
        <w:tc>
          <w:tcPr>
            <w:tcW w:w="4159" w:type="dxa"/>
            <w:tcBorders>
              <w:top w:val="nil"/>
              <w:left w:val="nil"/>
              <w:bottom w:val="nil"/>
              <w:right w:val="nil"/>
            </w:tcBorders>
            <w:vAlign w:val="center"/>
          </w:tcPr>
          <w:p w14:paraId="47B06BD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电子商务销售额（亿元）</w:t>
            </w:r>
          </w:p>
        </w:tc>
      </w:tr>
      <w:tr w14:paraId="2F16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3031D0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74529AF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人均GDP</w:t>
            </w:r>
          </w:p>
        </w:tc>
        <w:tc>
          <w:tcPr>
            <w:tcW w:w="4159" w:type="dxa"/>
            <w:tcBorders>
              <w:top w:val="nil"/>
              <w:left w:val="nil"/>
              <w:bottom w:val="nil"/>
              <w:right w:val="nil"/>
            </w:tcBorders>
            <w:vAlign w:val="center"/>
          </w:tcPr>
          <w:p w14:paraId="521D4D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地区生产总值/常住人口（元）</w:t>
            </w:r>
          </w:p>
        </w:tc>
      </w:tr>
      <w:tr w14:paraId="6B46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257262D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67F96A5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电信业务收入</w:t>
            </w:r>
          </w:p>
        </w:tc>
        <w:tc>
          <w:tcPr>
            <w:tcW w:w="4159" w:type="dxa"/>
            <w:tcBorders>
              <w:top w:val="nil"/>
              <w:left w:val="nil"/>
              <w:bottom w:val="nil"/>
              <w:right w:val="nil"/>
            </w:tcBorders>
            <w:vAlign w:val="center"/>
          </w:tcPr>
          <w:p w14:paraId="6EFF45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电信业务收入（万元）</w:t>
            </w:r>
          </w:p>
        </w:tc>
      </w:tr>
      <w:tr w14:paraId="1D0B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21DC9E2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2B26958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移动电话户数</w:t>
            </w:r>
          </w:p>
        </w:tc>
        <w:tc>
          <w:tcPr>
            <w:tcW w:w="4159" w:type="dxa"/>
            <w:tcBorders>
              <w:top w:val="nil"/>
              <w:left w:val="nil"/>
              <w:bottom w:val="nil"/>
              <w:right w:val="nil"/>
            </w:tcBorders>
            <w:vAlign w:val="center"/>
          </w:tcPr>
          <w:p w14:paraId="4DB9253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移动电话年末用户数（万户）</w:t>
            </w:r>
          </w:p>
        </w:tc>
      </w:tr>
      <w:tr w14:paraId="4B43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03741EC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75FE35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互联网宽带接入用户数</w:t>
            </w:r>
          </w:p>
        </w:tc>
        <w:tc>
          <w:tcPr>
            <w:tcW w:w="4159" w:type="dxa"/>
            <w:tcBorders>
              <w:top w:val="nil"/>
              <w:left w:val="nil"/>
              <w:bottom w:val="nil"/>
              <w:right w:val="nil"/>
            </w:tcBorders>
            <w:vAlign w:val="center"/>
          </w:tcPr>
          <w:p w14:paraId="1EE08E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互联网宽带接入用户数（万户）</w:t>
            </w:r>
          </w:p>
        </w:tc>
      </w:tr>
      <w:tr w14:paraId="4A1F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63A39D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617733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人口流动率</w:t>
            </w:r>
          </w:p>
        </w:tc>
        <w:tc>
          <w:tcPr>
            <w:tcW w:w="4159" w:type="dxa"/>
            <w:tcBorders>
              <w:top w:val="nil"/>
              <w:left w:val="nil"/>
              <w:bottom w:val="nil"/>
              <w:right w:val="nil"/>
            </w:tcBorders>
            <w:vAlign w:val="center"/>
          </w:tcPr>
          <w:p w14:paraId="759CEBB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（常住人口-户籍人口）/户籍人口（%）</w:t>
            </w:r>
          </w:p>
        </w:tc>
      </w:tr>
      <w:tr w14:paraId="1CB0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restart"/>
            <w:tcBorders>
              <w:top w:val="nil"/>
              <w:left w:val="nil"/>
              <w:bottom w:val="nil"/>
              <w:right w:val="nil"/>
            </w:tcBorders>
            <w:vAlign w:val="center"/>
          </w:tcPr>
          <w:p w14:paraId="20DC729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创新韧性</w:t>
            </w:r>
          </w:p>
        </w:tc>
        <w:tc>
          <w:tcPr>
            <w:tcW w:w="2631" w:type="dxa"/>
            <w:tcBorders>
              <w:top w:val="nil"/>
              <w:left w:val="nil"/>
              <w:bottom w:val="nil"/>
              <w:right w:val="nil"/>
            </w:tcBorders>
            <w:vAlign w:val="center"/>
          </w:tcPr>
          <w:p w14:paraId="279E5A4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每万人在校大学生数</w:t>
            </w:r>
          </w:p>
        </w:tc>
        <w:tc>
          <w:tcPr>
            <w:tcW w:w="4159" w:type="dxa"/>
            <w:tcBorders>
              <w:top w:val="nil"/>
              <w:left w:val="nil"/>
              <w:bottom w:val="nil"/>
              <w:right w:val="nil"/>
            </w:tcBorders>
            <w:vAlign w:val="center"/>
          </w:tcPr>
          <w:p w14:paraId="5D0744B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在校大学生数/常住人口（人/万人）</w:t>
            </w:r>
          </w:p>
        </w:tc>
      </w:tr>
      <w:tr w14:paraId="49DD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0FA46EE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6E8961A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人均金融机构贷款余额</w:t>
            </w:r>
          </w:p>
        </w:tc>
        <w:tc>
          <w:tcPr>
            <w:tcW w:w="4159" w:type="dxa"/>
            <w:tcBorders>
              <w:top w:val="nil"/>
              <w:left w:val="nil"/>
              <w:bottom w:val="nil"/>
              <w:right w:val="nil"/>
            </w:tcBorders>
            <w:vAlign w:val="center"/>
          </w:tcPr>
          <w:p w14:paraId="5BF8A5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年末金融机构贷款余额/常住人口（元）</w:t>
            </w:r>
          </w:p>
        </w:tc>
      </w:tr>
      <w:tr w14:paraId="0834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4BEB52C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427993A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人均金融机构存款余额</w:t>
            </w:r>
          </w:p>
        </w:tc>
        <w:tc>
          <w:tcPr>
            <w:tcW w:w="4159" w:type="dxa"/>
            <w:tcBorders>
              <w:top w:val="nil"/>
              <w:left w:val="nil"/>
              <w:bottom w:val="nil"/>
              <w:right w:val="nil"/>
            </w:tcBorders>
            <w:vAlign w:val="center"/>
          </w:tcPr>
          <w:p w14:paraId="490ABED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年末金融机构存款余额/常住人口（元）</w:t>
            </w:r>
          </w:p>
        </w:tc>
      </w:tr>
      <w:tr w14:paraId="2436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42B01B4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676807D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数字普惠金融指数</w:t>
            </w:r>
          </w:p>
        </w:tc>
        <w:tc>
          <w:tcPr>
            <w:tcW w:w="4159" w:type="dxa"/>
            <w:tcBorders>
              <w:top w:val="nil"/>
              <w:left w:val="nil"/>
              <w:bottom w:val="nil"/>
              <w:right w:val="nil"/>
            </w:tcBorders>
            <w:vAlign w:val="center"/>
          </w:tcPr>
          <w:p w14:paraId="768EA80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北京大学数字普惠金融指数</w:t>
            </w:r>
          </w:p>
        </w:tc>
      </w:tr>
      <w:tr w14:paraId="480F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nil"/>
              <w:right w:val="nil"/>
            </w:tcBorders>
            <w:vAlign w:val="center"/>
          </w:tcPr>
          <w:p w14:paraId="5F2B58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nil"/>
              <w:right w:val="nil"/>
            </w:tcBorders>
            <w:vAlign w:val="center"/>
          </w:tcPr>
          <w:p w14:paraId="1435095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企业R&amp;D经费投入强度</w:t>
            </w:r>
          </w:p>
        </w:tc>
        <w:tc>
          <w:tcPr>
            <w:tcW w:w="4159" w:type="dxa"/>
            <w:tcBorders>
              <w:top w:val="nil"/>
              <w:left w:val="nil"/>
              <w:bottom w:val="nil"/>
              <w:right w:val="nil"/>
            </w:tcBorders>
            <w:vAlign w:val="center"/>
          </w:tcPr>
          <w:p w14:paraId="54A9B30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企业R&amp;D经费/GDP（%）</w:t>
            </w:r>
          </w:p>
        </w:tc>
      </w:tr>
      <w:tr w14:paraId="29AD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8" w:type="dxa"/>
            <w:vMerge w:val="continue"/>
            <w:tcBorders>
              <w:top w:val="nil"/>
              <w:left w:val="nil"/>
              <w:bottom w:val="single" w:color="auto" w:sz="12" w:space="0"/>
              <w:right w:val="nil"/>
            </w:tcBorders>
            <w:vAlign w:val="center"/>
          </w:tcPr>
          <w:p w14:paraId="0304C3B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631" w:type="dxa"/>
            <w:tcBorders>
              <w:top w:val="nil"/>
              <w:left w:val="nil"/>
              <w:bottom w:val="single" w:color="auto" w:sz="12" w:space="0"/>
              <w:right w:val="nil"/>
            </w:tcBorders>
            <w:vAlign w:val="center"/>
          </w:tcPr>
          <w:p w14:paraId="51B3B33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专利申请数</w:t>
            </w:r>
          </w:p>
        </w:tc>
        <w:tc>
          <w:tcPr>
            <w:tcW w:w="4159" w:type="dxa"/>
            <w:tcBorders>
              <w:top w:val="nil"/>
              <w:left w:val="nil"/>
              <w:bottom w:val="single" w:color="auto" w:sz="12" w:space="0"/>
              <w:right w:val="nil"/>
            </w:tcBorders>
            <w:vAlign w:val="center"/>
          </w:tcPr>
          <w:p w14:paraId="7C601C0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专利申请受理量（项）</w:t>
            </w:r>
          </w:p>
        </w:tc>
      </w:tr>
    </w:tbl>
    <w:p w14:paraId="07745A42">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2</w:t>
      </w:r>
      <w:r>
        <w:rPr>
          <w:rFonts w:hint="default" w:ascii="宋体" w:hAnsi="宋体" w:eastAsia="宋体" w:cs="宋体"/>
          <w:b w:val="0"/>
          <w:sz w:val="21"/>
          <w:szCs w:val="21"/>
          <w:highlight w:val="none"/>
          <w:lang w:val="en-US" w:eastAsia="zh-CN"/>
        </w:rPr>
        <w:t>.</w:t>
      </w:r>
      <w:r>
        <w:rPr>
          <w:rFonts w:hint="eastAsia" w:ascii="宋体" w:hAnsi="宋体" w:eastAsia="宋体" w:cs="宋体"/>
          <w:b w:val="0"/>
          <w:sz w:val="21"/>
          <w:szCs w:val="21"/>
          <w:highlight w:val="none"/>
          <w:lang w:val="en-US" w:eastAsia="zh-CN"/>
        </w:rPr>
        <w:t>核心解释变量：耐心资本(</w:t>
      </w:r>
      <w:r>
        <w:rPr>
          <w:rFonts w:hint="eastAsia" w:ascii="宋体" w:hAnsi="宋体" w:eastAsia="宋体" w:cs="宋体"/>
          <w:b w:val="0"/>
          <w:i/>
          <w:iCs/>
          <w:sz w:val="21"/>
          <w:szCs w:val="21"/>
          <w:highlight w:val="none"/>
          <w:lang w:val="en-US" w:eastAsia="zh-CN"/>
        </w:rPr>
        <w:t>Did_cont</w:t>
      </w:r>
      <w:r>
        <w:rPr>
          <w:rFonts w:hint="eastAsia" w:ascii="宋体" w:hAnsi="宋体" w:eastAsia="宋体" w:cs="宋体"/>
          <w:b w:val="0"/>
          <w:sz w:val="21"/>
          <w:szCs w:val="21"/>
          <w:highlight w:val="none"/>
          <w:lang w:val="en-US" w:eastAsia="zh-CN"/>
        </w:rPr>
        <w:t>)</w:t>
      </w:r>
    </w:p>
    <w:p w14:paraId="5EAAF0F9">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i w:val="0"/>
          <w:sz w:val="21"/>
          <w:szCs w:val="21"/>
          <w:highlight w:val="none"/>
          <w:lang w:eastAsia="zh-CN"/>
        </w:rPr>
      </w:pPr>
      <w:r>
        <w:rPr>
          <w:rFonts w:hint="default" w:ascii="宋体" w:hAnsi="宋体" w:eastAsia="宋体" w:cs="宋体"/>
          <w:b w:val="0"/>
          <w:sz w:val="21"/>
          <w:szCs w:val="21"/>
          <w:highlight w:val="none"/>
          <w:lang w:val="en-US" w:eastAsia="zh-CN"/>
        </w:rPr>
        <w:t>本文将政府引导基金的设立视为一项准自然实验，采用连续强度双重差分模型识别耐心资本对区域创新生态的因果效应。在政策背景层面，政府引导基金是耐心资本在中国情境下最具代表性的实践载体</w:t>
      </w:r>
      <w:r>
        <w:rPr>
          <w:rFonts w:hint="eastAsia" w:ascii="宋体" w:hAnsi="宋体" w:eastAsia="宋体" w:cs="宋体"/>
          <w:b w:val="0"/>
          <w:sz w:val="21"/>
          <w:szCs w:val="21"/>
          <w:highlight w:val="none"/>
          <w:lang w:val="en-US" w:eastAsia="zh-CN"/>
        </w:rPr>
        <w:t>，其</w:t>
      </w:r>
      <w:r>
        <w:rPr>
          <w:rFonts w:hint="default" w:ascii="宋体" w:hAnsi="宋体" w:eastAsia="宋体" w:cs="宋体"/>
          <w:b w:val="0"/>
          <w:sz w:val="21"/>
          <w:szCs w:val="21"/>
          <w:highlight w:val="none"/>
          <w:lang w:val="en-US" w:eastAsia="zh-CN"/>
        </w:rPr>
        <w:t>完全符合耐心资本“长期导向、风险容忍、价值共创”的核心特征。2025年国务院办公厅印发《关于促进政府投资基金高质量发展的指导意见》明确“发展长期资本、耐心资本”，均将政府引导基金作为关键抓手，进一步确立了其作为耐心资本代理变量的政策合理性。在DID构造层面，本文以2015年颁布的《政府投资基金暂行管理办法》作为政策冲击时点构建统一时点DID框架</w:t>
      </w:r>
      <w:r>
        <w:rPr>
          <w:rFonts w:hint="eastAsia" w:ascii="宋体" w:hAnsi="宋体" w:eastAsia="宋体" w:cs="宋体"/>
          <w:b w:val="0"/>
          <w:sz w:val="21"/>
          <w:szCs w:val="21"/>
          <w:highlight w:val="none"/>
          <w:lang w:val="en-US" w:eastAsia="zh-CN"/>
        </w:rPr>
        <w:t>，该办法首次从国家层面规范政府投资基金运作，此后各地政府引导基金进入快速扩张期，以此作为统一政策时点具有合理性</w:t>
      </w:r>
      <w:r>
        <w:rPr>
          <w:rFonts w:hint="default" w:ascii="宋体" w:hAnsi="宋体" w:eastAsia="宋体" w:cs="宋体"/>
          <w:b w:val="0"/>
          <w:sz w:val="21"/>
          <w:szCs w:val="21"/>
          <w:highlight w:val="none"/>
          <w:lang w:val="en-US" w:eastAsia="zh-CN"/>
        </w:rPr>
        <w:t>。具体而言，首先构造政策时间虚拟变量</w:t>
      </w:r>
      <w:r>
        <w:rPr>
          <w:rFonts w:hint="default" w:ascii="宋体" w:hAnsi="宋体" w:eastAsia="宋体" w:cs="宋体"/>
          <w:b w:val="0"/>
          <w:i/>
          <w:iCs/>
          <w:sz w:val="21"/>
          <w:szCs w:val="21"/>
          <w:highlight w:val="none"/>
          <w:lang w:val="en-US" w:eastAsia="zh-CN"/>
        </w:rPr>
        <w:t>Post</w:t>
      </w:r>
      <w:r>
        <w:rPr>
          <w:rFonts w:hint="default" w:ascii="宋体" w:hAnsi="宋体" w:eastAsia="宋体" w:cs="宋体"/>
          <w:b w:val="0"/>
          <w:sz w:val="21"/>
          <w:szCs w:val="21"/>
          <w:highlight w:val="none"/>
          <w:lang w:val="en-US" w:eastAsia="zh-CN"/>
        </w:rPr>
        <w:t>，2015年及以后赋值为1，2015年以前赋值为0，即</w:t>
      </w:r>
      <w:r>
        <w:rPr>
          <w:rFonts w:hint="default" w:ascii="宋体" w:hAnsi="宋体" w:eastAsia="宋体" w:cs="宋体"/>
          <w:b w:val="0"/>
          <w:i/>
          <w:iCs/>
          <w:sz w:val="21"/>
          <w:szCs w:val="21"/>
          <w:highlight w:val="none"/>
          <w:lang w:val="en-US" w:eastAsia="zh-CN"/>
        </w:rPr>
        <w:t>Post</w:t>
      </w:r>
      <w:r>
        <w:rPr>
          <w:rFonts w:hint="default" w:ascii="宋体" w:hAnsi="宋体" w:eastAsia="宋体" w:cs="宋体"/>
          <w:b w:val="0"/>
          <w:sz w:val="21"/>
          <w:szCs w:val="21"/>
          <w:highlight w:val="none"/>
          <w:lang w:val="en-US" w:eastAsia="zh-CN"/>
        </w:rPr>
        <w:t>=(</w:t>
      </w:r>
      <w:r>
        <w:rPr>
          <w:rFonts w:hint="default" w:ascii="宋体" w:hAnsi="宋体" w:eastAsia="宋体" w:cs="宋体"/>
          <w:b w:val="0"/>
          <w:i/>
          <w:iCs/>
          <w:sz w:val="21"/>
          <w:szCs w:val="21"/>
          <w:highlight w:val="none"/>
          <w:lang w:val="en-US" w:eastAsia="zh-CN"/>
        </w:rPr>
        <w:t>year</w:t>
      </w:r>
      <w:r>
        <w:rPr>
          <w:rFonts w:hint="default" w:ascii="宋体" w:hAnsi="宋体" w:eastAsia="宋体" w:cs="宋体"/>
          <w:b w:val="0"/>
          <w:sz w:val="21"/>
          <w:szCs w:val="21"/>
          <w:highlight w:val="none"/>
          <w:lang w:val="en-US" w:eastAsia="zh-CN"/>
        </w:rPr>
        <w:t>≥2015)。其次，本文以政府引导基金累计规模</w:t>
      </w:r>
      <w:r>
        <w:rPr>
          <w:rFonts w:hint="eastAsia" w:ascii="宋体" w:hAnsi="宋体" w:eastAsia="宋体" w:cs="宋体"/>
          <w:b w:val="0"/>
          <w:sz w:val="21"/>
          <w:szCs w:val="21"/>
          <w:highlight w:val="none"/>
          <w:lang w:val="en-US" w:eastAsia="zh-CN"/>
        </w:rPr>
        <w:t>（</w:t>
      </w:r>
      <w:r>
        <w:rPr>
          <w:rFonts w:hint="default" w:ascii="宋体" w:hAnsi="宋体" w:eastAsia="宋体" w:cs="宋体"/>
          <w:b w:val="0"/>
          <w:i/>
          <w:iCs/>
          <w:sz w:val="21"/>
          <w:szCs w:val="21"/>
          <w:highlight w:val="none"/>
          <w:lang w:val="en-US" w:eastAsia="zh-CN"/>
        </w:rPr>
        <w:t>Gfund</w:t>
      </w:r>
      <w:r>
        <w:rPr>
          <w:rFonts w:hint="eastAsia" w:ascii="宋体" w:hAnsi="宋体" w:eastAsia="宋体" w:cs="宋体"/>
          <w:b w:val="0"/>
          <w:i w:val="0"/>
          <w:iCs w:val="0"/>
          <w:sz w:val="21"/>
          <w:szCs w:val="21"/>
          <w:highlight w:val="none"/>
          <w:lang w:val="en-US" w:eastAsia="zh-CN"/>
        </w:rPr>
        <w:t>）</w:t>
      </w:r>
      <w:r>
        <w:rPr>
          <w:rFonts w:hint="default" w:ascii="宋体" w:hAnsi="宋体" w:eastAsia="宋体" w:cs="宋体"/>
          <w:b w:val="0"/>
          <w:sz w:val="21"/>
          <w:szCs w:val="21"/>
          <w:highlight w:val="none"/>
          <w:lang w:val="en-US" w:eastAsia="zh-CN"/>
        </w:rPr>
        <w:t>作为政策强度变量，统计口径为各城市累计设立的政府引导基金目标规模之和</w:t>
      </w:r>
      <w:r>
        <w:rPr>
          <w:rFonts w:hint="eastAsia" w:ascii="宋体" w:hAnsi="宋体" w:eastAsia="宋体" w:cs="宋体"/>
          <w:b w:val="0"/>
          <w:sz w:val="21"/>
          <w:szCs w:val="21"/>
          <w:highlight w:val="none"/>
          <w:lang w:val="en-US" w:eastAsia="zh-CN"/>
        </w:rPr>
        <w:t>（</w:t>
      </w:r>
      <w:r>
        <w:rPr>
          <w:rFonts w:hint="default" w:ascii="宋体" w:hAnsi="宋体" w:eastAsia="宋体" w:cs="宋体"/>
          <w:b w:val="0"/>
          <w:sz w:val="21"/>
          <w:szCs w:val="21"/>
          <w:highlight w:val="none"/>
          <w:lang w:val="en-US" w:eastAsia="zh-CN"/>
        </w:rPr>
        <w:t>单位：亿元</w:t>
      </w:r>
      <w:r>
        <w:rPr>
          <w:rFonts w:hint="eastAsia" w:ascii="宋体" w:hAnsi="宋体" w:eastAsia="宋体" w:cs="宋体"/>
          <w:b w:val="0"/>
          <w:sz w:val="21"/>
          <w:szCs w:val="21"/>
          <w:highlight w:val="none"/>
          <w:lang w:val="en-US" w:eastAsia="zh-CN"/>
        </w:rPr>
        <w:t>）。</w:t>
      </w:r>
      <w:r>
        <w:rPr>
          <w:rFonts w:hint="default" w:ascii="宋体" w:hAnsi="宋体" w:eastAsia="宋体" w:cs="宋体"/>
          <w:b w:val="0"/>
          <w:sz w:val="21"/>
          <w:szCs w:val="21"/>
          <w:highlight w:val="none"/>
          <w:lang w:val="en-US" w:eastAsia="zh-CN"/>
        </w:rPr>
        <w:t>考虑到政府引导基金规模呈明显右偏分布，直接使用原始规模进行回归可能受到少数大城市极端值的影响，本文进一步对缩尾后的基金规模进行对数变换，即取ln(</w:t>
      </w:r>
      <w:r>
        <w:rPr>
          <w:rFonts w:hint="default" w:ascii="宋体" w:hAnsi="宋体" w:eastAsia="宋体" w:cs="宋体"/>
          <w:b w:val="0"/>
          <w:i/>
          <w:iCs/>
          <w:sz w:val="21"/>
          <w:szCs w:val="21"/>
          <w:highlight w:val="none"/>
          <w:lang w:val="en-US" w:eastAsia="zh-CN"/>
        </w:rPr>
        <w:t>Gfund</w:t>
      </w:r>
      <w:r>
        <w:rPr>
          <w:rFonts w:hint="eastAsia" w:ascii="宋体" w:hAnsi="宋体" w:eastAsia="宋体" w:cs="宋体"/>
          <w:b w:val="0"/>
          <w:i/>
          <w:iCs/>
          <w:sz w:val="21"/>
          <w:szCs w:val="21"/>
          <w:highlight w:val="none"/>
          <w:lang w:val="en-US" w:eastAsia="zh-CN"/>
        </w:rPr>
        <w:t xml:space="preserve"> </w:t>
      </w:r>
      <w:r>
        <w:rPr>
          <w:rFonts w:hint="eastAsia" w:ascii="宋体" w:hAnsi="宋体" w:eastAsia="宋体" w:cs="宋体"/>
          <w:b w:val="0"/>
          <w:sz w:val="21"/>
          <w:szCs w:val="21"/>
          <w:highlight w:val="none"/>
          <w:lang w:val="en-US" w:eastAsia="zh-CN"/>
        </w:rPr>
        <w:t xml:space="preserve">+ </w:t>
      </w:r>
      <w:r>
        <w:rPr>
          <w:rFonts w:hint="default" w:ascii="宋体" w:hAnsi="宋体" w:eastAsia="宋体" w:cs="宋体"/>
          <w:b w:val="0"/>
          <w:sz w:val="21"/>
          <w:szCs w:val="21"/>
          <w:highlight w:val="none"/>
          <w:lang w:val="en-US" w:eastAsia="zh-CN"/>
        </w:rPr>
        <w:t>1)，以缓解数据偏态问题，同时使回归系数具有弹性解释含义。最后，构造连续强度DID交互项作为核心解释变量：</w:t>
      </w:r>
      <w:r>
        <w:rPr>
          <w:rFonts w:hint="default" w:ascii="宋体" w:hAnsi="宋体" w:eastAsia="宋体" w:cs="宋体"/>
          <w:b w:val="0"/>
          <w:i/>
          <w:iCs/>
          <w:sz w:val="21"/>
          <w:szCs w:val="21"/>
          <w:highlight w:val="none"/>
          <w:lang w:val="en-US" w:eastAsia="zh-CN"/>
        </w:rPr>
        <w:t>Did_cont</w:t>
      </w:r>
      <w:r>
        <w:rPr>
          <w:rFonts w:hint="default" w:ascii="宋体" w:hAnsi="宋体" w:eastAsia="宋体" w:cs="宋体"/>
          <w:b w:val="0"/>
          <w:i/>
          <w:iCs/>
          <w:sz w:val="21"/>
          <w:szCs w:val="21"/>
          <w:highlight w:val="none"/>
          <w:vertAlign w:val="subscript"/>
          <w:lang w:val="en-US" w:eastAsia="zh-CN"/>
        </w:rPr>
        <w:t>it</w:t>
      </w:r>
      <w:r>
        <w:rPr>
          <w:rFonts w:hint="eastAsia" w:ascii="宋体" w:hAnsi="宋体" w:eastAsia="宋体" w:cs="宋体"/>
          <w:b w:val="0"/>
          <w:i w:val="0"/>
          <w:iCs w:val="0"/>
          <w:sz w:val="21"/>
          <w:szCs w:val="21"/>
          <w:highlight w:val="none"/>
          <w:lang w:val="en-US" w:eastAsia="zh-CN"/>
        </w:rPr>
        <w:t xml:space="preserve"> </w:t>
      </w:r>
      <w:r>
        <w:rPr>
          <w:rFonts w:hint="default" w:ascii="宋体" w:hAnsi="宋体" w:eastAsia="宋体" w:cs="宋体"/>
          <w:b w:val="0"/>
          <w:i/>
          <w:iCs/>
          <w:sz w:val="21"/>
          <w:szCs w:val="21"/>
          <w:highlight w:val="none"/>
          <w:lang w:val="en-US" w:eastAsia="zh-CN"/>
        </w:rPr>
        <w:t>=</w:t>
      </w:r>
      <w:r>
        <w:rPr>
          <w:rFonts w:hint="eastAsia" w:ascii="宋体" w:hAnsi="宋体" w:eastAsia="宋体" w:cs="宋体"/>
          <w:b w:val="0"/>
          <w:i/>
          <w:iCs/>
          <w:sz w:val="21"/>
          <w:szCs w:val="21"/>
          <w:highlight w:val="none"/>
          <w:lang w:val="en-US" w:eastAsia="zh-CN"/>
        </w:rPr>
        <w:t xml:space="preserve"> </w:t>
      </w:r>
      <w:r>
        <w:rPr>
          <w:rFonts w:hint="default" w:ascii="宋体" w:hAnsi="宋体" w:eastAsia="宋体" w:cs="宋体"/>
          <w:b w:val="0"/>
          <w:i w:val="0"/>
          <w:iCs w:val="0"/>
          <w:sz w:val="21"/>
          <w:szCs w:val="21"/>
          <w:highlight w:val="none"/>
          <w:lang w:val="en-US" w:eastAsia="zh-CN"/>
        </w:rPr>
        <w:t>ln</w:t>
      </w:r>
      <w:r>
        <w:rPr>
          <w:rFonts w:hint="eastAsia" w:ascii="宋体" w:hAnsi="宋体" w:eastAsia="宋体" w:cs="宋体"/>
          <w:b w:val="0"/>
          <w:i w:val="0"/>
          <w:iCs w:val="0"/>
          <w:sz w:val="21"/>
          <w:szCs w:val="21"/>
          <w:highlight w:val="none"/>
          <w:lang w:val="en-US" w:eastAsia="zh-CN"/>
        </w:rPr>
        <w:t>(</w:t>
      </w:r>
      <w:r>
        <w:rPr>
          <w:rFonts w:hint="default" w:ascii="宋体" w:hAnsi="宋体" w:eastAsia="宋体" w:cs="宋体"/>
          <w:b w:val="0"/>
          <w:i/>
          <w:iCs/>
          <w:sz w:val="21"/>
          <w:szCs w:val="21"/>
          <w:highlight w:val="none"/>
          <w:lang w:val="en-US" w:eastAsia="zh-CN"/>
        </w:rPr>
        <w:t>Gfund</w:t>
      </w:r>
      <w:r>
        <w:rPr>
          <w:rFonts w:hint="default" w:ascii="宋体" w:hAnsi="宋体" w:eastAsia="宋体" w:cs="宋体"/>
          <w:b w:val="0"/>
          <w:i/>
          <w:iCs/>
          <w:sz w:val="21"/>
          <w:szCs w:val="21"/>
          <w:highlight w:val="none"/>
          <w:vertAlign w:val="subscript"/>
          <w:lang w:val="en-US" w:eastAsia="zh-CN"/>
        </w:rPr>
        <w:t>it</w:t>
      </w:r>
      <w:r>
        <w:rPr>
          <w:rFonts w:hint="eastAsia" w:ascii="宋体" w:hAnsi="宋体" w:eastAsia="宋体" w:cs="宋体"/>
          <w:b w:val="0"/>
          <w:i w:val="0"/>
          <w:iCs w:val="0"/>
          <w:sz w:val="21"/>
          <w:szCs w:val="21"/>
          <w:highlight w:val="none"/>
          <w:lang w:val="en-US" w:eastAsia="zh-CN"/>
        </w:rPr>
        <w:t xml:space="preserve"> </w:t>
      </w:r>
      <w:r>
        <w:rPr>
          <w:rFonts w:hint="default" w:ascii="宋体" w:hAnsi="宋体" w:eastAsia="宋体" w:cs="宋体"/>
          <w:b w:val="0"/>
          <w:i w:val="0"/>
          <w:iCs w:val="0"/>
          <w:sz w:val="21"/>
          <w:szCs w:val="21"/>
          <w:highlight w:val="none"/>
          <w:lang w:val="en-US" w:eastAsia="zh-CN"/>
        </w:rPr>
        <w:t>+</w:t>
      </w:r>
      <w:r>
        <w:rPr>
          <w:rFonts w:hint="eastAsia" w:ascii="宋体" w:hAnsi="宋体" w:eastAsia="宋体" w:cs="宋体"/>
          <w:b w:val="0"/>
          <w:i w:val="0"/>
          <w:iCs w:val="0"/>
          <w:sz w:val="21"/>
          <w:szCs w:val="21"/>
          <w:highlight w:val="none"/>
          <w:lang w:val="en-US" w:eastAsia="zh-CN"/>
        </w:rPr>
        <w:t xml:space="preserve"> </w:t>
      </w:r>
      <w:r>
        <w:rPr>
          <w:rFonts w:hint="default" w:ascii="宋体" w:hAnsi="宋体" w:eastAsia="宋体" w:cs="宋体"/>
          <w:b w:val="0"/>
          <w:i w:val="0"/>
          <w:iCs w:val="0"/>
          <w:sz w:val="21"/>
          <w:szCs w:val="21"/>
          <w:highlight w:val="none"/>
          <w:lang w:val="en-US" w:eastAsia="zh-CN"/>
        </w:rPr>
        <w:t>1</w:t>
      </w:r>
      <w:r>
        <w:rPr>
          <w:rFonts w:hint="eastAsia" w:ascii="宋体" w:hAnsi="宋体" w:eastAsia="宋体" w:cs="宋体"/>
          <w:b w:val="0"/>
          <w:i w:val="0"/>
          <w:iCs w:val="0"/>
          <w:sz w:val="21"/>
          <w:szCs w:val="21"/>
          <w:highlight w:val="none"/>
          <w:lang w:val="en-US" w:eastAsia="zh-CN"/>
        </w:rPr>
        <w:t>)</w:t>
      </w:r>
      <w:r>
        <w:rPr>
          <w:rFonts w:hint="default" w:ascii="宋体" w:hAnsi="宋体" w:eastAsia="宋体" w:cs="宋体"/>
          <w:b w:val="0"/>
          <w:i w:val="0"/>
          <w:iCs w:val="0"/>
          <w:sz w:val="21"/>
          <w:szCs w:val="21"/>
          <w:highlight w:val="none"/>
          <w:lang w:val="en-US" w:eastAsia="zh-CN"/>
        </w:rPr>
        <w:t>×</w:t>
      </w:r>
      <w:r>
        <w:rPr>
          <w:rFonts w:hint="default" w:ascii="宋体" w:hAnsi="宋体" w:eastAsia="宋体" w:cs="宋体"/>
          <w:b w:val="0"/>
          <w:i/>
          <w:iCs/>
          <w:sz w:val="21"/>
          <w:szCs w:val="21"/>
          <w:highlight w:val="none"/>
          <w:lang w:val="en-US" w:eastAsia="zh-CN"/>
        </w:rPr>
        <w:t>Post</w:t>
      </w:r>
      <w:r>
        <w:rPr>
          <w:rFonts w:hint="default" w:ascii="宋体" w:hAnsi="宋体" w:eastAsia="宋体" w:cs="宋体"/>
          <w:b w:val="0"/>
          <w:i/>
          <w:iCs/>
          <w:sz w:val="21"/>
          <w:szCs w:val="21"/>
          <w:highlight w:val="none"/>
          <w:vertAlign w:val="subscript"/>
          <w:lang w:val="en-US" w:eastAsia="zh-CN"/>
        </w:rPr>
        <w:t>it</w:t>
      </w:r>
      <w:r>
        <w:rPr>
          <w:rFonts w:hint="eastAsia" w:hAnsi="Cambria Math" w:eastAsia="宋体" w:cs="宋体"/>
          <w:i w:val="0"/>
          <w:sz w:val="21"/>
          <w:szCs w:val="21"/>
          <w:highlight w:val="none"/>
          <w:lang w:eastAsia="zh-CN"/>
        </w:rPr>
        <w:t>。</w:t>
      </w:r>
      <w:r>
        <w:rPr>
          <w:rFonts w:hint="eastAsia" w:ascii="宋体" w:hAnsi="宋体" w:eastAsia="宋体" w:cs="宋体"/>
          <w:i w:val="0"/>
          <w:sz w:val="21"/>
          <w:szCs w:val="21"/>
          <w:highlight w:val="none"/>
          <w:lang w:eastAsia="zh-CN"/>
        </w:rPr>
        <w:t>该变量在2015年以前取值为0；2015年及以后，取值为对数化后的政府引导基金累计规模，数值越大表明政府引导基金的设立强度越高，即耐心资本的投入力度越大。</w:t>
      </w:r>
    </w:p>
    <w:p w14:paraId="6334F8B1">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i w:val="0"/>
          <w:sz w:val="21"/>
          <w:szCs w:val="21"/>
          <w:highlight w:val="none"/>
          <w:lang w:eastAsia="zh-CN"/>
        </w:rPr>
      </w:pPr>
      <w:r>
        <w:rPr>
          <w:rFonts w:hint="eastAsia" w:ascii="宋体" w:hAnsi="宋体" w:eastAsia="宋体" w:cs="宋体"/>
          <w:i w:val="0"/>
          <w:sz w:val="21"/>
          <w:szCs w:val="21"/>
          <w:highlight w:val="none"/>
          <w:lang w:val="en-US" w:eastAsia="zh-CN"/>
        </w:rPr>
        <w:t>3</w:t>
      </w:r>
      <w:r>
        <w:rPr>
          <w:rFonts w:hint="eastAsia" w:ascii="宋体" w:hAnsi="宋体" w:eastAsia="宋体" w:cs="宋体"/>
          <w:i w:val="0"/>
          <w:sz w:val="21"/>
          <w:szCs w:val="21"/>
          <w:highlight w:val="none"/>
          <w:lang w:eastAsia="zh-CN"/>
        </w:rPr>
        <w:t>.中介与调节变量</w:t>
      </w:r>
    </w:p>
    <w:p w14:paraId="03A5C081">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i w:val="0"/>
          <w:sz w:val="21"/>
          <w:szCs w:val="21"/>
          <w:highlight w:val="none"/>
          <w:lang w:eastAsia="zh-CN"/>
        </w:rPr>
      </w:pPr>
      <w:r>
        <w:rPr>
          <w:rFonts w:hint="eastAsia" w:ascii="宋体" w:hAnsi="宋体" w:eastAsia="宋体" w:cs="宋体"/>
          <w:i w:val="0"/>
          <w:sz w:val="21"/>
          <w:szCs w:val="21"/>
          <w:highlight w:val="none"/>
          <w:lang w:eastAsia="zh-CN"/>
        </w:rPr>
        <w:t>为检验耐心资本影响区域创新生态的传导路径与边界条件，本文选取以下中介变量与调节变量：</w:t>
      </w:r>
    </w:p>
    <w:p w14:paraId="7374060F">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i w:val="0"/>
          <w:sz w:val="21"/>
          <w:szCs w:val="21"/>
          <w:highlight w:val="none"/>
          <w:lang w:eastAsia="zh-CN"/>
        </w:rPr>
      </w:pPr>
      <w:r>
        <w:rPr>
          <w:rFonts w:hint="eastAsia" w:ascii="宋体" w:hAnsi="宋体" w:eastAsia="宋体" w:cs="宋体"/>
          <w:i w:val="0"/>
          <w:sz w:val="21"/>
          <w:szCs w:val="21"/>
          <w:highlight w:val="none"/>
          <w:lang w:eastAsia="zh-CN"/>
        </w:rPr>
        <w:t>（1）研发投入强度（</w:t>
      </w:r>
      <w:r>
        <w:rPr>
          <w:rFonts w:hint="eastAsia" w:ascii="宋体" w:hAnsi="宋体" w:eastAsia="宋体" w:cs="宋体"/>
          <w:i/>
          <w:iCs/>
          <w:sz w:val="21"/>
          <w:szCs w:val="21"/>
          <w:highlight w:val="none"/>
          <w:lang w:eastAsia="zh-CN"/>
        </w:rPr>
        <w:t>Rd</w:t>
      </w:r>
      <w:r>
        <w:rPr>
          <w:rFonts w:hint="eastAsia" w:ascii="宋体" w:hAnsi="宋体" w:eastAsia="宋体" w:cs="宋体"/>
          <w:i w:val="0"/>
          <w:sz w:val="21"/>
          <w:szCs w:val="21"/>
          <w:highlight w:val="none"/>
          <w:lang w:eastAsia="zh-CN"/>
        </w:rPr>
        <w:t>）。研发投入是区域创新生态发展的核心动力，也是连接耐心资本与区域创新生态的关键桥梁。本文以各城市</w:t>
      </w:r>
      <w:r>
        <w:rPr>
          <w:rFonts w:hint="eastAsia" w:ascii="宋体" w:hAnsi="宋体" w:eastAsia="宋体" w:cs="宋体"/>
          <w:i w:val="0"/>
          <w:sz w:val="21"/>
          <w:szCs w:val="21"/>
          <w:highlight w:val="none"/>
          <w:lang w:val="en-US" w:eastAsia="zh-CN"/>
        </w:rPr>
        <w:t>企业</w:t>
      </w:r>
      <w:r>
        <w:rPr>
          <w:rFonts w:hint="eastAsia" w:ascii="宋体" w:hAnsi="宋体" w:eastAsia="宋体" w:cs="宋体"/>
          <w:i w:val="0"/>
          <w:sz w:val="21"/>
          <w:szCs w:val="21"/>
          <w:highlight w:val="none"/>
          <w:lang w:eastAsia="zh-CN"/>
        </w:rPr>
        <w:t>R&amp;D经费占GDP比重衡量研发投入强度。</w:t>
      </w:r>
    </w:p>
    <w:p w14:paraId="475216D3">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i w:val="0"/>
          <w:sz w:val="21"/>
          <w:szCs w:val="21"/>
          <w:highlight w:val="none"/>
          <w:lang w:eastAsia="zh-CN"/>
        </w:rPr>
      </w:pPr>
      <w:r>
        <w:rPr>
          <w:rFonts w:hint="eastAsia" w:ascii="宋体" w:hAnsi="宋体" w:eastAsia="宋体" w:cs="宋体"/>
          <w:i w:val="0"/>
          <w:sz w:val="21"/>
          <w:szCs w:val="21"/>
          <w:highlight w:val="none"/>
          <w:lang w:eastAsia="zh-CN"/>
        </w:rPr>
        <w:t>（2）数字普惠金融（</w:t>
      </w:r>
      <w:r>
        <w:rPr>
          <w:rFonts w:hint="eastAsia" w:ascii="宋体" w:hAnsi="宋体" w:eastAsia="宋体" w:cs="宋体"/>
          <w:i/>
          <w:iCs/>
          <w:sz w:val="21"/>
          <w:szCs w:val="21"/>
          <w:highlight w:val="none"/>
          <w:lang w:eastAsia="zh-CN"/>
        </w:rPr>
        <w:t>Digital</w:t>
      </w:r>
      <w:r>
        <w:rPr>
          <w:rFonts w:hint="eastAsia" w:ascii="宋体" w:hAnsi="宋体" w:eastAsia="宋体" w:cs="宋体"/>
          <w:i w:val="0"/>
          <w:sz w:val="21"/>
          <w:szCs w:val="21"/>
          <w:highlight w:val="none"/>
          <w:lang w:eastAsia="zh-CN"/>
        </w:rPr>
        <w:t>）。数字普惠金融依托数字技术扩大了金融服务覆盖面，是创新生态的重要金融支撑。本文直接采用北京大学数字金融研究中心编制的地级市层面数字普惠金融指数衡量</w:t>
      </w:r>
      <w:r>
        <w:rPr>
          <w:rFonts w:hint="eastAsia" w:ascii="宋体" w:hAnsi="宋体" w:eastAsia="宋体" w:cs="宋体"/>
          <w:i w:val="0"/>
          <w:sz w:val="21"/>
          <w:szCs w:val="21"/>
          <w:highlight w:val="none"/>
          <w:vertAlign w:val="superscript"/>
          <w:lang w:eastAsia="zh-CN"/>
        </w:rPr>
        <w:fldChar w:fldCharType="begin"/>
      </w:r>
      <w:r>
        <w:rPr>
          <w:vertAlign w:val="superscript"/>
        </w:rPr>
        <w:instrText xml:space="preserve"> REF _Ref5693 \r \h  \* MERGEFORMAT</w:instrText>
      </w:r>
      <w:r>
        <w:rPr>
          <w:rFonts w:hint="eastAsia" w:ascii="宋体" w:hAnsi="宋体" w:eastAsia="宋体" w:cs="宋体"/>
          <w:i w:val="0"/>
          <w:sz w:val="21"/>
          <w:szCs w:val="21"/>
          <w:highlight w:val="none"/>
          <w:vertAlign w:val="superscript"/>
          <w:lang w:eastAsia="zh-CN"/>
        </w:rPr>
        <w:fldChar w:fldCharType="separate"/>
      </w:r>
      <w:r>
        <w:rPr>
          <w:rFonts w:hint="eastAsia" w:ascii="宋体" w:hAnsi="宋体" w:eastAsia="宋体" w:cs="宋体"/>
          <w:i w:val="0"/>
          <w:sz w:val="21"/>
          <w:szCs w:val="21"/>
          <w:highlight w:val="none"/>
          <w:vertAlign w:val="superscript"/>
          <w:lang w:eastAsia="zh-CN"/>
        </w:rPr>
        <w:t>[26]</w:t>
      </w:r>
      <w:r>
        <w:rPr>
          <w:rFonts w:hint="eastAsia" w:ascii="宋体" w:hAnsi="宋体" w:eastAsia="宋体" w:cs="宋体"/>
          <w:i w:val="0"/>
          <w:sz w:val="21"/>
          <w:szCs w:val="21"/>
          <w:highlight w:val="none"/>
          <w:vertAlign w:val="superscript"/>
          <w:lang w:eastAsia="zh-CN"/>
        </w:rPr>
        <w:fldChar w:fldCharType="end"/>
      </w:r>
      <w:r>
        <w:rPr>
          <w:rFonts w:hint="eastAsia" w:ascii="宋体" w:hAnsi="宋体" w:eastAsia="宋体" w:cs="宋体"/>
          <w:i w:val="0"/>
          <w:sz w:val="21"/>
          <w:szCs w:val="21"/>
          <w:highlight w:val="none"/>
          <w:lang w:eastAsia="zh-CN"/>
        </w:rPr>
        <w:t>，该指数综合覆盖了数字金融服务的广度、深度和数字化程度，是目前国内学界广泛采用的测度指标。</w:t>
      </w:r>
    </w:p>
    <w:p w14:paraId="04869EFD">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i w:val="0"/>
          <w:sz w:val="21"/>
          <w:szCs w:val="21"/>
          <w:highlight w:val="none"/>
          <w:lang w:eastAsia="zh-CN"/>
        </w:rPr>
      </w:pPr>
      <w:r>
        <w:rPr>
          <w:rFonts w:hint="eastAsia" w:ascii="宋体" w:hAnsi="宋体" w:eastAsia="宋体" w:cs="宋体"/>
          <w:i w:val="0"/>
          <w:sz w:val="21"/>
          <w:szCs w:val="21"/>
          <w:highlight w:val="none"/>
          <w:lang w:eastAsia="zh-CN"/>
        </w:rPr>
        <w:t>（3）产学研合作（</w:t>
      </w:r>
      <w:r>
        <w:rPr>
          <w:rFonts w:hint="eastAsia" w:ascii="宋体" w:hAnsi="宋体" w:eastAsia="宋体" w:cs="宋体"/>
          <w:i/>
          <w:iCs/>
          <w:sz w:val="21"/>
          <w:szCs w:val="21"/>
          <w:highlight w:val="none"/>
          <w:lang w:eastAsia="zh-CN"/>
        </w:rPr>
        <w:t>Ln_Coop</w:t>
      </w:r>
      <w:r>
        <w:rPr>
          <w:rFonts w:hint="eastAsia" w:ascii="宋体" w:hAnsi="宋体" w:eastAsia="宋体" w:cs="宋体"/>
          <w:i w:val="0"/>
          <w:sz w:val="21"/>
          <w:szCs w:val="21"/>
          <w:highlight w:val="none"/>
          <w:lang w:eastAsia="zh-CN"/>
        </w:rPr>
        <w:t>）。产学研合作是区域创新生态中知识流动与技术转移的核心载体。本文以各城市产学研合作专利申请量的对数（ln+1）衡量产学研合作水平。</w:t>
      </w:r>
    </w:p>
    <w:p w14:paraId="0620E87A">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i w:val="0"/>
          <w:sz w:val="21"/>
          <w:szCs w:val="21"/>
          <w:highlight w:val="none"/>
          <w:lang w:eastAsia="zh-CN"/>
        </w:rPr>
      </w:pPr>
      <w:r>
        <w:rPr>
          <w:rFonts w:hint="eastAsia" w:ascii="宋体" w:hAnsi="宋体" w:eastAsia="宋体" w:cs="宋体"/>
          <w:i w:val="0"/>
          <w:sz w:val="21"/>
          <w:szCs w:val="21"/>
          <w:highlight w:val="none"/>
          <w:lang w:eastAsia="zh-CN"/>
        </w:rPr>
        <w:t>（4）技术市场发展（</w:t>
      </w:r>
      <w:r>
        <w:rPr>
          <w:rFonts w:hint="eastAsia" w:ascii="宋体" w:hAnsi="宋体" w:eastAsia="宋体" w:cs="宋体"/>
          <w:i/>
          <w:iCs/>
          <w:sz w:val="21"/>
          <w:szCs w:val="21"/>
          <w:highlight w:val="none"/>
          <w:lang w:eastAsia="zh-CN"/>
        </w:rPr>
        <w:t>Ln_tech</w:t>
      </w:r>
      <w:r>
        <w:rPr>
          <w:rFonts w:hint="eastAsia" w:ascii="宋体" w:hAnsi="宋体" w:eastAsia="宋体" w:cs="宋体"/>
          <w:i w:val="0"/>
          <w:sz w:val="21"/>
          <w:szCs w:val="21"/>
          <w:highlight w:val="none"/>
          <w:lang w:eastAsia="zh-CN"/>
        </w:rPr>
        <w:t>）。技术市场是创新成果转化与应用的关键平台。本文以各城市技术合同成交额的对数（ln+1）衡量技术市场发展水平。</w:t>
      </w:r>
    </w:p>
    <w:p w14:paraId="791B00B2">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4</w:t>
      </w:r>
      <w:r>
        <w:rPr>
          <w:rFonts w:hint="default" w:ascii="宋体" w:hAnsi="宋体" w:eastAsia="宋体" w:cs="宋体"/>
          <w:b w:val="0"/>
          <w:sz w:val="21"/>
          <w:szCs w:val="21"/>
          <w:highlight w:val="none"/>
          <w:lang w:val="en-US" w:eastAsia="zh-CN"/>
        </w:rPr>
        <w:t>.</w:t>
      </w:r>
      <w:r>
        <w:rPr>
          <w:rFonts w:hint="eastAsia" w:ascii="宋体" w:hAnsi="宋体" w:eastAsia="宋体" w:cs="宋体"/>
          <w:b w:val="0"/>
          <w:sz w:val="21"/>
          <w:szCs w:val="21"/>
          <w:highlight w:val="none"/>
          <w:lang w:val="en-US" w:eastAsia="zh-CN"/>
        </w:rPr>
        <w:t>控制变量</w:t>
      </w:r>
    </w:p>
    <w:p w14:paraId="6D5FF792">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为尽可能缓解遗漏变量偏误，参考已有区域创新研究文献，选取以下城市层面控制变量：对外开放水平（</w:t>
      </w:r>
      <w:r>
        <w:rPr>
          <w:rFonts w:hint="eastAsia" w:ascii="宋体" w:hAnsi="宋体" w:eastAsia="宋体" w:cs="宋体"/>
          <w:b w:val="0"/>
          <w:i/>
          <w:iCs/>
          <w:sz w:val="21"/>
          <w:szCs w:val="21"/>
          <w:highlight w:val="none"/>
          <w:lang w:val="en-US" w:eastAsia="zh-CN"/>
        </w:rPr>
        <w:t>Open</w:t>
      </w:r>
      <w:r>
        <w:rPr>
          <w:rFonts w:hint="eastAsia" w:ascii="宋体" w:hAnsi="宋体" w:eastAsia="宋体" w:cs="宋体"/>
          <w:b w:val="0"/>
          <w:sz w:val="21"/>
          <w:szCs w:val="21"/>
          <w:highlight w:val="none"/>
          <w:lang w:val="en-US" w:eastAsia="zh-CN"/>
        </w:rPr>
        <w:t>），以进出口额占地区生产总值比重衡量；人口自然增长率（</w:t>
      </w:r>
      <w:r>
        <w:rPr>
          <w:rFonts w:hint="eastAsia" w:ascii="宋体" w:hAnsi="宋体" w:eastAsia="宋体" w:cs="宋体"/>
          <w:b w:val="0"/>
          <w:i/>
          <w:iCs/>
          <w:sz w:val="21"/>
          <w:szCs w:val="21"/>
          <w:highlight w:val="none"/>
          <w:lang w:val="en-US" w:eastAsia="zh-CN"/>
        </w:rPr>
        <w:t>Growth</w:t>
      </w:r>
      <w:r>
        <w:rPr>
          <w:rFonts w:hint="eastAsia" w:ascii="宋体" w:hAnsi="宋体" w:eastAsia="宋体" w:cs="宋体"/>
          <w:b w:val="0"/>
          <w:sz w:val="21"/>
          <w:szCs w:val="21"/>
          <w:highlight w:val="none"/>
          <w:lang w:val="en-US" w:eastAsia="zh-CN"/>
        </w:rPr>
        <w:t>），以年内出生人口与年内死亡人口差值占年平均人口的比重衡量；城镇登记失业率（</w:t>
      </w:r>
      <w:r>
        <w:rPr>
          <w:rFonts w:hint="eastAsia" w:ascii="宋体" w:hAnsi="宋体" w:eastAsia="宋体" w:cs="宋体"/>
          <w:b w:val="0"/>
          <w:i/>
          <w:iCs/>
          <w:sz w:val="21"/>
          <w:szCs w:val="21"/>
          <w:highlight w:val="none"/>
          <w:lang w:val="en-US" w:eastAsia="zh-CN"/>
        </w:rPr>
        <w:t>Unemp</w:t>
      </w:r>
      <w:r>
        <w:rPr>
          <w:rFonts w:hint="eastAsia" w:ascii="宋体" w:hAnsi="宋体" w:eastAsia="宋体" w:cs="宋体"/>
          <w:b w:val="0"/>
          <w:sz w:val="21"/>
          <w:szCs w:val="21"/>
          <w:highlight w:val="none"/>
          <w:lang w:val="en-US" w:eastAsia="zh-CN"/>
        </w:rPr>
        <w:t>）：以城镇登记失业率表示；城镇化率（</w:t>
      </w:r>
      <w:r>
        <w:rPr>
          <w:rFonts w:hint="eastAsia" w:ascii="宋体" w:hAnsi="宋体" w:eastAsia="宋体" w:cs="宋体"/>
          <w:b w:val="0"/>
          <w:i/>
          <w:iCs/>
          <w:sz w:val="21"/>
          <w:szCs w:val="21"/>
          <w:highlight w:val="none"/>
          <w:lang w:val="en-US" w:eastAsia="zh-CN"/>
        </w:rPr>
        <w:t>Urban</w:t>
      </w:r>
      <w:r>
        <w:rPr>
          <w:rFonts w:hint="eastAsia" w:ascii="宋体" w:hAnsi="宋体" w:eastAsia="宋体" w:cs="宋体"/>
          <w:b w:val="0"/>
          <w:sz w:val="21"/>
          <w:szCs w:val="21"/>
          <w:highlight w:val="none"/>
          <w:lang w:val="en-US" w:eastAsia="zh-CN"/>
        </w:rPr>
        <w:t>）：以常住城镇人口占常住人口比重衡量；产业结构（</w:t>
      </w:r>
      <w:r>
        <w:rPr>
          <w:rFonts w:hint="eastAsia" w:ascii="宋体" w:hAnsi="宋体" w:eastAsia="宋体" w:cs="宋体"/>
          <w:b w:val="0"/>
          <w:i/>
          <w:iCs/>
          <w:sz w:val="21"/>
          <w:szCs w:val="21"/>
          <w:highlight w:val="none"/>
          <w:lang w:val="en-US" w:eastAsia="zh-CN"/>
        </w:rPr>
        <w:t>Tert_share</w:t>
      </w:r>
      <w:r>
        <w:rPr>
          <w:rFonts w:hint="eastAsia" w:ascii="宋体" w:hAnsi="宋体" w:eastAsia="宋体" w:cs="宋体"/>
          <w:b w:val="0"/>
          <w:sz w:val="21"/>
          <w:szCs w:val="21"/>
          <w:highlight w:val="none"/>
          <w:lang w:val="en-US" w:eastAsia="zh-CN"/>
        </w:rPr>
        <w:t>）：以第三产业增加值占GDP比重衡量。</w:t>
      </w:r>
    </w:p>
    <w:p w14:paraId="4B17FD60">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（三）模型设定</w:t>
      </w:r>
    </w:p>
    <w:p w14:paraId="0AAE7D1D">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1.基准回归模型</w:t>
      </w:r>
    </w:p>
    <w:p w14:paraId="0213F98C">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构建连续强度DID模型。为了实证分析政府引导基金对区域创新生态的影响，本文以2015年颁布的《政府投资基金暂行管理办法》作为政策冲击时点,利用各城市政府引导基金设立强度的差异，构建连续强度双重差分模型。与传统二元DID不同，连续强度DID以政府引导基金的累计规模作为处理强度，能够更精细地捕捉基金规模差异对区域创新生态的影响效应</w:t>
      </w:r>
      <w:r>
        <w:rPr>
          <w:rFonts w:hint="eastAsia" w:ascii="宋体" w:hAnsi="宋体" w:eastAsia="宋体" w:cs="宋体"/>
          <w:b w:val="0"/>
          <w:sz w:val="21"/>
          <w:szCs w:val="21"/>
          <w:highlight w:val="none"/>
          <w:vertAlign w:val="superscript"/>
          <w:lang w:val="en-US" w:eastAsia="zh-CN"/>
        </w:rPr>
        <w:fldChar w:fldCharType="begin"/>
      </w:r>
      <w:r>
        <w:instrText xml:space="preserve"> REF _Ref6241 \r \h  \* MERGEFORMAT</w:instrText>
      </w:r>
      <w:r>
        <w:rPr>
          <w:rFonts w:hint="eastAsia" w:ascii="宋体" w:hAnsi="宋体" w:eastAsia="宋体" w:cs="宋体"/>
          <w:b w:val="0"/>
          <w:sz w:val="21"/>
          <w:szCs w:val="21"/>
          <w:highlight w:val="none"/>
          <w:vertAlign w:val="superscript"/>
          <w:lang w:val="en-US" w:eastAsia="zh-CN"/>
        </w:rPr>
        <w:fldChar w:fldCharType="separate"/>
      </w:r>
      <w:r>
        <w:rPr>
          <w:rFonts w:hint="eastAsia" w:ascii="宋体" w:hAnsi="宋体" w:eastAsia="宋体" w:cs="宋体"/>
          <w:b w:val="0"/>
          <w:sz w:val="21"/>
          <w:szCs w:val="21"/>
          <w:highlight w:val="none"/>
          <w:vertAlign w:val="superscript"/>
          <w:lang w:val="en-US" w:eastAsia="zh-CN"/>
        </w:rPr>
        <w:t>[33]</w:t>
      </w:r>
      <w:r>
        <w:rPr>
          <w:rFonts w:hint="eastAsia" w:ascii="宋体" w:hAnsi="宋体" w:eastAsia="宋体" w:cs="宋体"/>
          <w:b w:val="0"/>
          <w:sz w:val="21"/>
          <w:szCs w:val="21"/>
          <w:highlight w:val="none"/>
          <w:vertAlign w:val="superscript"/>
          <w:lang w:val="en-US" w:eastAsia="zh-CN"/>
        </w:rPr>
        <w:fldChar w:fldCharType="end"/>
      </w:r>
      <w:r>
        <w:rPr>
          <w:rFonts w:hint="eastAsia" w:ascii="宋体" w:hAnsi="宋体" w:eastAsia="宋体" w:cs="宋体"/>
          <w:b w:val="0"/>
          <w:sz w:val="21"/>
          <w:szCs w:val="21"/>
          <w:highlight w:val="none"/>
          <w:lang w:val="en-US" w:eastAsia="zh-CN"/>
        </w:rPr>
        <w:t>。构建如下基准回归模型：</w:t>
      </w:r>
    </w:p>
    <w:p w14:paraId="49A1DC41">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m:oMath>
        <m:r>
          <m:rPr>
            <m:nor/>
          </m:rPr>
          <w:rPr>
            <w:rFonts w:hint="default" w:ascii="Times New Roman" w:hAnsi="Times New Roman" w:eastAsia="宋体" w:cs="Times New Roman"/>
            <w:i/>
            <w:sz w:val="21"/>
            <w:highlight w:val="none"/>
          </w:rPr>
          <m:t>In</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n</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α</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0</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α</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1</m:t>
            </m:r>
            <m:ctrlPr>
              <w:rPr>
                <w:rFonts w:hint="default" w:ascii="Cambria Math" w:hAnsi="Cambria Math" w:eastAsia="宋体" w:cs="Times New Roman"/>
                <w:sz w:val="21"/>
                <w:highlight w:val="none"/>
              </w:rPr>
            </m:ctrlPr>
          </m:sub>
        </m:sSub>
        <m:r>
          <m:rPr>
            <m:nor/>
          </m:rPr>
          <w:rPr>
            <w:rFonts w:hint="default" w:ascii="Times New Roman" w:hAnsi="Times New Roman" w:eastAsia="宋体" w:cs="Times New Roman"/>
            <w:i/>
            <w:sz w:val="21"/>
            <w:highlight w:val="none"/>
          </w:rPr>
          <m:t>Did</m:t>
        </m:r>
        <m:r>
          <m:rPr>
            <m:nor/>
            <m:sty m:val="p"/>
          </m:rPr>
          <w:rPr>
            <w:rFonts w:hint="default" w:ascii="Times New Roman" w:hAnsi="Times New Roman" w:eastAsia="宋体" w:cs="Times New Roman"/>
            <w:b w:val="0"/>
            <w:i w:val="0"/>
            <w:sz w:val="21"/>
            <w:highlight w:val="none"/>
          </w:rPr>
          <m:t>_</m:t>
        </m:r>
        <m:r>
          <m:rPr>
            <m:nor/>
          </m:rPr>
          <w:rPr>
            <w:rFonts w:hint="default" w:ascii="Times New Roman" w:hAnsi="Times New Roman" w:eastAsia="宋体" w:cs="Times New Roman"/>
            <w:i/>
            <w:sz w:val="21"/>
            <w:highlight w:val="none"/>
          </w:rPr>
          <m:t>con</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t</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α</m:t>
            </m:r>
            <m:ctrlPr>
              <w:rPr>
                <w:rFonts w:hint="default" w:ascii="Cambria Math" w:hAnsi="Cambria Math" w:eastAsia="宋体" w:cs="Times New Roman"/>
                <w:sz w:val="21"/>
                <w:highlight w:val="none"/>
              </w:rPr>
            </m:ctrlPr>
          </m:e>
          <m:sub>
            <m:r>
              <m:rPr>
                <m:sty m:val="p"/>
              </m:rPr>
              <w:rPr>
                <w:rFonts w:hint="default" w:ascii="Times New Roman" w:hAnsi="Times New Roman" w:eastAsia="宋体" w:cs="Times New Roman"/>
                <w:sz w:val="21"/>
                <w:highlight w:val="none"/>
                <w:lang w:val="en-US" w:eastAsia="zh-CN"/>
              </w:rPr>
              <m:t>2</m:t>
            </m:r>
            <m:ctrlPr>
              <w:rPr>
                <w:rFonts w:hint="default" w:ascii="Cambria Math" w:hAnsi="Cambria Math" w:eastAsia="宋体" w:cs="Times New Roman"/>
                <w:sz w:val="21"/>
                <w:highlight w:val="none"/>
              </w:rPr>
            </m:ctrlPr>
          </m:sub>
        </m:sSub>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X</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μ</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λ</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ε</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oMath>
      <w:r>
        <w:rPr>
          <w:rFonts w:hint="eastAsia" w:hAnsi="Cambria Math" w:eastAsia="宋体" w:cs="Times New Roman"/>
          <w:b w:val="0"/>
          <w:i w:val="0"/>
          <w:iCs/>
          <w:sz w:val="21"/>
          <w:szCs w:val="21"/>
          <w:highlight w:val="none"/>
          <w:lang w:val="en-US" w:eastAsia="zh-CN"/>
        </w:rPr>
        <w:t xml:space="preserve">                                                                                                     </w:t>
      </w:r>
      <w:r>
        <w:rPr>
          <w:rFonts w:hint="eastAsia" w:ascii="宋体" w:hAnsi="宋体" w:eastAsia="宋体" w:cs="宋体"/>
          <w:b w:val="0"/>
          <w:sz w:val="21"/>
          <w:szCs w:val="21"/>
          <w:highlight w:val="none"/>
          <w:lang w:val="en-US" w:eastAsia="zh-CN"/>
        </w:rPr>
        <w:t>（1）</w:t>
      </w:r>
    </w:p>
    <w:p w14:paraId="59ED0EF7">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其中，</w:t>
      </w:r>
      <w:r>
        <w:rPr>
          <w:rFonts w:hint="eastAsia" w:ascii="宋体" w:hAnsi="宋体" w:eastAsia="宋体" w:cs="宋体"/>
          <w:b w:val="0"/>
          <w:i/>
          <w:iCs/>
          <w:sz w:val="21"/>
          <w:szCs w:val="21"/>
          <w:highlight w:val="none"/>
          <w:lang w:val="en-US" w:eastAsia="zh-CN"/>
        </w:rPr>
        <w:t>Inn</w:t>
      </w:r>
      <w:r>
        <w:rPr>
          <w:rFonts w:hint="eastAsia" w:ascii="宋体" w:hAnsi="宋体" w:eastAsia="宋体" w:cs="宋体"/>
          <w:b w:val="0"/>
          <w:i/>
          <w:iCs/>
          <w:sz w:val="21"/>
          <w:szCs w:val="21"/>
          <w:highlight w:val="none"/>
          <w:vertAlign w:val="subscript"/>
          <w:lang w:val="en-US" w:eastAsia="zh-CN"/>
        </w:rPr>
        <w:t>it</w:t>
      </w:r>
      <w:r>
        <w:rPr>
          <w:rFonts w:hint="eastAsia" w:ascii="宋体" w:hAnsi="宋体" w:eastAsia="宋体" w:cs="宋体"/>
          <w:b w:val="0"/>
          <w:sz w:val="21"/>
          <w:szCs w:val="21"/>
          <w:highlight w:val="none"/>
          <w:lang w:val="en-US" w:eastAsia="zh-CN"/>
        </w:rPr>
        <w:t>为被解释变量，表示城市</w:t>
      </w:r>
      <w:r>
        <w:rPr>
          <w:rFonts w:hint="eastAsia" w:ascii="宋体" w:hAnsi="宋体" w:eastAsia="宋体" w:cs="宋体"/>
          <w:b w:val="0"/>
          <w:i/>
          <w:iCs/>
          <w:sz w:val="21"/>
          <w:szCs w:val="21"/>
          <w:highlight w:val="none"/>
          <w:lang w:val="en-US" w:eastAsia="zh-CN"/>
        </w:rPr>
        <w:t>i</w:t>
      </w:r>
      <w:r>
        <w:rPr>
          <w:rFonts w:hint="eastAsia" w:ascii="宋体" w:hAnsi="宋体" w:eastAsia="宋体" w:cs="宋体"/>
          <w:b w:val="0"/>
          <w:sz w:val="21"/>
          <w:szCs w:val="21"/>
          <w:highlight w:val="none"/>
          <w:lang w:val="en-US" w:eastAsia="zh-CN"/>
        </w:rPr>
        <w:t>在第</w:t>
      </w:r>
      <w:r>
        <w:rPr>
          <w:rFonts w:hint="eastAsia" w:ascii="宋体" w:hAnsi="宋体" w:eastAsia="宋体" w:cs="宋体"/>
          <w:b w:val="0"/>
          <w:i/>
          <w:iCs/>
          <w:sz w:val="21"/>
          <w:szCs w:val="21"/>
          <w:highlight w:val="none"/>
          <w:lang w:val="en-US" w:eastAsia="zh-CN"/>
        </w:rPr>
        <w:t>t</w:t>
      </w:r>
      <w:r>
        <w:rPr>
          <w:rFonts w:hint="eastAsia" w:ascii="宋体" w:hAnsi="宋体" w:eastAsia="宋体" w:cs="宋体"/>
          <w:b w:val="0"/>
          <w:sz w:val="21"/>
          <w:szCs w:val="21"/>
          <w:highlight w:val="none"/>
          <w:lang w:val="en-US" w:eastAsia="zh-CN"/>
        </w:rPr>
        <w:t>年的区域创新生态指数；</w:t>
      </w:r>
      <w:r>
        <w:rPr>
          <w:rFonts w:hint="eastAsia" w:ascii="宋体" w:hAnsi="宋体" w:eastAsia="宋体" w:cs="宋体"/>
          <w:b w:val="0"/>
          <w:i/>
          <w:iCs/>
          <w:sz w:val="21"/>
          <w:szCs w:val="21"/>
          <w:highlight w:val="none"/>
          <w:lang w:val="en-US" w:eastAsia="zh-CN"/>
        </w:rPr>
        <w:t>Did_cont</w:t>
      </w:r>
      <w:r>
        <w:rPr>
          <w:rFonts w:hint="eastAsia" w:ascii="宋体" w:hAnsi="宋体" w:eastAsia="宋体" w:cs="宋体"/>
          <w:b w:val="0"/>
          <w:i/>
          <w:iCs/>
          <w:sz w:val="21"/>
          <w:szCs w:val="21"/>
          <w:highlight w:val="none"/>
          <w:vertAlign w:val="subscript"/>
          <w:lang w:val="en-US" w:eastAsia="zh-CN"/>
        </w:rPr>
        <w:t>it</w:t>
      </w:r>
      <w:r>
        <w:rPr>
          <w:rFonts w:hint="eastAsia" w:ascii="宋体" w:hAnsi="宋体" w:eastAsia="宋体" w:cs="宋体"/>
          <w:b w:val="0"/>
          <w:sz w:val="21"/>
          <w:szCs w:val="21"/>
          <w:highlight w:val="none"/>
          <w:lang w:val="en-US" w:eastAsia="zh-CN"/>
        </w:rPr>
        <w:t>为核心解释变量，表示连续强度</w:t>
      </w:r>
      <w:r>
        <w:rPr>
          <w:rFonts w:hint="default" w:ascii="宋体" w:hAnsi="宋体" w:eastAsia="宋体" w:cs="宋体"/>
          <w:b w:val="0"/>
          <w:i w:val="0"/>
          <w:iCs w:val="0"/>
          <w:sz w:val="21"/>
          <w:szCs w:val="21"/>
          <w:highlight w:val="none"/>
          <w:lang w:val="en-US" w:eastAsia="zh-CN"/>
        </w:rPr>
        <w:t>DID</w:t>
      </w:r>
      <w:r>
        <w:rPr>
          <w:rFonts w:hint="eastAsia" w:ascii="宋体" w:hAnsi="宋体" w:eastAsia="宋体" w:cs="宋体"/>
          <w:b w:val="0"/>
          <w:sz w:val="21"/>
          <w:szCs w:val="21"/>
          <w:highlight w:val="none"/>
          <w:lang w:val="en-US" w:eastAsia="zh-CN"/>
        </w:rPr>
        <w:t>变量，由政府引导基金累计规模对数与政策时间虚拟变量的交乘项构成；</w:t>
      </w:r>
      <w:r>
        <w:rPr>
          <w:rFonts w:hint="eastAsia" w:ascii="宋体" w:hAnsi="宋体" w:eastAsia="宋体" w:cs="宋体"/>
          <w:b w:val="0"/>
          <w:i/>
          <w:iCs/>
          <w:sz w:val="21"/>
          <w:szCs w:val="21"/>
          <w:highlight w:val="none"/>
          <w:lang w:val="en-US" w:eastAsia="zh-CN"/>
        </w:rPr>
        <w:t>X</w:t>
      </w:r>
      <w:r>
        <w:rPr>
          <w:rFonts w:hint="eastAsia" w:ascii="宋体" w:hAnsi="宋体" w:eastAsia="宋体" w:cs="宋体"/>
          <w:b w:val="0"/>
          <w:i/>
          <w:iCs/>
          <w:sz w:val="21"/>
          <w:szCs w:val="21"/>
          <w:highlight w:val="none"/>
          <w:vertAlign w:val="subscript"/>
          <w:lang w:val="en-US" w:eastAsia="zh-CN"/>
        </w:rPr>
        <w:t>it</w:t>
      </w:r>
      <w:r>
        <w:rPr>
          <w:rFonts w:hint="eastAsia" w:ascii="宋体" w:hAnsi="宋体" w:eastAsia="宋体" w:cs="宋体"/>
          <w:b w:val="0"/>
          <w:sz w:val="21"/>
          <w:szCs w:val="21"/>
          <w:highlight w:val="none"/>
          <w:lang w:val="en-US" w:eastAsia="zh-CN"/>
        </w:rPr>
        <w:t>为模型中纳入的一系列控制变量；</w:t>
      </w:r>
      <w:r>
        <w:rPr>
          <w:rFonts w:hint="eastAsia" w:ascii="宋体" w:hAnsi="宋体" w:eastAsia="宋体" w:cs="宋体"/>
          <w:b w:val="0"/>
          <w:i/>
          <w:iCs/>
          <w:sz w:val="21"/>
          <w:szCs w:val="21"/>
          <w:highlight w:val="none"/>
          <w:lang w:val="en-US" w:eastAsia="zh-CN"/>
        </w:rPr>
        <w:t>μ</w:t>
      </w:r>
      <w:r>
        <w:rPr>
          <w:rFonts w:hint="eastAsia" w:ascii="宋体" w:hAnsi="宋体" w:eastAsia="宋体" w:cs="宋体"/>
          <w:b w:val="0"/>
          <w:i/>
          <w:iCs/>
          <w:sz w:val="21"/>
          <w:szCs w:val="21"/>
          <w:highlight w:val="none"/>
          <w:vertAlign w:val="subscript"/>
          <w:lang w:val="en-US" w:eastAsia="zh-CN"/>
        </w:rPr>
        <w:t>i</w:t>
      </w:r>
      <w:r>
        <w:rPr>
          <w:rFonts w:hint="eastAsia" w:ascii="宋体" w:hAnsi="宋体" w:eastAsia="宋体" w:cs="宋体"/>
          <w:b w:val="0"/>
          <w:sz w:val="21"/>
          <w:szCs w:val="21"/>
          <w:highlight w:val="none"/>
          <w:lang w:val="en-US" w:eastAsia="zh-CN"/>
        </w:rPr>
        <w:t>为城市固定效应；</w:t>
      </w:r>
      <w:r>
        <w:rPr>
          <w:rFonts w:hint="eastAsia" w:ascii="宋体" w:hAnsi="宋体" w:eastAsia="宋体" w:cs="宋体"/>
          <w:b w:val="0"/>
          <w:i/>
          <w:iCs/>
          <w:sz w:val="21"/>
          <w:szCs w:val="21"/>
          <w:highlight w:val="none"/>
          <w:lang w:val="en-US" w:eastAsia="zh-CN"/>
        </w:rPr>
        <w:t>λ</w:t>
      </w:r>
      <w:r>
        <w:rPr>
          <w:rFonts w:hint="eastAsia" w:ascii="宋体" w:hAnsi="宋体" w:eastAsia="宋体" w:cs="宋体"/>
          <w:b w:val="0"/>
          <w:i/>
          <w:iCs/>
          <w:sz w:val="21"/>
          <w:szCs w:val="21"/>
          <w:highlight w:val="none"/>
          <w:vertAlign w:val="subscript"/>
          <w:lang w:val="en-US" w:eastAsia="zh-CN"/>
        </w:rPr>
        <w:t>t</w:t>
      </w:r>
      <w:r>
        <w:rPr>
          <w:rFonts w:hint="eastAsia" w:ascii="宋体" w:hAnsi="宋体" w:eastAsia="宋体" w:cs="宋体"/>
          <w:b w:val="0"/>
          <w:sz w:val="21"/>
          <w:szCs w:val="21"/>
          <w:highlight w:val="none"/>
          <w:lang w:val="en-US" w:eastAsia="zh-CN"/>
        </w:rPr>
        <w:t>为时间固定效应；</w:t>
      </w:r>
      <w:r>
        <w:rPr>
          <w:rFonts w:hint="eastAsia" w:ascii="宋体" w:hAnsi="宋体" w:eastAsia="宋体" w:cs="宋体"/>
          <w:b w:val="0"/>
          <w:i/>
          <w:iCs/>
          <w:sz w:val="21"/>
          <w:szCs w:val="21"/>
          <w:highlight w:val="none"/>
          <w:lang w:val="en-US" w:eastAsia="zh-CN"/>
        </w:rPr>
        <w:t>ε</w:t>
      </w:r>
      <w:r>
        <w:rPr>
          <w:rFonts w:hint="eastAsia" w:ascii="宋体" w:hAnsi="宋体" w:eastAsia="宋体" w:cs="宋体"/>
          <w:b w:val="0"/>
          <w:i/>
          <w:iCs/>
          <w:sz w:val="21"/>
          <w:szCs w:val="21"/>
          <w:highlight w:val="none"/>
          <w:vertAlign w:val="subscript"/>
          <w:lang w:val="en-US" w:eastAsia="zh-CN"/>
        </w:rPr>
        <w:t>it</w:t>
      </w:r>
      <w:r>
        <w:rPr>
          <w:rFonts w:hint="eastAsia" w:ascii="宋体" w:hAnsi="宋体" w:eastAsia="宋体" w:cs="宋体"/>
          <w:b w:val="0"/>
          <w:sz w:val="21"/>
          <w:szCs w:val="21"/>
          <w:highlight w:val="none"/>
          <w:lang w:val="en-US" w:eastAsia="zh-CN"/>
        </w:rPr>
        <w:t>为随机扰动项。</w:t>
      </w:r>
    </w:p>
    <w:p w14:paraId="5384FDFD">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bidi="ar-SA"/>
        </w:rPr>
        <w:t>2.</w:t>
      </w:r>
      <w:r>
        <w:rPr>
          <w:rFonts w:hint="eastAsia" w:ascii="宋体" w:hAnsi="宋体" w:eastAsia="宋体" w:cs="宋体"/>
          <w:b w:val="0"/>
          <w:sz w:val="21"/>
          <w:szCs w:val="21"/>
          <w:highlight w:val="none"/>
          <w:lang w:val="en-US" w:eastAsia="zh-CN"/>
        </w:rPr>
        <w:t>中介效应模型</w:t>
      </w:r>
    </w:p>
    <w:p w14:paraId="25341FED">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理论分析表明，耐心资本通过提升研发投入强度和提高数字普惠金融水平来促进区域创新生态发展。为检验上述两条作用机制，本文借鉴温忠麟等（2004）的中介效应检验三步法</w:t>
      </w:r>
      <w:r>
        <w:rPr>
          <w:rFonts w:hint="eastAsia" w:ascii="宋体" w:hAnsi="宋体" w:eastAsia="宋体" w:cs="宋体"/>
          <w:b w:val="0"/>
          <w:sz w:val="21"/>
          <w:szCs w:val="21"/>
          <w:highlight w:val="none"/>
          <w:vertAlign w:val="superscript"/>
          <w:lang w:val="en-US" w:eastAsia="zh-CN"/>
        </w:rPr>
        <w:fldChar w:fldCharType="begin"/>
      </w:r>
      <w:r>
        <w:rPr>
          <w:highlight w:val="none"/>
        </w:rPr>
        <w:instrText xml:space="preserve"> REF _Ref6548 \r \h  \* MERGEFORMAT</w:instrText>
      </w:r>
      <w:r>
        <w:rPr>
          <w:rFonts w:hint="eastAsia" w:ascii="宋体" w:hAnsi="宋体" w:eastAsia="宋体" w:cs="宋体"/>
          <w:b w:val="0"/>
          <w:sz w:val="21"/>
          <w:szCs w:val="21"/>
          <w:highlight w:val="none"/>
          <w:vertAlign w:val="superscript"/>
          <w:lang w:val="en-US" w:eastAsia="zh-CN"/>
        </w:rPr>
        <w:fldChar w:fldCharType="separate"/>
      </w:r>
      <w:r>
        <w:rPr>
          <w:rFonts w:hint="eastAsia" w:ascii="宋体" w:hAnsi="宋体" w:eastAsia="宋体" w:cs="宋体"/>
          <w:b w:val="0"/>
          <w:sz w:val="21"/>
          <w:szCs w:val="21"/>
          <w:highlight w:val="none"/>
          <w:vertAlign w:val="superscript"/>
          <w:lang w:val="en-US" w:eastAsia="zh-CN"/>
        </w:rPr>
        <w:t>[35]</w:t>
      </w:r>
      <w:r>
        <w:rPr>
          <w:rFonts w:hint="eastAsia" w:ascii="宋体" w:hAnsi="宋体" w:eastAsia="宋体" w:cs="宋体"/>
          <w:b w:val="0"/>
          <w:sz w:val="21"/>
          <w:szCs w:val="21"/>
          <w:highlight w:val="none"/>
          <w:vertAlign w:val="superscript"/>
          <w:lang w:val="en-US" w:eastAsia="zh-CN"/>
        </w:rPr>
        <w:fldChar w:fldCharType="end"/>
      </w:r>
      <w:r>
        <w:rPr>
          <w:rFonts w:hint="eastAsia" w:ascii="宋体" w:hAnsi="宋体" w:eastAsia="宋体" w:cs="宋体"/>
          <w:b w:val="0"/>
          <w:sz w:val="21"/>
          <w:szCs w:val="21"/>
          <w:highlight w:val="none"/>
          <w:lang w:val="en-US" w:eastAsia="zh-CN"/>
        </w:rPr>
        <w:t>，构建如下中介效应模型：</w:t>
      </w:r>
    </w:p>
    <w:p w14:paraId="43AF8031">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m:oMath>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M</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β</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0</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β</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1</m:t>
            </m:r>
            <m:ctrlPr>
              <w:rPr>
                <w:rFonts w:hint="default" w:ascii="Cambria Math" w:hAnsi="Cambria Math" w:eastAsia="宋体" w:cs="Times New Roman"/>
                <w:sz w:val="21"/>
                <w:highlight w:val="none"/>
              </w:rPr>
            </m:ctrlPr>
          </m:sub>
        </m:sSub>
        <m:r>
          <m:rPr>
            <m:nor/>
          </m:rPr>
          <w:rPr>
            <w:rFonts w:hint="default" w:ascii="Times New Roman" w:hAnsi="Times New Roman" w:eastAsia="宋体" w:cs="Times New Roman"/>
            <w:i/>
            <w:sz w:val="21"/>
            <w:highlight w:val="none"/>
          </w:rPr>
          <m:t>Did</m:t>
        </m:r>
        <m:r>
          <m:rPr>
            <m:nor/>
            <m:sty m:val="p"/>
          </m:rPr>
          <w:rPr>
            <w:rFonts w:hint="default" w:ascii="Times New Roman" w:hAnsi="Times New Roman" w:eastAsia="宋体" w:cs="Times New Roman"/>
            <w:b w:val="0"/>
            <w:i w:val="0"/>
            <w:sz w:val="21"/>
            <w:highlight w:val="none"/>
          </w:rPr>
          <m:t>_</m:t>
        </m:r>
        <m:r>
          <m:rPr>
            <m:nor/>
          </m:rPr>
          <w:rPr>
            <w:rFonts w:hint="default" w:ascii="Times New Roman" w:hAnsi="Times New Roman" w:eastAsia="宋体" w:cs="Times New Roman"/>
            <w:i/>
            <w:sz w:val="21"/>
            <w:highlight w:val="none"/>
          </w:rPr>
          <m:t>con</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t</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β</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2</m:t>
            </m:r>
            <m:ctrlPr>
              <w:rPr>
                <w:rFonts w:hint="default" w:ascii="Cambria Math" w:hAnsi="Cambria Math" w:eastAsia="宋体" w:cs="Times New Roman"/>
                <w:sz w:val="21"/>
                <w:highlight w:val="none"/>
              </w:rPr>
            </m:ctrlPr>
          </m:sub>
        </m:sSub>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X</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μ</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λ</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ε</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oMath>
      <w:r>
        <w:rPr>
          <w:rFonts w:hint="eastAsia" w:hAnsi="Cambria Math" w:eastAsia="宋体" w:cs="Times New Roman"/>
          <w:b w:val="0"/>
          <w:i w:val="0"/>
          <w:iCs/>
          <w:sz w:val="21"/>
          <w:szCs w:val="21"/>
          <w:highlight w:val="none"/>
          <w:lang w:val="en-US" w:eastAsia="zh-CN"/>
        </w:rPr>
        <w:t xml:space="preserve">                                                                                                        </w:t>
      </w:r>
      <w:r>
        <w:rPr>
          <w:rFonts w:hint="eastAsia" w:ascii="宋体" w:hAnsi="宋体" w:eastAsia="宋体" w:cs="宋体"/>
          <w:b w:val="0"/>
          <w:sz w:val="21"/>
          <w:szCs w:val="21"/>
          <w:highlight w:val="none"/>
          <w:lang w:val="en-US" w:eastAsia="zh-CN"/>
        </w:rPr>
        <w:t>（2）</w:t>
      </w:r>
    </w:p>
    <w:p w14:paraId="51CA0677">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m:oMath>
        <m:r>
          <m:rPr>
            <m:nor/>
          </m:rPr>
          <w:rPr>
            <w:rFonts w:hint="default" w:ascii="Times New Roman" w:hAnsi="Times New Roman" w:eastAsia="宋体" w:cs="Times New Roman"/>
            <w:i/>
            <w:sz w:val="21"/>
            <w:highlight w:val="none"/>
          </w:rPr>
          <m:t>In</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n</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γ</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0</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γ</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1</m:t>
            </m:r>
            <m:ctrlPr>
              <w:rPr>
                <w:rFonts w:hint="default" w:ascii="Cambria Math" w:hAnsi="Cambria Math" w:eastAsia="宋体" w:cs="Times New Roman"/>
                <w:sz w:val="21"/>
                <w:highlight w:val="none"/>
              </w:rPr>
            </m:ctrlPr>
          </m:sub>
        </m:sSub>
        <m:r>
          <m:rPr>
            <m:nor/>
          </m:rPr>
          <w:rPr>
            <w:rFonts w:hint="default" w:ascii="Times New Roman" w:hAnsi="Times New Roman" w:eastAsia="宋体" w:cs="Times New Roman"/>
            <w:i/>
            <w:sz w:val="21"/>
            <w:highlight w:val="none"/>
          </w:rPr>
          <m:t>Did</m:t>
        </m:r>
        <m:r>
          <m:rPr>
            <m:nor/>
            <m:sty m:val="p"/>
          </m:rPr>
          <w:rPr>
            <w:rFonts w:hint="default" w:ascii="Times New Roman" w:hAnsi="Times New Roman" w:eastAsia="宋体" w:cs="Times New Roman"/>
            <w:b w:val="0"/>
            <w:i w:val="0"/>
            <w:sz w:val="21"/>
            <w:highlight w:val="none"/>
          </w:rPr>
          <m:t>_</m:t>
        </m:r>
        <m:r>
          <m:rPr>
            <m:nor/>
          </m:rPr>
          <w:rPr>
            <w:rFonts w:hint="default" w:ascii="Times New Roman" w:hAnsi="Times New Roman" w:eastAsia="宋体" w:cs="Times New Roman"/>
            <w:i/>
            <w:sz w:val="21"/>
            <w:highlight w:val="none"/>
          </w:rPr>
          <m:t>con</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t</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γ</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2</m:t>
            </m:r>
            <m:ctrlPr>
              <w:rPr>
                <w:rFonts w:hint="default" w:ascii="Cambria Math" w:hAnsi="Cambria Math" w:eastAsia="宋体" w:cs="Times New Roman"/>
                <w:sz w:val="21"/>
                <w:highlight w:val="none"/>
              </w:rPr>
            </m:ctrlPr>
          </m:sub>
        </m:sSub>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M</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γ</m:t>
            </m:r>
            <m:ctrlPr>
              <w:rPr>
                <w:rFonts w:hint="default" w:ascii="Cambria Math" w:hAnsi="Cambria Math" w:eastAsia="宋体" w:cs="Times New Roman"/>
                <w:sz w:val="21"/>
                <w:highlight w:val="none"/>
              </w:rPr>
            </m:ctrlPr>
          </m:e>
          <m:sub>
            <m:r>
              <m:rPr>
                <m:nor/>
                <m:sty m:val="p"/>
              </m:rPr>
              <w:rPr>
                <w:rFonts w:hint="default" w:ascii="Times New Roman" w:hAnsi="Times New Roman" w:eastAsia="宋体" w:cs="Times New Roman"/>
                <w:b w:val="0"/>
                <w:i w:val="0"/>
                <w:sz w:val="21"/>
                <w:highlight w:val="none"/>
              </w:rPr>
              <m:t>3</m:t>
            </m:r>
            <m:ctrlPr>
              <w:rPr>
                <w:rFonts w:hint="default" w:ascii="Cambria Math" w:hAnsi="Cambria Math" w:eastAsia="宋体" w:cs="Times New Roman"/>
                <w:sz w:val="21"/>
                <w:highlight w:val="none"/>
              </w:rPr>
            </m:ctrlPr>
          </m:sub>
        </m:sSub>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X</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μ</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λ</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t</m:t>
            </m:r>
            <m:ctrlPr>
              <w:rPr>
                <w:rFonts w:hint="default" w:ascii="Cambria Math" w:hAnsi="Cambria Math" w:eastAsia="宋体" w:cs="Times New Roman"/>
                <w:sz w:val="21"/>
                <w:highlight w:val="none"/>
              </w:rPr>
            </m:ctrlPr>
          </m:sub>
        </m:sSub>
        <m:r>
          <m:rPr>
            <m:nor/>
            <m:sty m:val="p"/>
          </m:rPr>
          <w:rPr>
            <w:rFonts w:hint="default" w:ascii="Times New Roman" w:hAnsi="Times New Roman" w:eastAsia="宋体" w:cs="Times New Roman"/>
            <w:b w:val="0"/>
            <w:i w:val="0"/>
            <w:sz w:val="21"/>
            <w:highlight w:val="none"/>
          </w:rPr>
          <m:t>+</m:t>
        </m:r>
        <m:sSub>
          <m:sSubPr>
            <m:ctrlPr>
              <w:rPr>
                <w:rFonts w:hint="default" w:ascii="Cambria Math" w:hAnsi="Cambria Math" w:eastAsia="宋体" w:cs="Times New Roman"/>
                <w:sz w:val="21"/>
                <w:highlight w:val="none"/>
              </w:rPr>
            </m:ctrlPr>
          </m:sSubPr>
          <m:e>
            <m:r>
              <m:rPr>
                <m:nor/>
              </m:rPr>
              <w:rPr>
                <w:rFonts w:hint="default" w:ascii="Times New Roman" w:hAnsi="Times New Roman" w:eastAsia="宋体" w:cs="Times New Roman"/>
                <w:i/>
                <w:sz w:val="21"/>
                <w:highlight w:val="none"/>
              </w:rPr>
              <m:t>ε</m:t>
            </m:r>
            <m:ctrlPr>
              <w:rPr>
                <w:rFonts w:hint="default" w:ascii="Cambria Math" w:hAnsi="Cambria Math" w:eastAsia="宋体" w:cs="Times New Roman"/>
                <w:sz w:val="21"/>
                <w:highlight w:val="none"/>
              </w:rPr>
            </m:ctrlPr>
          </m:e>
          <m:sub>
            <m:r>
              <m:rPr>
                <m:nor/>
              </m:rPr>
              <w:rPr>
                <w:rFonts w:hint="default" w:ascii="Times New Roman" w:hAnsi="Times New Roman" w:eastAsia="宋体" w:cs="Times New Roman"/>
                <w:i/>
                <w:sz w:val="21"/>
                <w:highlight w:val="none"/>
              </w:rPr>
              <m:t>it</m:t>
            </m:r>
            <m:ctrlPr>
              <w:rPr>
                <w:rFonts w:hint="default" w:ascii="Cambria Math" w:hAnsi="Cambria Math" w:eastAsia="宋体" w:cs="Times New Roman"/>
                <w:sz w:val="21"/>
                <w:highlight w:val="none"/>
              </w:rPr>
            </m:ctrlPr>
          </m:sub>
        </m:sSub>
      </m:oMath>
      <w:r>
        <w:rPr>
          <w:rFonts w:hint="eastAsia" w:ascii="Cambria Math" w:hAnsi="Cambria Math" w:eastAsia="宋体" w:cs="Times New Roman"/>
          <w:b w:val="0"/>
          <w:i/>
          <w:iCs/>
          <w:sz w:val="21"/>
          <w:szCs w:val="21"/>
          <w:highlight w:val="none"/>
          <w:lang w:val="en-US" w:eastAsia="zh-CN"/>
        </w:rPr>
        <w:t xml:space="preserve">                                                                                           </w:t>
      </w:r>
      <w:r>
        <w:rPr>
          <w:rFonts w:hint="eastAsia" w:ascii="宋体" w:hAnsi="宋体" w:eastAsia="宋体" w:cs="宋体"/>
          <w:b w:val="0"/>
          <w:sz w:val="21"/>
          <w:szCs w:val="21"/>
          <w:highlight w:val="none"/>
          <w:lang w:val="en-US" w:eastAsia="zh-CN"/>
        </w:rPr>
        <w:t>（3）</w:t>
      </w:r>
    </w:p>
    <w:p w14:paraId="33DF7362">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式（2）为第二步，以中介变量</w:t>
      </w:r>
      <w:r>
        <w:rPr>
          <w:rFonts w:hint="eastAsia" w:ascii="宋体" w:hAnsi="宋体" w:eastAsia="宋体" w:cs="宋体"/>
          <w:b w:val="0"/>
          <w:i/>
          <w:iCs/>
          <w:sz w:val="21"/>
          <w:szCs w:val="21"/>
          <w:highlight w:val="none"/>
          <w:lang w:val="en-US" w:eastAsia="zh-CN"/>
        </w:rPr>
        <w:t>M</w:t>
      </w:r>
      <w:r>
        <w:rPr>
          <w:rFonts w:hint="eastAsia" w:ascii="宋体" w:hAnsi="宋体" w:eastAsia="宋体" w:cs="宋体"/>
          <w:b w:val="0"/>
          <w:i/>
          <w:iCs/>
          <w:sz w:val="21"/>
          <w:szCs w:val="21"/>
          <w:highlight w:val="none"/>
          <w:vertAlign w:val="subscript"/>
          <w:lang w:val="en-US" w:eastAsia="zh-CN"/>
        </w:rPr>
        <w:t>it</w:t>
      </w:r>
      <w:r>
        <w:rPr>
          <w:rFonts w:hint="default" w:ascii="宋体" w:hAnsi="宋体" w:eastAsia="宋体" w:cs="宋体"/>
          <w:b w:val="0"/>
          <w:sz w:val="21"/>
          <w:szCs w:val="21"/>
          <w:highlight w:val="none"/>
          <w:lang w:val="en-US" w:eastAsia="zh-CN"/>
        </w:rPr>
        <w:t>为被解释变量；式（3）为第三步，将</w:t>
      </w:r>
      <w:r>
        <w:rPr>
          <w:rFonts w:hint="eastAsia" w:ascii="宋体" w:hAnsi="宋体" w:eastAsia="宋体" w:cs="宋体"/>
          <w:b w:val="0"/>
          <w:i/>
          <w:iCs/>
          <w:sz w:val="21"/>
          <w:szCs w:val="21"/>
          <w:highlight w:val="none"/>
          <w:lang w:val="en-US" w:eastAsia="zh-CN"/>
        </w:rPr>
        <w:t>M</w:t>
      </w:r>
      <w:r>
        <w:rPr>
          <w:rFonts w:hint="eastAsia" w:ascii="宋体" w:hAnsi="宋体" w:eastAsia="宋体" w:cs="宋体"/>
          <w:b w:val="0"/>
          <w:i/>
          <w:iCs/>
          <w:sz w:val="21"/>
          <w:szCs w:val="21"/>
          <w:highlight w:val="none"/>
          <w:vertAlign w:val="subscript"/>
          <w:lang w:val="en-US" w:eastAsia="zh-CN"/>
        </w:rPr>
        <w:t>it</w:t>
      </w:r>
      <w:r>
        <w:rPr>
          <w:rFonts w:hint="default" w:ascii="宋体" w:hAnsi="宋体" w:eastAsia="宋体" w:cs="宋体"/>
          <w:b w:val="0"/>
          <w:sz w:val="21"/>
          <w:szCs w:val="21"/>
          <w:highlight w:val="none"/>
          <w:lang w:val="en-US" w:eastAsia="zh-CN"/>
        </w:rPr>
        <w:t>与</w:t>
      </w:r>
      <w:r>
        <w:rPr>
          <w:rFonts w:hint="default" w:ascii="宋体" w:hAnsi="宋体" w:eastAsia="宋体" w:cs="宋体"/>
          <w:b w:val="0"/>
          <w:i/>
          <w:iCs/>
          <w:sz w:val="21"/>
          <w:szCs w:val="21"/>
          <w:highlight w:val="none"/>
          <w:lang w:val="en-US" w:eastAsia="zh-CN"/>
        </w:rPr>
        <w:t>Did_cont</w:t>
      </w:r>
      <w:r>
        <w:rPr>
          <w:rFonts w:hint="default" w:ascii="宋体" w:hAnsi="宋体" w:eastAsia="宋体" w:cs="宋体"/>
          <w:b w:val="0"/>
          <w:sz w:val="21"/>
          <w:szCs w:val="21"/>
          <w:highlight w:val="none"/>
          <w:lang w:val="en-US" w:eastAsia="zh-CN"/>
        </w:rPr>
        <w:t>同时纳入基准回归模型。总效应即式（1）基准回归</w:t>
      </w:r>
      <w:r>
        <w:rPr>
          <w:rFonts w:hint="eastAsia" w:ascii="宋体" w:hAnsi="宋体" w:eastAsia="宋体" w:cs="宋体"/>
          <w:b w:val="0"/>
          <w:sz w:val="21"/>
          <w:szCs w:val="21"/>
          <w:highlight w:val="none"/>
          <w:lang w:val="en-US" w:eastAsia="zh-CN"/>
        </w:rPr>
        <w:t>。</w:t>
      </w:r>
    </w:p>
    <w:p w14:paraId="0E54333D">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3.调节效应模型</w:t>
      </w:r>
    </w:p>
    <w:p w14:paraId="7947D173">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为检验产学研合作与技术市场发展对耐心资本创新效应的调节作用，本文在基准回归模型基础上引入核心解释变量与调节变量的交互项，构建如下调节效应模型：</w:t>
      </w:r>
    </w:p>
    <w:p w14:paraId="171637C5">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default" w:hAnsi="Cambria Math" w:eastAsia="宋体"/>
          <w:i w:val="0"/>
          <w:sz w:val="24"/>
          <w:lang w:val="en-US" w:eastAsia="zh-CN"/>
        </w:rPr>
      </w:pPr>
      <m:oMath>
        <m:r>
          <m:rPr>
            <m:nor/>
          </m:rPr>
          <w:rPr>
            <w:rFonts w:hint="default" w:ascii="Times New Roman" w:hAnsi="Times New Roman" w:eastAsia="宋体" w:cs="Times New Roman"/>
            <w:i/>
            <w:sz w:val="21"/>
            <w:szCs w:val="21"/>
          </w:rPr>
          <m:t>In</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n</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it</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θ</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0</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θ</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sz w:val="21"/>
                <w:szCs w:val="21"/>
              </w:rPr>
            </m:ctrlPr>
          </m:sub>
        </m:sSub>
        <m:r>
          <m:rPr>
            <m:nor/>
          </m:rPr>
          <w:rPr>
            <w:rFonts w:hint="default" w:ascii="Times New Roman" w:hAnsi="Times New Roman" w:eastAsia="宋体" w:cs="Times New Roman"/>
            <w:i/>
            <w:sz w:val="21"/>
            <w:szCs w:val="21"/>
          </w:rPr>
          <m:t>Did</m:t>
        </m:r>
        <m:r>
          <m:rPr>
            <m:nor/>
            <m:sty m:val="p"/>
          </m:rPr>
          <w:rPr>
            <w:rFonts w:hint="default" w:ascii="Times New Roman" w:hAnsi="Times New Roman" w:eastAsia="宋体" w:cs="Times New Roman"/>
            <w:b w:val="0"/>
            <w:i w:val="0"/>
            <w:sz w:val="21"/>
            <w:szCs w:val="21"/>
          </w:rPr>
          <m:t>_</m:t>
        </m:r>
        <m:r>
          <m:rPr>
            <m:nor/>
          </m:rPr>
          <w:rPr>
            <w:rFonts w:hint="default" w:ascii="Times New Roman" w:hAnsi="Times New Roman" w:eastAsia="宋体" w:cs="Times New Roman"/>
            <w:i/>
            <w:sz w:val="21"/>
            <w:szCs w:val="21"/>
          </w:rPr>
          <m:t>con</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t</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it</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θ</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M</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it</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θ</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3</m:t>
            </m:r>
            <m:ctrlPr>
              <w:rPr>
                <w:rFonts w:hint="default" w:ascii="Cambria Math" w:hAnsi="Cambria Math" w:eastAsia="宋体" w:cs="Times New Roman"/>
                <w:sz w:val="21"/>
                <w:szCs w:val="21"/>
              </w:rPr>
            </m:ctrlPr>
          </m:sub>
        </m:sSub>
        <m:r>
          <m:rPr>
            <m:nor/>
          </m:rPr>
          <w:rPr>
            <w:rFonts w:hint="default" w:ascii="Times New Roman" w:hAnsi="Times New Roman" w:eastAsia="宋体" w:cs="Times New Roman"/>
            <w:i/>
            <w:sz w:val="21"/>
            <w:szCs w:val="21"/>
          </w:rPr>
          <m:t>Did</m:t>
        </m:r>
        <m:r>
          <m:rPr>
            <m:nor/>
            <m:sty m:val="p"/>
          </m:rPr>
          <w:rPr>
            <w:rFonts w:hint="default" w:ascii="Times New Roman" w:hAnsi="Times New Roman" w:eastAsia="宋体" w:cs="Times New Roman"/>
            <w:b w:val="0"/>
            <w:i w:val="0"/>
            <w:sz w:val="21"/>
            <w:szCs w:val="21"/>
          </w:rPr>
          <m:t>_</m:t>
        </m:r>
        <m:r>
          <m:rPr>
            <m:nor/>
          </m:rPr>
          <w:rPr>
            <w:rFonts w:hint="default" w:ascii="Times New Roman" w:hAnsi="Times New Roman" w:eastAsia="宋体" w:cs="Times New Roman"/>
            <w:i/>
            <w:sz w:val="21"/>
            <w:szCs w:val="21"/>
          </w:rPr>
          <m:t>con</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t</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it</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M</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it</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δ</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X</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it</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μ</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λ</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t</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ε</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it</m:t>
            </m:r>
            <m:ctrlPr>
              <w:rPr>
                <w:rFonts w:hint="default" w:ascii="Cambria Math" w:hAnsi="Cambria Math" w:eastAsia="宋体" w:cs="Times New Roman"/>
                <w:sz w:val="21"/>
                <w:szCs w:val="21"/>
              </w:rPr>
            </m:ctrlPr>
          </m:sub>
        </m:sSub>
      </m:oMath>
      <w:r>
        <w:rPr>
          <w:rFonts w:hint="eastAsia" w:hAnsi="Cambria Math" w:eastAsia="宋体" w:cs="Times New Roman"/>
          <w:i w:val="0"/>
          <w:sz w:val="21"/>
          <w:szCs w:val="21"/>
          <w:lang w:val="en-US" w:eastAsia="zh-CN"/>
        </w:rPr>
        <w:t>.                                                        （4）</w:t>
      </w:r>
    </w:p>
    <w:p w14:paraId="14B42E1D">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default" w:hAnsi="Cambria Math" w:eastAsia="宋体"/>
          <w:i w:val="0"/>
          <w:sz w:val="24"/>
          <w:lang w:val="en-US" w:eastAsia="zh-CN"/>
        </w:rPr>
      </w:pPr>
      <w:r>
        <w:rPr>
          <w:rFonts w:hint="default" w:ascii="宋体" w:hAnsi="宋体" w:eastAsia="宋体" w:cs="宋体"/>
          <w:b w:val="0"/>
          <w:sz w:val="21"/>
          <w:szCs w:val="21"/>
          <w:highlight w:val="none"/>
          <w:lang w:val="en-US" w:eastAsia="zh-CN"/>
        </w:rPr>
        <w:t>其中</w:t>
      </w:r>
      <w:r>
        <w:rPr>
          <w:rFonts w:hint="default" w:ascii="宋体" w:hAnsi="宋体" w:eastAsia="宋体" w:cs="宋体"/>
          <w:b w:val="0"/>
          <w:i/>
          <w:iCs/>
          <w:sz w:val="21"/>
          <w:szCs w:val="21"/>
          <w:highlight w:val="none"/>
          <w:lang w:val="en-US" w:eastAsia="zh-CN"/>
        </w:rPr>
        <w:t>，M</w:t>
      </w:r>
      <w:r>
        <w:rPr>
          <w:rFonts w:hint="default" w:ascii="宋体" w:hAnsi="宋体" w:eastAsia="宋体" w:cs="宋体"/>
          <w:b w:val="0"/>
          <w:i/>
          <w:iCs/>
          <w:sz w:val="21"/>
          <w:szCs w:val="21"/>
          <w:highlight w:val="none"/>
          <w:vertAlign w:val="subscript"/>
          <w:lang w:val="en-US" w:eastAsia="zh-CN"/>
        </w:rPr>
        <w:t>it</w:t>
      </w:r>
      <w:r>
        <w:rPr>
          <w:rFonts w:hint="default" w:ascii="宋体" w:hAnsi="宋体" w:eastAsia="宋体" w:cs="宋体"/>
          <w:b w:val="0"/>
          <w:sz w:val="21"/>
          <w:szCs w:val="21"/>
          <w:highlight w:val="none"/>
          <w:lang w:val="en-US" w:eastAsia="zh-CN"/>
        </w:rPr>
        <w:t>为调节变量，分别代入产学研合作（</w:t>
      </w:r>
      <w:r>
        <w:rPr>
          <w:rFonts w:hint="default" w:ascii="宋体" w:hAnsi="宋体" w:eastAsia="宋体" w:cs="宋体"/>
          <w:b w:val="0"/>
          <w:i/>
          <w:iCs/>
          <w:sz w:val="21"/>
          <w:szCs w:val="21"/>
          <w:highlight w:val="none"/>
          <w:lang w:val="en-US" w:eastAsia="zh-CN"/>
        </w:rPr>
        <w:t>Ln_Coop</w:t>
      </w:r>
      <w:r>
        <w:rPr>
          <w:rFonts w:hint="default" w:ascii="宋体" w:hAnsi="宋体" w:eastAsia="宋体" w:cs="宋体"/>
          <w:b w:val="0"/>
          <w:sz w:val="21"/>
          <w:szCs w:val="21"/>
          <w:highlight w:val="none"/>
          <w:lang w:val="en-US" w:eastAsia="zh-CN"/>
        </w:rPr>
        <w:t>）和技术市场发展（</w:t>
      </w:r>
      <w:r>
        <w:rPr>
          <w:rFonts w:hint="default" w:ascii="宋体" w:hAnsi="宋体" w:eastAsia="宋体" w:cs="宋体"/>
          <w:b w:val="0"/>
          <w:i/>
          <w:iCs/>
          <w:sz w:val="21"/>
          <w:szCs w:val="21"/>
          <w:highlight w:val="none"/>
          <w:lang w:val="en-US" w:eastAsia="zh-CN"/>
        </w:rPr>
        <w:t>Ln_tech</w:t>
      </w:r>
      <w:r>
        <w:rPr>
          <w:rFonts w:hint="default" w:ascii="宋体" w:hAnsi="宋体" w:eastAsia="宋体" w:cs="宋体"/>
          <w:b w:val="0"/>
          <w:sz w:val="21"/>
          <w:szCs w:val="21"/>
          <w:highlight w:val="none"/>
          <w:lang w:val="en-US" w:eastAsia="zh-CN"/>
        </w:rPr>
        <w:t>）进行回归；</w:t>
      </w:r>
      <w:r>
        <w:rPr>
          <w:rFonts w:hint="default" w:ascii="宋体" w:hAnsi="宋体" w:eastAsia="宋体" w:cs="宋体"/>
          <w:b w:val="0"/>
          <w:i/>
          <w:iCs/>
          <w:sz w:val="21"/>
          <w:szCs w:val="21"/>
          <w:highlight w:val="none"/>
          <w:lang w:val="en-US" w:eastAsia="zh-CN"/>
        </w:rPr>
        <w:t>Did_cont</w:t>
      </w:r>
      <w:r>
        <w:rPr>
          <w:rFonts w:hint="default" w:ascii="宋体" w:hAnsi="宋体" w:eastAsia="宋体" w:cs="宋体"/>
          <w:b w:val="0"/>
          <w:i/>
          <w:iCs/>
          <w:sz w:val="21"/>
          <w:szCs w:val="21"/>
          <w:highlight w:val="none"/>
          <w:vertAlign w:val="subscript"/>
          <w:lang w:val="en-US" w:eastAsia="zh-CN"/>
        </w:rPr>
        <w:t>it</w:t>
      </w:r>
      <w:r>
        <w:rPr>
          <w:rFonts w:hint="default" w:ascii="宋体" w:hAnsi="宋体" w:eastAsia="宋体" w:cs="宋体"/>
          <w:b w:val="0"/>
          <w:sz w:val="21"/>
          <w:szCs w:val="21"/>
          <w:highlight w:val="none"/>
          <w:lang w:val="en-US" w:eastAsia="zh-CN"/>
        </w:rPr>
        <w:t>×</w:t>
      </w:r>
      <w:r>
        <w:rPr>
          <w:rFonts w:hint="default" w:ascii="宋体" w:hAnsi="宋体" w:eastAsia="宋体" w:cs="宋体"/>
          <w:b w:val="0"/>
          <w:i/>
          <w:iCs/>
          <w:sz w:val="21"/>
          <w:szCs w:val="21"/>
          <w:highlight w:val="none"/>
          <w:lang w:val="en-US" w:eastAsia="zh-CN"/>
        </w:rPr>
        <w:t>M</w:t>
      </w:r>
      <w:r>
        <w:rPr>
          <w:rFonts w:hint="default" w:ascii="宋体" w:hAnsi="宋体" w:eastAsia="宋体" w:cs="宋体"/>
          <w:b w:val="0"/>
          <w:i/>
          <w:iCs/>
          <w:sz w:val="21"/>
          <w:szCs w:val="21"/>
          <w:highlight w:val="none"/>
          <w:vertAlign w:val="subscript"/>
          <w:lang w:val="en-US" w:eastAsia="zh-CN"/>
        </w:rPr>
        <w:t>it</w:t>
      </w:r>
      <w:r>
        <w:rPr>
          <w:rFonts w:hint="default" w:ascii="宋体" w:hAnsi="宋体" w:eastAsia="宋体" w:cs="宋体"/>
          <w:b w:val="0"/>
          <w:sz w:val="21"/>
          <w:szCs w:val="21"/>
          <w:highlight w:val="none"/>
          <w:lang w:val="en-US" w:eastAsia="zh-CN"/>
        </w:rPr>
        <w:t>为交互项，其系数θ</w:t>
      </w:r>
      <w:r>
        <w:rPr>
          <w:rFonts w:hint="default" w:ascii="宋体" w:hAnsi="宋体" w:eastAsia="宋体" w:cs="宋体"/>
          <w:b w:val="0"/>
          <w:sz w:val="21"/>
          <w:szCs w:val="21"/>
          <w:highlight w:val="none"/>
          <w:vertAlign w:val="subscript"/>
          <w:lang w:val="en-US" w:eastAsia="zh-CN"/>
        </w:rPr>
        <w:t>3</w:t>
      </w:r>
      <w:r>
        <w:rPr>
          <w:rFonts w:hint="default" w:ascii="宋体" w:hAnsi="宋体" w:eastAsia="宋体" w:cs="宋体"/>
          <w:b w:val="0"/>
          <w:sz w:val="21"/>
          <w:szCs w:val="21"/>
          <w:highlight w:val="none"/>
          <w:lang w:val="en-US" w:eastAsia="zh-CN"/>
        </w:rPr>
        <w:t>是调节效应的核心估计系数。若θ</w:t>
      </w:r>
      <w:r>
        <w:rPr>
          <w:rFonts w:hint="default" w:ascii="宋体" w:hAnsi="宋体" w:eastAsia="宋体" w:cs="宋体"/>
          <w:b w:val="0"/>
          <w:sz w:val="21"/>
          <w:szCs w:val="21"/>
          <w:highlight w:val="none"/>
          <w:vertAlign w:val="subscript"/>
          <w:lang w:val="en-US" w:eastAsia="zh-CN"/>
        </w:rPr>
        <w:t>3</w:t>
      </w:r>
      <w:r>
        <w:rPr>
          <w:rFonts w:hint="default" w:ascii="宋体" w:hAnsi="宋体" w:eastAsia="宋体" w:cs="宋体"/>
          <w:b w:val="0"/>
          <w:sz w:val="21"/>
          <w:szCs w:val="21"/>
          <w:highlight w:val="none"/>
          <w:lang w:val="en-US" w:eastAsia="zh-CN"/>
        </w:rPr>
        <w:t>显著为正，则说明调节变量强化了耐心资本对区域创新生态的促进作用；若θ</w:t>
      </w:r>
      <w:r>
        <w:rPr>
          <w:rFonts w:hint="default" w:ascii="宋体" w:hAnsi="宋体" w:eastAsia="宋体" w:cs="宋体"/>
          <w:b w:val="0"/>
          <w:sz w:val="21"/>
          <w:szCs w:val="21"/>
          <w:highlight w:val="none"/>
          <w:vertAlign w:val="subscript"/>
          <w:lang w:val="en-US" w:eastAsia="zh-CN"/>
        </w:rPr>
        <w:t>3</w:t>
      </w:r>
      <w:r>
        <w:rPr>
          <w:rFonts w:hint="default" w:ascii="宋体" w:hAnsi="宋体" w:eastAsia="宋体" w:cs="宋体"/>
          <w:b w:val="0"/>
          <w:sz w:val="21"/>
          <w:szCs w:val="21"/>
          <w:highlight w:val="none"/>
          <w:lang w:val="en-US" w:eastAsia="zh-CN"/>
        </w:rPr>
        <w:t>显著为负，则说明调节变量削弱了上述促进作用。为避免多重共线性问题，在构造交互项之前，本文对核心解释变量与调节变量均进行了中心化处理。其他变量定义与基准回归模型一致。</w:t>
      </w:r>
    </w:p>
    <w:p w14:paraId="0A6A4C73">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（四）描述性统计</w:t>
      </w:r>
    </w:p>
    <w:p w14:paraId="60A8D2B3">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Times New Roman" w:hAnsi="Times New Roman" w:eastAsia="宋体" w:cs="Times New Roman"/>
          <w:b w:val="0"/>
          <w:sz w:val="24"/>
          <w:szCs w:val="24"/>
          <w:highlight w:val="none"/>
        </w:rPr>
      </w:pPr>
      <w:r>
        <w:rPr>
          <w:rFonts w:hint="default" w:ascii="宋体" w:hAnsi="宋体" w:eastAsia="宋体" w:cs="宋体"/>
          <w:b w:val="0"/>
          <w:sz w:val="21"/>
          <w:szCs w:val="21"/>
          <w:highlight w:val="none"/>
          <w:lang w:val="en-US" w:eastAsia="zh-CN"/>
        </w:rPr>
        <w:t>相关变量的描述性统计如表</w:t>
      </w:r>
      <w:r>
        <w:rPr>
          <w:rFonts w:hint="eastAsia" w:ascii="宋体" w:hAnsi="宋体" w:eastAsia="宋体" w:cs="宋体"/>
          <w:b w:val="0"/>
          <w:sz w:val="21"/>
          <w:szCs w:val="21"/>
          <w:highlight w:val="none"/>
          <w:lang w:val="en-US" w:eastAsia="zh-CN"/>
        </w:rPr>
        <w:t>2</w:t>
      </w:r>
      <w:r>
        <w:rPr>
          <w:rFonts w:hint="default" w:ascii="宋体" w:hAnsi="宋体" w:eastAsia="宋体" w:cs="宋体"/>
          <w:b w:val="0"/>
          <w:sz w:val="21"/>
          <w:szCs w:val="21"/>
          <w:highlight w:val="none"/>
          <w:lang w:val="en-US" w:eastAsia="zh-CN"/>
        </w:rPr>
        <w:t>所示。区域创新生态指数（</w:t>
      </w:r>
      <w:r>
        <w:rPr>
          <w:rFonts w:hint="default" w:ascii="宋体" w:hAnsi="宋体" w:eastAsia="宋体" w:cs="宋体"/>
          <w:b w:val="0"/>
          <w:i/>
          <w:iCs/>
          <w:sz w:val="21"/>
          <w:szCs w:val="21"/>
          <w:highlight w:val="none"/>
          <w:lang w:val="en-US" w:eastAsia="zh-CN"/>
        </w:rPr>
        <w:t>Inn</w:t>
      </w:r>
      <w:r>
        <w:rPr>
          <w:rFonts w:hint="default" w:ascii="宋体" w:hAnsi="宋体" w:eastAsia="宋体" w:cs="宋体"/>
          <w:b w:val="0"/>
          <w:sz w:val="21"/>
          <w:szCs w:val="21"/>
          <w:highlight w:val="none"/>
          <w:lang w:val="en-US" w:eastAsia="zh-CN"/>
        </w:rPr>
        <w:t>）均值为0.117，标准差0.10</w:t>
      </w:r>
      <w:r>
        <w:rPr>
          <w:rFonts w:hint="eastAsia" w:ascii="宋体" w:hAnsi="宋体" w:eastAsia="宋体" w:cs="宋体"/>
          <w:b w:val="0"/>
          <w:sz w:val="21"/>
          <w:szCs w:val="21"/>
          <w:highlight w:val="none"/>
          <w:lang w:val="en-US" w:eastAsia="zh-CN"/>
        </w:rPr>
        <w:t>29</w:t>
      </w:r>
      <w:r>
        <w:rPr>
          <w:rFonts w:hint="default" w:ascii="宋体" w:hAnsi="宋体" w:eastAsia="宋体" w:cs="宋体"/>
          <w:b w:val="0"/>
          <w:sz w:val="21"/>
          <w:szCs w:val="21"/>
          <w:highlight w:val="none"/>
          <w:lang w:val="en-US" w:eastAsia="zh-CN"/>
        </w:rPr>
        <w:t>，最小值0.02</w:t>
      </w:r>
      <w:r>
        <w:rPr>
          <w:rFonts w:hint="eastAsia" w:ascii="宋体" w:hAnsi="宋体" w:eastAsia="宋体" w:cs="宋体"/>
          <w:b w:val="0"/>
          <w:sz w:val="21"/>
          <w:szCs w:val="21"/>
          <w:highlight w:val="none"/>
          <w:lang w:val="en-US" w:eastAsia="zh-CN"/>
        </w:rPr>
        <w:t>36</w:t>
      </w:r>
      <w:r>
        <w:rPr>
          <w:rFonts w:hint="default" w:ascii="宋体" w:hAnsi="宋体" w:eastAsia="宋体" w:cs="宋体"/>
          <w:b w:val="0"/>
          <w:sz w:val="21"/>
          <w:szCs w:val="21"/>
          <w:highlight w:val="none"/>
          <w:lang w:val="en-US" w:eastAsia="zh-CN"/>
        </w:rPr>
        <w:t>，最大值0.555</w:t>
      </w:r>
      <w:r>
        <w:rPr>
          <w:rFonts w:hint="eastAsia" w:ascii="宋体" w:hAnsi="宋体" w:eastAsia="宋体" w:cs="宋体"/>
          <w:b w:val="0"/>
          <w:sz w:val="21"/>
          <w:szCs w:val="21"/>
          <w:highlight w:val="none"/>
          <w:lang w:val="en-US" w:eastAsia="zh-CN"/>
        </w:rPr>
        <w:t>0</w:t>
      </w:r>
      <w:r>
        <w:rPr>
          <w:rFonts w:hint="default" w:ascii="宋体" w:hAnsi="宋体" w:eastAsia="宋体" w:cs="宋体"/>
          <w:b w:val="0"/>
          <w:sz w:val="21"/>
          <w:szCs w:val="21"/>
          <w:highlight w:val="none"/>
          <w:lang w:val="en-US" w:eastAsia="zh-CN"/>
        </w:rPr>
        <w:t>，表明长三角地区创新生态整体水平仍有提升空间且城市间差异显著，最高值约为最低值的23倍</w:t>
      </w:r>
      <w:r>
        <w:rPr>
          <w:rFonts w:hint="eastAsia" w:ascii="宋体" w:hAnsi="宋体" w:eastAsia="宋体" w:cs="宋体"/>
          <w:b w:val="0"/>
          <w:sz w:val="21"/>
          <w:szCs w:val="21"/>
          <w:highlight w:val="none"/>
          <w:lang w:val="en-US" w:eastAsia="zh-CN"/>
        </w:rPr>
        <w:t>，区域间发展不平衡特征较为明显</w:t>
      </w:r>
      <w:r>
        <w:rPr>
          <w:rFonts w:hint="default" w:ascii="宋体" w:hAnsi="宋体" w:eastAsia="宋体" w:cs="宋体"/>
          <w:b w:val="0"/>
          <w:sz w:val="21"/>
          <w:szCs w:val="21"/>
          <w:highlight w:val="none"/>
          <w:lang w:val="en-US" w:eastAsia="zh-CN"/>
        </w:rPr>
        <w:t>。</w:t>
      </w:r>
      <w:r>
        <w:rPr>
          <w:rFonts w:hint="eastAsia" w:ascii="宋体" w:hAnsi="宋体" w:eastAsia="宋体" w:cs="宋体"/>
          <w:b w:val="0"/>
          <w:sz w:val="21"/>
          <w:szCs w:val="21"/>
          <w:highlight w:val="none"/>
          <w:lang w:val="en-US" w:eastAsia="zh-CN"/>
        </w:rPr>
        <w:t>耐心资本</w:t>
      </w:r>
      <w:r>
        <w:rPr>
          <w:rFonts w:hint="default" w:ascii="宋体" w:hAnsi="宋体" w:eastAsia="宋体" w:cs="宋体"/>
          <w:b w:val="0"/>
          <w:sz w:val="21"/>
          <w:szCs w:val="21"/>
          <w:highlight w:val="none"/>
          <w:lang w:val="en-US" w:eastAsia="zh-CN"/>
        </w:rPr>
        <w:t>（</w:t>
      </w:r>
      <w:r>
        <w:rPr>
          <w:rFonts w:hint="eastAsia" w:ascii="宋体" w:hAnsi="宋体" w:eastAsia="宋体" w:cs="宋体"/>
          <w:b w:val="0"/>
          <w:i/>
          <w:iCs/>
          <w:sz w:val="21"/>
          <w:szCs w:val="21"/>
          <w:highlight w:val="none"/>
          <w:lang w:val="en-US" w:eastAsia="zh-CN"/>
        </w:rPr>
        <w:t>D</w:t>
      </w:r>
      <w:r>
        <w:rPr>
          <w:rFonts w:hint="default" w:ascii="宋体" w:hAnsi="宋体" w:eastAsia="宋体" w:cs="宋体"/>
          <w:b w:val="0"/>
          <w:i/>
          <w:iCs/>
          <w:sz w:val="21"/>
          <w:szCs w:val="21"/>
          <w:highlight w:val="none"/>
          <w:lang w:val="en-US" w:eastAsia="zh-CN"/>
        </w:rPr>
        <w:t>id_cont</w:t>
      </w:r>
      <w:r>
        <w:rPr>
          <w:rFonts w:hint="default" w:ascii="宋体" w:hAnsi="宋体" w:eastAsia="宋体" w:cs="宋体"/>
          <w:b w:val="0"/>
          <w:sz w:val="21"/>
          <w:szCs w:val="21"/>
          <w:highlight w:val="none"/>
          <w:lang w:val="en-US" w:eastAsia="zh-CN"/>
        </w:rPr>
        <w:t>）均值5.0865，标准差3.8176，最小值0.0000，最大值11.3851，</w:t>
      </w:r>
      <w:r>
        <w:rPr>
          <w:rFonts w:hint="eastAsia" w:ascii="宋体" w:hAnsi="宋体" w:eastAsia="宋体" w:cs="宋体"/>
          <w:b w:val="0"/>
          <w:sz w:val="21"/>
          <w:szCs w:val="21"/>
          <w:highlight w:val="none"/>
          <w:lang w:val="en-US" w:eastAsia="zh-CN"/>
        </w:rPr>
        <w:t>说</w:t>
      </w:r>
      <w:r>
        <w:rPr>
          <w:rFonts w:hint="default" w:ascii="宋体" w:hAnsi="宋体" w:eastAsia="宋体" w:cs="宋体"/>
          <w:b w:val="0"/>
          <w:sz w:val="21"/>
          <w:szCs w:val="21"/>
          <w:highlight w:val="none"/>
          <w:lang w:val="en-US" w:eastAsia="zh-CN"/>
        </w:rPr>
        <w:t>明不同城市政府引导基金的政策强度存在明显异质性，且分布呈现右偏特征，大部分城市的政府引导基金规模处于较低水平，少数发达城市规模较大。这为本文采用连续强度DID模型识别政策效应提供了良好的数据基础。</w:t>
      </w:r>
    </w:p>
    <w:p w14:paraId="5477CD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b/>
          <w:bCs w:val="0"/>
          <w:sz w:val="15"/>
          <w:szCs w:val="15"/>
          <w:highlight w:val="none"/>
        </w:rPr>
      </w:pPr>
      <w:r>
        <w:rPr>
          <w:rFonts w:hint="eastAsia" w:ascii="黑体" w:hAnsi="黑体" w:eastAsia="黑体" w:cs="黑体"/>
          <w:b/>
          <w:bCs w:val="0"/>
          <w:sz w:val="15"/>
          <w:szCs w:val="15"/>
          <w:highlight w:val="none"/>
        </w:rPr>
        <w:t>表</w:t>
      </w:r>
      <w:r>
        <w:rPr>
          <w:rFonts w:hint="eastAsia" w:ascii="黑体" w:hAnsi="黑体" w:eastAsia="黑体" w:cs="黑体"/>
          <w:b/>
          <w:bCs w:val="0"/>
          <w:sz w:val="15"/>
          <w:szCs w:val="15"/>
          <w:highlight w:val="none"/>
          <w:lang w:val="en-US" w:eastAsia="zh-CN"/>
        </w:rPr>
        <w:t xml:space="preserve">2  </w:t>
      </w:r>
      <w:r>
        <w:rPr>
          <w:rFonts w:hint="eastAsia" w:ascii="黑体" w:hAnsi="黑体" w:eastAsia="黑体" w:cs="黑体"/>
          <w:b/>
          <w:bCs w:val="0"/>
          <w:sz w:val="15"/>
          <w:szCs w:val="15"/>
          <w:highlight w:val="none"/>
        </w:rPr>
        <w:t>描述性统计</w:t>
      </w:r>
    </w:p>
    <w:tbl>
      <w:tblPr>
        <w:tblStyle w:val="3"/>
        <w:tblW w:w="84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1217"/>
        <w:gridCol w:w="961"/>
        <w:gridCol w:w="1079"/>
        <w:gridCol w:w="1238"/>
        <w:gridCol w:w="1237"/>
        <w:gridCol w:w="1228"/>
      </w:tblGrid>
      <w:tr w14:paraId="3696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7" w:type="dxa"/>
            <w:tcBorders>
              <w:top w:val="single" w:color="auto" w:sz="12" w:space="0"/>
              <w:left w:val="nil"/>
              <w:bottom w:val="single" w:color="auto" w:sz="6" w:space="0"/>
              <w:right w:val="nil"/>
            </w:tcBorders>
            <w:shd w:val="clear" w:color="auto" w:fill="auto"/>
            <w:vAlign w:val="top"/>
          </w:tcPr>
          <w:p w14:paraId="548BB9E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zh-CN" w:bidi="ar-SA"/>
              </w:rPr>
            </w:pPr>
            <w:r>
              <w:rPr>
                <w:rFonts w:hint="eastAsia" w:ascii="Cambria Math" w:hAnsi="Cambria Math" w:eastAsia="宋体" w:cs="宋体"/>
                <w:i w:val="0"/>
                <w:iCs w:val="0"/>
                <w:sz w:val="15"/>
                <w:szCs w:val="15"/>
                <w:highlight w:val="none"/>
                <w:lang w:val="en-US" w:eastAsia="zh-CN"/>
              </w:rPr>
              <w:t>变量名称</w:t>
            </w:r>
          </w:p>
        </w:tc>
        <w:tc>
          <w:tcPr>
            <w:tcW w:w="1217" w:type="dxa"/>
            <w:tcBorders>
              <w:top w:val="single" w:color="auto" w:sz="12" w:space="0"/>
              <w:left w:val="nil"/>
              <w:bottom w:val="single" w:color="auto" w:sz="6" w:space="0"/>
              <w:right w:val="nil"/>
            </w:tcBorders>
            <w:vAlign w:val="top"/>
          </w:tcPr>
          <w:p w14:paraId="4A4DA8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rPr>
              <w:t>变量</w:t>
            </w:r>
            <w:r>
              <w:rPr>
                <w:rFonts w:hint="eastAsia" w:ascii="宋体" w:hAnsi="宋体" w:eastAsia="宋体" w:cs="宋体"/>
                <w:sz w:val="15"/>
                <w:szCs w:val="15"/>
                <w:highlight w:val="none"/>
                <w:lang w:val="en-US" w:eastAsia="zh-CN"/>
              </w:rPr>
              <w:t>符号</w:t>
            </w:r>
          </w:p>
        </w:tc>
        <w:tc>
          <w:tcPr>
            <w:tcW w:w="961" w:type="dxa"/>
            <w:tcBorders>
              <w:top w:val="single" w:color="auto" w:sz="12" w:space="0"/>
              <w:left w:val="nil"/>
              <w:bottom w:val="single" w:color="auto" w:sz="6" w:space="0"/>
              <w:right w:val="nil"/>
            </w:tcBorders>
            <w:vAlign w:val="top"/>
          </w:tcPr>
          <w:p w14:paraId="499E98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观测值</w:t>
            </w:r>
          </w:p>
        </w:tc>
        <w:tc>
          <w:tcPr>
            <w:tcW w:w="1079" w:type="dxa"/>
            <w:tcBorders>
              <w:top w:val="single" w:color="auto" w:sz="12" w:space="0"/>
              <w:left w:val="nil"/>
              <w:bottom w:val="single" w:color="auto" w:sz="6" w:space="0"/>
              <w:right w:val="nil"/>
            </w:tcBorders>
            <w:vAlign w:val="top"/>
          </w:tcPr>
          <w:p w14:paraId="4FA4D19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均值</w:t>
            </w:r>
          </w:p>
        </w:tc>
        <w:tc>
          <w:tcPr>
            <w:tcW w:w="1238" w:type="dxa"/>
            <w:tcBorders>
              <w:top w:val="single" w:color="auto" w:sz="12" w:space="0"/>
              <w:left w:val="nil"/>
              <w:bottom w:val="single" w:color="auto" w:sz="6" w:space="0"/>
              <w:right w:val="nil"/>
            </w:tcBorders>
            <w:vAlign w:val="top"/>
          </w:tcPr>
          <w:p w14:paraId="4BB18C6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最小值</w:t>
            </w:r>
          </w:p>
        </w:tc>
        <w:tc>
          <w:tcPr>
            <w:tcW w:w="1237" w:type="dxa"/>
            <w:tcBorders>
              <w:top w:val="single" w:color="auto" w:sz="12" w:space="0"/>
              <w:left w:val="nil"/>
              <w:bottom w:val="single" w:color="auto" w:sz="6" w:space="0"/>
              <w:right w:val="nil"/>
            </w:tcBorders>
            <w:vAlign w:val="top"/>
          </w:tcPr>
          <w:p w14:paraId="2ADB7F9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最大值</w:t>
            </w:r>
          </w:p>
        </w:tc>
        <w:tc>
          <w:tcPr>
            <w:tcW w:w="1228" w:type="dxa"/>
            <w:tcBorders>
              <w:top w:val="single" w:color="auto" w:sz="12" w:space="0"/>
              <w:left w:val="nil"/>
              <w:bottom w:val="single" w:color="auto" w:sz="6" w:space="0"/>
              <w:right w:val="nil"/>
            </w:tcBorders>
            <w:vAlign w:val="top"/>
          </w:tcPr>
          <w:p w14:paraId="0F706E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标准差</w:t>
            </w:r>
          </w:p>
        </w:tc>
      </w:tr>
      <w:tr w14:paraId="3010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7" w:type="dxa"/>
            <w:tcBorders>
              <w:top w:val="single" w:color="auto" w:sz="6" w:space="0"/>
              <w:left w:val="nil"/>
              <w:bottom w:val="nil"/>
              <w:right w:val="nil"/>
            </w:tcBorders>
            <w:shd w:val="clear" w:color="auto" w:fill="auto"/>
            <w:vAlign w:val="top"/>
          </w:tcPr>
          <w:p w14:paraId="1027F9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val="0"/>
                <w:iCs w:val="0"/>
                <w:sz w:val="15"/>
                <w:szCs w:val="15"/>
                <w:highlight w:val="none"/>
                <w:lang w:val="en-US" w:eastAsia="zh-CN" w:bidi="ar-SA"/>
                <w:oMath/>
              </w:rPr>
            </w:pPr>
            <w:r>
              <w:rPr>
                <w:rFonts w:hint="eastAsia" w:ascii="Cambria Math" w:hAnsi="Cambria Math" w:eastAsia="宋体" w:cs="宋体"/>
                <w:i w:val="0"/>
                <w:iCs w:val="0"/>
                <w:sz w:val="15"/>
                <w:szCs w:val="15"/>
                <w:highlight w:val="none"/>
                <w:lang w:val="en-US" w:eastAsia="zh-CN"/>
              </w:rPr>
              <w:t>区域创新生态</w:t>
            </w:r>
          </w:p>
        </w:tc>
        <w:tc>
          <w:tcPr>
            <w:tcW w:w="1217" w:type="dxa"/>
            <w:tcBorders>
              <w:top w:val="single" w:color="auto" w:sz="6" w:space="0"/>
              <w:left w:val="nil"/>
              <w:bottom w:val="nil"/>
              <w:right w:val="nil"/>
            </w:tcBorders>
            <w:vAlign w:val="top"/>
          </w:tcPr>
          <w:p w14:paraId="6FF3548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m:oMathPara>
              <m:oMath>
                <m:r>
                  <m:rPr>
                    <m:nor/>
                  </m:rPr>
                  <w:rPr>
                    <w:rFonts w:hint="default" w:ascii="Times New Roman" w:hAnsi="Times New Roman" w:eastAsia="宋体" w:cs="Times New Roman"/>
                    <w:i/>
                    <w:iCs/>
                    <w:sz w:val="15"/>
                    <w:szCs w:val="15"/>
                    <w:highlight w:val="none"/>
                  </w:rPr>
                  <m:t>Inn</m:t>
                </m:r>
              </m:oMath>
            </m:oMathPara>
          </w:p>
        </w:tc>
        <w:tc>
          <w:tcPr>
            <w:tcW w:w="961" w:type="dxa"/>
            <w:tcBorders>
              <w:top w:val="single" w:color="auto" w:sz="6" w:space="0"/>
              <w:left w:val="nil"/>
              <w:bottom w:val="nil"/>
              <w:right w:val="nil"/>
            </w:tcBorders>
            <w:vAlign w:val="top"/>
          </w:tcPr>
          <w:p w14:paraId="463663F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079" w:type="dxa"/>
            <w:tcBorders>
              <w:top w:val="single" w:color="auto" w:sz="6" w:space="0"/>
              <w:left w:val="nil"/>
              <w:bottom w:val="nil"/>
              <w:right w:val="nil"/>
            </w:tcBorders>
            <w:vAlign w:val="top"/>
          </w:tcPr>
          <w:p w14:paraId="5E02BB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0.117</w:t>
            </w:r>
            <w:r>
              <w:rPr>
                <w:rFonts w:hint="eastAsia" w:ascii="宋体" w:hAnsi="宋体" w:eastAsia="宋体" w:cs="宋体"/>
                <w:sz w:val="15"/>
                <w:szCs w:val="15"/>
                <w:highlight w:val="none"/>
                <w:lang w:val="en-US" w:eastAsia="zh-CN"/>
              </w:rPr>
              <w:t>4</w:t>
            </w:r>
          </w:p>
        </w:tc>
        <w:tc>
          <w:tcPr>
            <w:tcW w:w="1238" w:type="dxa"/>
            <w:tcBorders>
              <w:top w:val="single" w:color="auto" w:sz="6" w:space="0"/>
              <w:left w:val="nil"/>
              <w:bottom w:val="nil"/>
              <w:right w:val="nil"/>
            </w:tcBorders>
            <w:vAlign w:val="top"/>
          </w:tcPr>
          <w:p w14:paraId="6D4B1C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0.02</w:t>
            </w:r>
            <w:r>
              <w:rPr>
                <w:rFonts w:hint="eastAsia" w:ascii="宋体" w:hAnsi="宋体" w:eastAsia="宋体" w:cs="宋体"/>
                <w:sz w:val="15"/>
                <w:szCs w:val="15"/>
                <w:highlight w:val="none"/>
                <w:lang w:val="en-US" w:eastAsia="zh-CN"/>
              </w:rPr>
              <w:t>36</w:t>
            </w:r>
          </w:p>
        </w:tc>
        <w:tc>
          <w:tcPr>
            <w:tcW w:w="1237" w:type="dxa"/>
            <w:tcBorders>
              <w:top w:val="single" w:color="auto" w:sz="6" w:space="0"/>
              <w:left w:val="nil"/>
              <w:bottom w:val="nil"/>
              <w:right w:val="nil"/>
            </w:tcBorders>
            <w:vAlign w:val="top"/>
          </w:tcPr>
          <w:p w14:paraId="0AA7AFC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0.555</w:t>
            </w:r>
            <w:r>
              <w:rPr>
                <w:rFonts w:hint="eastAsia" w:ascii="宋体" w:hAnsi="宋体" w:eastAsia="宋体" w:cs="宋体"/>
                <w:sz w:val="15"/>
                <w:szCs w:val="15"/>
                <w:highlight w:val="none"/>
                <w:lang w:val="en-US" w:eastAsia="zh-CN"/>
              </w:rPr>
              <w:t>0</w:t>
            </w:r>
          </w:p>
        </w:tc>
        <w:tc>
          <w:tcPr>
            <w:tcW w:w="1228" w:type="dxa"/>
            <w:tcBorders>
              <w:top w:val="single" w:color="auto" w:sz="6" w:space="0"/>
              <w:left w:val="nil"/>
              <w:bottom w:val="nil"/>
              <w:right w:val="nil"/>
            </w:tcBorders>
            <w:vAlign w:val="top"/>
          </w:tcPr>
          <w:p w14:paraId="6E1BCDC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0.10</w:t>
            </w:r>
            <w:r>
              <w:rPr>
                <w:rFonts w:hint="eastAsia" w:ascii="宋体" w:hAnsi="宋体" w:eastAsia="宋体" w:cs="宋体"/>
                <w:sz w:val="15"/>
                <w:szCs w:val="15"/>
                <w:highlight w:val="none"/>
                <w:lang w:val="en-US" w:eastAsia="zh-CN"/>
              </w:rPr>
              <w:t>29</w:t>
            </w:r>
          </w:p>
        </w:tc>
      </w:tr>
      <w:tr w14:paraId="68228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7" w:type="dxa"/>
            <w:tcBorders>
              <w:top w:val="nil"/>
              <w:left w:val="nil"/>
              <w:bottom w:val="nil"/>
              <w:right w:val="nil"/>
            </w:tcBorders>
            <w:shd w:val="clear" w:color="auto" w:fill="auto"/>
            <w:vAlign w:val="top"/>
          </w:tcPr>
          <w:p w14:paraId="5F18C37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val="0"/>
                <w:iCs w:val="0"/>
                <w:sz w:val="15"/>
                <w:szCs w:val="15"/>
                <w:highlight w:val="none"/>
                <w:lang w:val="en-US" w:eastAsia="zh-CN" w:bidi="ar-SA"/>
                <w:oMath/>
              </w:rPr>
            </w:pPr>
            <w:r>
              <w:rPr>
                <w:rFonts w:hint="eastAsia" w:ascii="Cambria Math" w:hAnsi="Cambria Math" w:eastAsia="宋体" w:cs="宋体"/>
                <w:i w:val="0"/>
                <w:iCs w:val="0"/>
                <w:sz w:val="15"/>
                <w:szCs w:val="15"/>
                <w:highlight w:val="none"/>
                <w:lang w:val="en-US" w:eastAsia="zh-CN"/>
              </w:rPr>
              <w:t>耐心资本</w:t>
            </w:r>
          </w:p>
        </w:tc>
        <w:tc>
          <w:tcPr>
            <w:tcW w:w="1217" w:type="dxa"/>
            <w:tcBorders>
              <w:top w:val="nil"/>
              <w:left w:val="nil"/>
              <w:bottom w:val="nil"/>
              <w:right w:val="nil"/>
            </w:tcBorders>
            <w:vAlign w:val="top"/>
          </w:tcPr>
          <w:p w14:paraId="7AC5A47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zh-CN"/>
              </w:rPr>
            </w:pPr>
            <m:oMathPara>
              <m:oMath>
                <m:r>
                  <m:rPr>
                    <m:nor/>
                  </m:rPr>
                  <w:rPr>
                    <w:rFonts w:hint="default" w:ascii="Times New Roman" w:hAnsi="Times New Roman" w:eastAsia="宋体" w:cs="Times New Roman"/>
                    <w:i/>
                    <w:iCs/>
                    <w:sz w:val="15"/>
                    <w:szCs w:val="15"/>
                    <w:highlight w:val="none"/>
                    <w:lang w:val="en-US" w:eastAsia="zh-CN"/>
                  </w:rPr>
                  <m:t>D</m:t>
                </m:r>
                <m:r>
                  <m:rPr>
                    <m:nor/>
                  </m:rPr>
                  <w:rPr>
                    <w:rFonts w:hint="default" w:ascii="Times New Roman" w:hAnsi="Times New Roman" w:eastAsia="宋体" w:cs="Times New Roman"/>
                    <w:i/>
                    <w:iCs/>
                    <w:sz w:val="15"/>
                    <w:szCs w:val="15"/>
                    <w:highlight w:val="none"/>
                  </w:rPr>
                  <m:t>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m:oMathPara>
          </w:p>
        </w:tc>
        <w:tc>
          <w:tcPr>
            <w:tcW w:w="961" w:type="dxa"/>
            <w:tcBorders>
              <w:top w:val="nil"/>
              <w:left w:val="nil"/>
              <w:bottom w:val="nil"/>
              <w:right w:val="nil"/>
            </w:tcBorders>
            <w:vAlign w:val="top"/>
          </w:tcPr>
          <w:p w14:paraId="634C41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079" w:type="dxa"/>
            <w:tcBorders>
              <w:top w:val="nil"/>
              <w:left w:val="nil"/>
              <w:bottom w:val="nil"/>
              <w:right w:val="nil"/>
            </w:tcBorders>
            <w:vAlign w:val="top"/>
          </w:tcPr>
          <w:p w14:paraId="6BBD3A4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5.0865</w:t>
            </w:r>
          </w:p>
        </w:tc>
        <w:tc>
          <w:tcPr>
            <w:tcW w:w="1238" w:type="dxa"/>
            <w:tcBorders>
              <w:top w:val="nil"/>
              <w:left w:val="nil"/>
              <w:bottom w:val="nil"/>
              <w:right w:val="nil"/>
            </w:tcBorders>
            <w:vAlign w:val="top"/>
          </w:tcPr>
          <w:p w14:paraId="4F6512B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0.0000</w:t>
            </w:r>
          </w:p>
        </w:tc>
        <w:tc>
          <w:tcPr>
            <w:tcW w:w="1237" w:type="dxa"/>
            <w:tcBorders>
              <w:top w:val="nil"/>
              <w:left w:val="nil"/>
              <w:bottom w:val="nil"/>
              <w:right w:val="nil"/>
            </w:tcBorders>
            <w:vAlign w:val="top"/>
          </w:tcPr>
          <w:p w14:paraId="6518DD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11.3851</w:t>
            </w:r>
          </w:p>
        </w:tc>
        <w:tc>
          <w:tcPr>
            <w:tcW w:w="1228" w:type="dxa"/>
            <w:tcBorders>
              <w:top w:val="nil"/>
              <w:left w:val="nil"/>
              <w:bottom w:val="nil"/>
              <w:right w:val="nil"/>
            </w:tcBorders>
            <w:vAlign w:val="top"/>
          </w:tcPr>
          <w:p w14:paraId="36442A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3.8176</w:t>
            </w:r>
          </w:p>
        </w:tc>
      </w:tr>
      <w:tr w14:paraId="4E17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87" w:type="dxa"/>
            <w:tcBorders>
              <w:top w:val="nil"/>
              <w:left w:val="nil"/>
              <w:bottom w:val="nil"/>
              <w:right w:val="nil"/>
            </w:tcBorders>
            <w:shd w:val="clear" w:color="auto" w:fill="auto"/>
            <w:vAlign w:val="top"/>
          </w:tcPr>
          <w:p w14:paraId="1EF7B78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val="0"/>
                <w:iCs w:val="0"/>
                <w:sz w:val="15"/>
                <w:szCs w:val="15"/>
                <w:highlight w:val="none"/>
                <w:lang w:val="en-US" w:eastAsia="zh-CN" w:bidi="ar-SA"/>
                <w:oMath/>
              </w:rPr>
            </w:pPr>
            <w:r>
              <w:rPr>
                <w:rFonts w:hint="eastAsia" w:ascii="Cambria Math" w:hAnsi="Cambria Math" w:eastAsia="宋体" w:cs="宋体"/>
                <w:i w:val="0"/>
                <w:iCs w:val="0"/>
                <w:sz w:val="15"/>
                <w:szCs w:val="15"/>
                <w:highlight w:val="none"/>
                <w:lang w:val="en-US" w:eastAsia="zh-CN"/>
              </w:rPr>
              <w:t>对外开放水平</w:t>
            </w:r>
          </w:p>
        </w:tc>
        <w:tc>
          <w:tcPr>
            <w:tcW w:w="1217" w:type="dxa"/>
            <w:tcBorders>
              <w:top w:val="nil"/>
              <w:left w:val="nil"/>
              <w:bottom w:val="nil"/>
              <w:right w:val="nil"/>
            </w:tcBorders>
            <w:vAlign w:val="top"/>
          </w:tcPr>
          <w:p w14:paraId="180A3BD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O</m:t>
                </m:r>
                <m:r>
                  <m:rPr>
                    <m:nor/>
                  </m:rPr>
                  <w:rPr>
                    <w:rFonts w:hint="default" w:ascii="Times New Roman" w:hAnsi="Times New Roman" w:eastAsia="宋体" w:cs="Times New Roman"/>
                    <w:i/>
                    <w:iCs/>
                    <w:sz w:val="15"/>
                    <w:szCs w:val="15"/>
                    <w:highlight w:val="none"/>
                  </w:rPr>
                  <m:t>pen</m:t>
                </m:r>
              </m:oMath>
            </m:oMathPara>
          </w:p>
        </w:tc>
        <w:tc>
          <w:tcPr>
            <w:tcW w:w="961" w:type="dxa"/>
            <w:tcBorders>
              <w:top w:val="nil"/>
              <w:left w:val="nil"/>
              <w:bottom w:val="nil"/>
              <w:right w:val="nil"/>
            </w:tcBorders>
            <w:vAlign w:val="top"/>
          </w:tcPr>
          <w:p w14:paraId="44B0C9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079" w:type="dxa"/>
            <w:tcBorders>
              <w:top w:val="nil"/>
              <w:left w:val="nil"/>
              <w:bottom w:val="nil"/>
              <w:right w:val="nil"/>
            </w:tcBorders>
            <w:vAlign w:val="top"/>
          </w:tcPr>
          <w:p w14:paraId="308DF8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0.31</w:t>
            </w:r>
            <w:r>
              <w:rPr>
                <w:rFonts w:hint="eastAsia" w:ascii="宋体" w:hAnsi="宋体" w:eastAsia="宋体" w:cs="宋体"/>
                <w:sz w:val="15"/>
                <w:szCs w:val="15"/>
                <w:highlight w:val="none"/>
                <w:lang w:val="en-US" w:eastAsia="zh-CN"/>
              </w:rPr>
              <w:t>36</w:t>
            </w:r>
          </w:p>
        </w:tc>
        <w:tc>
          <w:tcPr>
            <w:tcW w:w="1238" w:type="dxa"/>
            <w:tcBorders>
              <w:top w:val="nil"/>
              <w:left w:val="nil"/>
              <w:bottom w:val="nil"/>
              <w:right w:val="nil"/>
            </w:tcBorders>
            <w:vAlign w:val="top"/>
          </w:tcPr>
          <w:p w14:paraId="300D698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0.01</w:t>
            </w:r>
            <w:r>
              <w:rPr>
                <w:rFonts w:hint="eastAsia" w:ascii="宋体" w:hAnsi="宋体" w:eastAsia="宋体" w:cs="宋体"/>
                <w:sz w:val="15"/>
                <w:szCs w:val="15"/>
                <w:highlight w:val="none"/>
                <w:lang w:val="en-US" w:eastAsia="zh-CN"/>
              </w:rPr>
              <w:t>87</w:t>
            </w:r>
          </w:p>
        </w:tc>
        <w:tc>
          <w:tcPr>
            <w:tcW w:w="1237" w:type="dxa"/>
            <w:tcBorders>
              <w:top w:val="nil"/>
              <w:left w:val="nil"/>
              <w:bottom w:val="nil"/>
              <w:right w:val="nil"/>
            </w:tcBorders>
            <w:vAlign w:val="top"/>
          </w:tcPr>
          <w:p w14:paraId="6A8BE28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1.48</w:t>
            </w:r>
            <w:r>
              <w:rPr>
                <w:rFonts w:hint="eastAsia" w:ascii="宋体" w:hAnsi="宋体" w:eastAsia="宋体" w:cs="宋体"/>
                <w:sz w:val="15"/>
                <w:szCs w:val="15"/>
                <w:highlight w:val="none"/>
                <w:lang w:val="en-US" w:eastAsia="zh-CN"/>
              </w:rPr>
              <w:t>17</w:t>
            </w:r>
          </w:p>
        </w:tc>
        <w:tc>
          <w:tcPr>
            <w:tcW w:w="1228" w:type="dxa"/>
            <w:tcBorders>
              <w:top w:val="nil"/>
              <w:left w:val="nil"/>
              <w:bottom w:val="nil"/>
              <w:right w:val="nil"/>
            </w:tcBorders>
            <w:vAlign w:val="top"/>
          </w:tcPr>
          <w:p w14:paraId="3A68CE3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0.31</w:t>
            </w:r>
            <w:r>
              <w:rPr>
                <w:rFonts w:hint="eastAsia" w:ascii="宋体" w:hAnsi="宋体" w:eastAsia="宋体" w:cs="宋体"/>
                <w:sz w:val="15"/>
                <w:szCs w:val="15"/>
                <w:highlight w:val="none"/>
                <w:lang w:val="en-US" w:eastAsia="zh-CN"/>
              </w:rPr>
              <w:t>87</w:t>
            </w:r>
          </w:p>
        </w:tc>
      </w:tr>
      <w:tr w14:paraId="04FD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87" w:type="dxa"/>
            <w:tcBorders>
              <w:top w:val="nil"/>
              <w:left w:val="nil"/>
              <w:bottom w:val="nil"/>
              <w:right w:val="nil"/>
            </w:tcBorders>
            <w:shd w:val="clear" w:color="auto" w:fill="auto"/>
            <w:vAlign w:val="top"/>
          </w:tcPr>
          <w:p w14:paraId="46CF402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val="0"/>
                <w:iCs w:val="0"/>
                <w:sz w:val="15"/>
                <w:szCs w:val="15"/>
                <w:highlight w:val="none"/>
                <w:lang w:val="en-US" w:eastAsia="zh-CN" w:bidi="ar-SA"/>
                <w:oMath/>
              </w:rPr>
            </w:pPr>
            <w:r>
              <w:rPr>
                <w:rFonts w:hint="eastAsia" w:ascii="Cambria Math" w:hAnsi="Cambria Math" w:eastAsia="宋体" w:cs="宋体"/>
                <w:i w:val="0"/>
                <w:iCs w:val="0"/>
                <w:sz w:val="15"/>
                <w:szCs w:val="15"/>
                <w:highlight w:val="none"/>
                <w:lang w:val="en-US" w:eastAsia="zh-CN"/>
              </w:rPr>
              <w:t>人口自然增长率</w:t>
            </w:r>
          </w:p>
        </w:tc>
        <w:tc>
          <w:tcPr>
            <w:tcW w:w="1217" w:type="dxa"/>
            <w:tcBorders>
              <w:top w:val="nil"/>
              <w:left w:val="nil"/>
              <w:bottom w:val="nil"/>
              <w:right w:val="nil"/>
            </w:tcBorders>
            <w:vAlign w:val="top"/>
          </w:tcPr>
          <w:p w14:paraId="4F193A6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G</m:t>
                </m:r>
                <m:r>
                  <m:rPr>
                    <m:nor/>
                  </m:rPr>
                  <w:rPr>
                    <w:rFonts w:hint="default" w:ascii="Times New Roman" w:hAnsi="Times New Roman" w:eastAsia="宋体" w:cs="Times New Roman"/>
                    <w:i/>
                    <w:iCs/>
                    <w:sz w:val="15"/>
                    <w:szCs w:val="15"/>
                    <w:highlight w:val="none"/>
                  </w:rPr>
                  <m:t>rowth</m:t>
                </m:r>
              </m:oMath>
            </m:oMathPara>
          </w:p>
        </w:tc>
        <w:tc>
          <w:tcPr>
            <w:tcW w:w="961" w:type="dxa"/>
            <w:tcBorders>
              <w:top w:val="nil"/>
              <w:left w:val="nil"/>
              <w:bottom w:val="nil"/>
              <w:right w:val="nil"/>
            </w:tcBorders>
            <w:vAlign w:val="top"/>
          </w:tcPr>
          <w:p w14:paraId="457F427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079" w:type="dxa"/>
            <w:tcBorders>
              <w:top w:val="nil"/>
              <w:left w:val="nil"/>
              <w:bottom w:val="nil"/>
              <w:right w:val="nil"/>
            </w:tcBorders>
            <w:vAlign w:val="top"/>
          </w:tcPr>
          <w:p w14:paraId="2932789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0.029</w:t>
            </w:r>
            <w:r>
              <w:rPr>
                <w:rFonts w:hint="eastAsia" w:ascii="宋体" w:hAnsi="宋体" w:eastAsia="宋体" w:cs="宋体"/>
                <w:sz w:val="15"/>
                <w:szCs w:val="15"/>
                <w:highlight w:val="none"/>
                <w:lang w:val="en-US" w:eastAsia="zh-CN"/>
              </w:rPr>
              <w:t>2</w:t>
            </w:r>
          </w:p>
        </w:tc>
        <w:tc>
          <w:tcPr>
            <w:tcW w:w="1238" w:type="dxa"/>
            <w:tcBorders>
              <w:top w:val="nil"/>
              <w:left w:val="nil"/>
              <w:bottom w:val="nil"/>
              <w:right w:val="nil"/>
            </w:tcBorders>
            <w:vAlign w:val="top"/>
          </w:tcPr>
          <w:p w14:paraId="331586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-0.055</w:t>
            </w:r>
            <w:r>
              <w:rPr>
                <w:rFonts w:hint="eastAsia" w:ascii="宋体" w:hAnsi="宋体" w:eastAsia="宋体" w:cs="宋体"/>
                <w:sz w:val="15"/>
                <w:szCs w:val="15"/>
                <w:highlight w:val="none"/>
                <w:lang w:val="en-US" w:eastAsia="zh-CN"/>
              </w:rPr>
              <w:t>0</w:t>
            </w:r>
          </w:p>
        </w:tc>
        <w:tc>
          <w:tcPr>
            <w:tcW w:w="1237" w:type="dxa"/>
            <w:tcBorders>
              <w:top w:val="nil"/>
              <w:left w:val="nil"/>
              <w:bottom w:val="nil"/>
              <w:right w:val="nil"/>
            </w:tcBorders>
            <w:vAlign w:val="top"/>
          </w:tcPr>
          <w:p w14:paraId="2AB1570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0.178</w:t>
            </w:r>
            <w:r>
              <w:rPr>
                <w:rFonts w:hint="eastAsia" w:ascii="宋体" w:hAnsi="宋体" w:eastAsia="宋体" w:cs="宋体"/>
                <w:sz w:val="15"/>
                <w:szCs w:val="15"/>
                <w:highlight w:val="none"/>
                <w:lang w:val="en-US" w:eastAsia="zh-CN"/>
              </w:rPr>
              <w:t>0</w:t>
            </w:r>
          </w:p>
        </w:tc>
        <w:tc>
          <w:tcPr>
            <w:tcW w:w="1228" w:type="dxa"/>
            <w:tcBorders>
              <w:top w:val="nil"/>
              <w:left w:val="nil"/>
              <w:bottom w:val="nil"/>
              <w:right w:val="nil"/>
            </w:tcBorders>
            <w:vAlign w:val="top"/>
          </w:tcPr>
          <w:p w14:paraId="0C74DE5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0.046</w:t>
            </w:r>
            <w:r>
              <w:rPr>
                <w:rFonts w:hint="eastAsia" w:ascii="宋体" w:hAnsi="宋体" w:eastAsia="宋体" w:cs="宋体"/>
                <w:sz w:val="15"/>
                <w:szCs w:val="15"/>
                <w:highlight w:val="none"/>
                <w:lang w:val="en-US" w:eastAsia="zh-CN"/>
              </w:rPr>
              <w:t>0</w:t>
            </w:r>
          </w:p>
        </w:tc>
      </w:tr>
      <w:tr w14:paraId="56D3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7" w:type="dxa"/>
            <w:tcBorders>
              <w:top w:val="nil"/>
              <w:left w:val="nil"/>
              <w:bottom w:val="nil"/>
              <w:right w:val="nil"/>
            </w:tcBorders>
            <w:shd w:val="clear" w:color="auto" w:fill="auto"/>
            <w:vAlign w:val="top"/>
          </w:tcPr>
          <w:p w14:paraId="7B6D26B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val="0"/>
                <w:iCs w:val="0"/>
                <w:sz w:val="15"/>
                <w:szCs w:val="15"/>
                <w:highlight w:val="none"/>
                <w:lang w:val="en-US" w:eastAsia="zh-CN" w:bidi="ar-SA"/>
                <w:oMath/>
              </w:rPr>
            </w:pPr>
            <w:r>
              <w:rPr>
                <w:rFonts w:hint="eastAsia" w:ascii="Cambria Math" w:hAnsi="Cambria Math" w:eastAsia="宋体" w:cs="宋体"/>
                <w:i w:val="0"/>
                <w:iCs w:val="0"/>
                <w:sz w:val="15"/>
                <w:szCs w:val="15"/>
                <w:highlight w:val="none"/>
                <w:lang w:val="en-US" w:eastAsia="zh-CN"/>
              </w:rPr>
              <w:t>城镇登记失业率</w:t>
            </w:r>
          </w:p>
        </w:tc>
        <w:tc>
          <w:tcPr>
            <w:tcW w:w="1217" w:type="dxa"/>
            <w:tcBorders>
              <w:top w:val="nil"/>
              <w:left w:val="nil"/>
              <w:bottom w:val="nil"/>
              <w:right w:val="nil"/>
            </w:tcBorders>
            <w:vAlign w:val="top"/>
          </w:tcPr>
          <w:p w14:paraId="72100FE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U</m:t>
                </m:r>
                <m:r>
                  <m:rPr>
                    <m:nor/>
                  </m:rPr>
                  <w:rPr>
                    <w:rFonts w:hint="default" w:ascii="Times New Roman" w:hAnsi="Times New Roman" w:eastAsia="宋体" w:cs="Times New Roman"/>
                    <w:i/>
                    <w:iCs/>
                    <w:sz w:val="15"/>
                    <w:szCs w:val="15"/>
                    <w:highlight w:val="none"/>
                  </w:rPr>
                  <m:t>nemp</m:t>
                </m:r>
              </m:oMath>
            </m:oMathPara>
          </w:p>
        </w:tc>
        <w:tc>
          <w:tcPr>
            <w:tcW w:w="961" w:type="dxa"/>
            <w:tcBorders>
              <w:top w:val="nil"/>
              <w:left w:val="nil"/>
              <w:bottom w:val="nil"/>
              <w:right w:val="nil"/>
            </w:tcBorders>
            <w:vAlign w:val="top"/>
          </w:tcPr>
          <w:p w14:paraId="62B431F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079" w:type="dxa"/>
            <w:tcBorders>
              <w:top w:val="nil"/>
              <w:left w:val="nil"/>
              <w:bottom w:val="nil"/>
              <w:right w:val="nil"/>
            </w:tcBorders>
            <w:vAlign w:val="top"/>
          </w:tcPr>
          <w:p w14:paraId="6264497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0.040</w:t>
            </w:r>
            <w:r>
              <w:rPr>
                <w:rFonts w:hint="eastAsia" w:ascii="宋体" w:hAnsi="宋体" w:eastAsia="宋体" w:cs="宋体"/>
                <w:sz w:val="15"/>
                <w:szCs w:val="15"/>
                <w:highlight w:val="none"/>
                <w:lang w:val="en-US" w:eastAsia="zh-CN"/>
              </w:rPr>
              <w:t>4</w:t>
            </w:r>
          </w:p>
        </w:tc>
        <w:tc>
          <w:tcPr>
            <w:tcW w:w="1238" w:type="dxa"/>
            <w:tcBorders>
              <w:top w:val="nil"/>
              <w:left w:val="nil"/>
              <w:bottom w:val="nil"/>
              <w:right w:val="nil"/>
            </w:tcBorders>
            <w:vAlign w:val="top"/>
          </w:tcPr>
          <w:p w14:paraId="78CD01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0.00</w:t>
            </w:r>
            <w:r>
              <w:rPr>
                <w:rFonts w:hint="eastAsia" w:ascii="宋体" w:hAnsi="宋体" w:eastAsia="宋体" w:cs="宋体"/>
                <w:sz w:val="15"/>
                <w:szCs w:val="15"/>
                <w:highlight w:val="none"/>
                <w:lang w:val="en-US" w:eastAsia="zh-CN"/>
              </w:rPr>
              <w:t>57</w:t>
            </w:r>
          </w:p>
        </w:tc>
        <w:tc>
          <w:tcPr>
            <w:tcW w:w="1237" w:type="dxa"/>
            <w:tcBorders>
              <w:top w:val="nil"/>
              <w:left w:val="nil"/>
              <w:bottom w:val="nil"/>
              <w:right w:val="nil"/>
            </w:tcBorders>
            <w:vAlign w:val="top"/>
          </w:tcPr>
          <w:p w14:paraId="0E6AD97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0.113</w:t>
            </w:r>
            <w:r>
              <w:rPr>
                <w:rFonts w:hint="eastAsia" w:ascii="宋体" w:hAnsi="宋体" w:eastAsia="宋体" w:cs="宋体"/>
                <w:sz w:val="15"/>
                <w:szCs w:val="15"/>
                <w:highlight w:val="none"/>
                <w:lang w:val="en-US" w:eastAsia="zh-CN"/>
              </w:rPr>
              <w:t>3</w:t>
            </w:r>
          </w:p>
        </w:tc>
        <w:tc>
          <w:tcPr>
            <w:tcW w:w="1228" w:type="dxa"/>
            <w:tcBorders>
              <w:top w:val="nil"/>
              <w:left w:val="nil"/>
              <w:bottom w:val="nil"/>
              <w:right w:val="nil"/>
            </w:tcBorders>
            <w:vAlign w:val="top"/>
          </w:tcPr>
          <w:p w14:paraId="51AD084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0.021</w:t>
            </w:r>
            <w:r>
              <w:rPr>
                <w:rFonts w:hint="eastAsia" w:ascii="宋体" w:hAnsi="宋体" w:eastAsia="宋体" w:cs="宋体"/>
                <w:sz w:val="15"/>
                <w:szCs w:val="15"/>
                <w:highlight w:val="none"/>
                <w:lang w:val="en-US" w:eastAsia="zh-CN"/>
              </w:rPr>
              <w:t>0</w:t>
            </w:r>
          </w:p>
        </w:tc>
      </w:tr>
      <w:tr w14:paraId="3F71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7" w:type="dxa"/>
            <w:tcBorders>
              <w:top w:val="nil"/>
              <w:left w:val="nil"/>
              <w:bottom w:val="nil"/>
              <w:right w:val="nil"/>
            </w:tcBorders>
            <w:shd w:val="clear" w:color="auto" w:fill="auto"/>
            <w:vAlign w:val="top"/>
          </w:tcPr>
          <w:p w14:paraId="10178C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val="0"/>
                <w:iCs w:val="0"/>
                <w:sz w:val="15"/>
                <w:szCs w:val="15"/>
                <w:highlight w:val="none"/>
                <w:lang w:val="en-US" w:eastAsia="zh-CN" w:bidi="ar-SA"/>
                <w:oMath/>
              </w:rPr>
            </w:pPr>
            <w:r>
              <w:rPr>
                <w:rFonts w:hint="eastAsia" w:ascii="Cambria Math" w:hAnsi="Cambria Math" w:eastAsia="宋体" w:cs="宋体"/>
                <w:i w:val="0"/>
                <w:iCs w:val="0"/>
                <w:sz w:val="15"/>
                <w:szCs w:val="15"/>
                <w:highlight w:val="none"/>
                <w:lang w:val="en-US" w:eastAsia="zh-CN"/>
              </w:rPr>
              <w:t>城镇化率</w:t>
            </w:r>
          </w:p>
        </w:tc>
        <w:tc>
          <w:tcPr>
            <w:tcW w:w="1217" w:type="dxa"/>
            <w:tcBorders>
              <w:top w:val="nil"/>
              <w:left w:val="nil"/>
              <w:bottom w:val="nil"/>
              <w:right w:val="nil"/>
            </w:tcBorders>
            <w:vAlign w:val="top"/>
          </w:tcPr>
          <w:p w14:paraId="20BDC6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U</m:t>
                </m:r>
                <m:r>
                  <m:rPr>
                    <m:nor/>
                  </m:rPr>
                  <w:rPr>
                    <w:rFonts w:hint="default" w:ascii="Times New Roman" w:hAnsi="Times New Roman" w:eastAsia="宋体" w:cs="Times New Roman"/>
                    <w:i/>
                    <w:iCs/>
                    <w:sz w:val="15"/>
                    <w:szCs w:val="15"/>
                    <w:highlight w:val="none"/>
                  </w:rPr>
                  <m:t>rban</m:t>
                </m:r>
              </m:oMath>
            </m:oMathPara>
          </w:p>
        </w:tc>
        <w:tc>
          <w:tcPr>
            <w:tcW w:w="961" w:type="dxa"/>
            <w:tcBorders>
              <w:top w:val="nil"/>
              <w:left w:val="nil"/>
              <w:bottom w:val="nil"/>
              <w:right w:val="nil"/>
            </w:tcBorders>
            <w:vAlign w:val="top"/>
          </w:tcPr>
          <w:p w14:paraId="2ABBFE3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079" w:type="dxa"/>
            <w:tcBorders>
              <w:top w:val="nil"/>
              <w:left w:val="nil"/>
              <w:bottom w:val="nil"/>
              <w:right w:val="nil"/>
            </w:tcBorders>
            <w:vAlign w:val="top"/>
          </w:tcPr>
          <w:p w14:paraId="463FE8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0.62</w:t>
            </w:r>
            <w:r>
              <w:rPr>
                <w:rFonts w:hint="eastAsia" w:ascii="宋体" w:hAnsi="宋体" w:eastAsia="宋体" w:cs="宋体"/>
                <w:sz w:val="15"/>
                <w:szCs w:val="15"/>
                <w:highlight w:val="none"/>
                <w:lang w:val="en-US" w:eastAsia="zh-CN"/>
              </w:rPr>
              <w:t>68</w:t>
            </w:r>
          </w:p>
        </w:tc>
        <w:tc>
          <w:tcPr>
            <w:tcW w:w="1238" w:type="dxa"/>
            <w:tcBorders>
              <w:top w:val="nil"/>
              <w:left w:val="nil"/>
              <w:bottom w:val="nil"/>
              <w:right w:val="nil"/>
            </w:tcBorders>
            <w:vAlign w:val="top"/>
          </w:tcPr>
          <w:p w14:paraId="66EAFE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0.333</w:t>
            </w:r>
            <w:r>
              <w:rPr>
                <w:rFonts w:hint="eastAsia" w:ascii="宋体" w:hAnsi="宋体" w:eastAsia="宋体" w:cs="宋体"/>
                <w:sz w:val="15"/>
                <w:szCs w:val="15"/>
                <w:highlight w:val="none"/>
                <w:lang w:val="en-US" w:eastAsia="zh-CN"/>
              </w:rPr>
              <w:t>0</w:t>
            </w:r>
          </w:p>
        </w:tc>
        <w:tc>
          <w:tcPr>
            <w:tcW w:w="1237" w:type="dxa"/>
            <w:tcBorders>
              <w:top w:val="nil"/>
              <w:left w:val="nil"/>
              <w:bottom w:val="nil"/>
              <w:right w:val="nil"/>
            </w:tcBorders>
            <w:vAlign w:val="top"/>
          </w:tcPr>
          <w:p w14:paraId="02C6784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0.893</w:t>
            </w:r>
            <w:r>
              <w:rPr>
                <w:rFonts w:hint="eastAsia" w:ascii="宋体" w:hAnsi="宋体" w:eastAsia="宋体" w:cs="宋体"/>
                <w:sz w:val="15"/>
                <w:szCs w:val="15"/>
                <w:highlight w:val="none"/>
                <w:lang w:val="en-US" w:eastAsia="zh-CN"/>
              </w:rPr>
              <w:t>0</w:t>
            </w:r>
          </w:p>
        </w:tc>
        <w:tc>
          <w:tcPr>
            <w:tcW w:w="1228" w:type="dxa"/>
            <w:tcBorders>
              <w:top w:val="nil"/>
              <w:left w:val="nil"/>
              <w:bottom w:val="nil"/>
              <w:right w:val="nil"/>
            </w:tcBorders>
            <w:vAlign w:val="top"/>
          </w:tcPr>
          <w:p w14:paraId="0B831CD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0.122</w:t>
            </w:r>
            <w:r>
              <w:rPr>
                <w:rFonts w:hint="eastAsia" w:ascii="宋体" w:hAnsi="宋体" w:eastAsia="宋体" w:cs="宋体"/>
                <w:sz w:val="15"/>
                <w:szCs w:val="15"/>
                <w:highlight w:val="none"/>
                <w:lang w:val="en-US" w:eastAsia="zh-CN"/>
              </w:rPr>
              <w:t>4</w:t>
            </w:r>
          </w:p>
        </w:tc>
      </w:tr>
      <w:tr w14:paraId="6B2F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7" w:type="dxa"/>
            <w:tcBorders>
              <w:top w:val="nil"/>
              <w:left w:val="nil"/>
              <w:bottom w:val="single" w:color="auto" w:sz="12" w:space="0"/>
              <w:right w:val="nil"/>
            </w:tcBorders>
            <w:shd w:val="clear" w:color="auto" w:fill="auto"/>
            <w:vAlign w:val="top"/>
          </w:tcPr>
          <w:p w14:paraId="538059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val="0"/>
                <w:iCs w:val="0"/>
                <w:sz w:val="15"/>
                <w:szCs w:val="15"/>
                <w:highlight w:val="none"/>
                <w:lang w:val="en-US" w:eastAsia="zh-CN" w:bidi="ar-SA"/>
                <w:oMath/>
              </w:rPr>
            </w:pPr>
            <w:r>
              <w:rPr>
                <w:rFonts w:hint="eastAsia" w:ascii="Cambria Math" w:hAnsi="Cambria Math" w:eastAsia="宋体" w:cs="宋体"/>
                <w:i w:val="0"/>
                <w:iCs w:val="0"/>
                <w:sz w:val="15"/>
                <w:szCs w:val="15"/>
                <w:highlight w:val="none"/>
                <w:lang w:val="en-US" w:eastAsia="zh-CN"/>
              </w:rPr>
              <w:t>产业结构</w:t>
            </w:r>
          </w:p>
        </w:tc>
        <w:tc>
          <w:tcPr>
            <w:tcW w:w="1217" w:type="dxa"/>
            <w:tcBorders>
              <w:top w:val="nil"/>
              <w:left w:val="nil"/>
              <w:bottom w:val="single" w:color="auto" w:sz="12" w:space="0"/>
              <w:right w:val="nil"/>
            </w:tcBorders>
            <w:vAlign w:val="top"/>
          </w:tcPr>
          <w:p w14:paraId="3E1CC6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T</m:t>
                </m:r>
                <m:r>
                  <m:rPr>
                    <m:nor/>
                  </m:rPr>
                  <w:rPr>
                    <w:rFonts w:hint="default" w:ascii="Times New Roman" w:hAnsi="Times New Roman" w:eastAsia="宋体" w:cs="Times New Roman"/>
                    <w:i/>
                    <w:iCs/>
                    <w:sz w:val="15"/>
                    <w:szCs w:val="15"/>
                    <w:highlight w:val="none"/>
                  </w:rPr>
                  <m:t>ert</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share</m:t>
                </m:r>
              </m:oMath>
            </m:oMathPara>
          </w:p>
        </w:tc>
        <w:tc>
          <w:tcPr>
            <w:tcW w:w="961" w:type="dxa"/>
            <w:tcBorders>
              <w:top w:val="nil"/>
              <w:left w:val="nil"/>
              <w:bottom w:val="single" w:color="auto" w:sz="12" w:space="0"/>
              <w:right w:val="nil"/>
            </w:tcBorders>
            <w:vAlign w:val="top"/>
          </w:tcPr>
          <w:p w14:paraId="2797996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079" w:type="dxa"/>
            <w:tcBorders>
              <w:top w:val="nil"/>
              <w:left w:val="nil"/>
              <w:bottom w:val="single" w:color="auto" w:sz="12" w:space="0"/>
              <w:right w:val="nil"/>
            </w:tcBorders>
            <w:vAlign w:val="top"/>
          </w:tcPr>
          <w:p w14:paraId="196A86A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0.47</w:t>
            </w:r>
            <w:r>
              <w:rPr>
                <w:rFonts w:hint="eastAsia" w:ascii="宋体" w:hAnsi="宋体" w:eastAsia="宋体" w:cs="宋体"/>
                <w:sz w:val="15"/>
                <w:szCs w:val="15"/>
                <w:highlight w:val="none"/>
                <w:lang w:val="en-US" w:eastAsia="zh-CN"/>
              </w:rPr>
              <w:t>45</w:t>
            </w:r>
          </w:p>
        </w:tc>
        <w:tc>
          <w:tcPr>
            <w:tcW w:w="1238" w:type="dxa"/>
            <w:tcBorders>
              <w:top w:val="nil"/>
              <w:left w:val="nil"/>
              <w:bottom w:val="single" w:color="auto" w:sz="12" w:space="0"/>
              <w:right w:val="nil"/>
            </w:tcBorders>
            <w:vAlign w:val="top"/>
          </w:tcPr>
          <w:p w14:paraId="03BAA43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0.3</w:t>
            </w:r>
            <w:r>
              <w:rPr>
                <w:rFonts w:hint="eastAsia" w:ascii="宋体" w:hAnsi="宋体" w:eastAsia="宋体" w:cs="宋体"/>
                <w:sz w:val="15"/>
                <w:szCs w:val="15"/>
                <w:highlight w:val="none"/>
                <w:lang w:val="en-US" w:eastAsia="zh-CN"/>
              </w:rPr>
              <w:t>199</w:t>
            </w:r>
          </w:p>
        </w:tc>
        <w:tc>
          <w:tcPr>
            <w:tcW w:w="1237" w:type="dxa"/>
            <w:tcBorders>
              <w:top w:val="nil"/>
              <w:left w:val="nil"/>
              <w:bottom w:val="single" w:color="auto" w:sz="12" w:space="0"/>
              <w:right w:val="nil"/>
            </w:tcBorders>
            <w:vAlign w:val="top"/>
          </w:tcPr>
          <w:p w14:paraId="380108F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0.72</w:t>
            </w:r>
            <w:r>
              <w:rPr>
                <w:rFonts w:hint="eastAsia" w:ascii="宋体" w:hAnsi="宋体" w:eastAsia="宋体" w:cs="宋体"/>
                <w:sz w:val="15"/>
                <w:szCs w:val="15"/>
                <w:highlight w:val="none"/>
                <w:lang w:val="en-US" w:eastAsia="zh-CN"/>
              </w:rPr>
              <w:t>88</w:t>
            </w:r>
          </w:p>
        </w:tc>
        <w:tc>
          <w:tcPr>
            <w:tcW w:w="1228" w:type="dxa"/>
            <w:tcBorders>
              <w:top w:val="nil"/>
              <w:left w:val="nil"/>
              <w:bottom w:val="single" w:color="auto" w:sz="12" w:space="0"/>
              <w:right w:val="nil"/>
            </w:tcBorders>
            <w:vAlign w:val="top"/>
          </w:tcPr>
          <w:p w14:paraId="46BF466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0.07</w:t>
            </w:r>
            <w:r>
              <w:rPr>
                <w:rFonts w:hint="eastAsia" w:ascii="宋体" w:hAnsi="宋体" w:eastAsia="宋体" w:cs="宋体"/>
                <w:sz w:val="15"/>
                <w:szCs w:val="15"/>
                <w:highlight w:val="none"/>
                <w:lang w:val="en-US" w:eastAsia="zh-CN"/>
              </w:rPr>
              <w:t>35</w:t>
            </w:r>
          </w:p>
        </w:tc>
      </w:tr>
    </w:tbl>
    <w:p w14:paraId="7597E54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楷体" w:hAnsi="楷体" w:eastAsia="楷体" w:cs="楷体"/>
          <w:sz w:val="28"/>
          <w:szCs w:val="28"/>
          <w:highlight w:val="none"/>
        </w:rPr>
      </w:pPr>
      <w:r>
        <w:rPr>
          <w:rFonts w:hint="eastAsia" w:ascii="楷体" w:hAnsi="楷体" w:eastAsia="楷体" w:cs="楷体"/>
          <w:sz w:val="28"/>
          <w:szCs w:val="28"/>
          <w:highlight w:val="none"/>
          <w:lang w:val="en-US" w:eastAsia="zh-CN"/>
        </w:rPr>
        <w:t>四、</w:t>
      </w:r>
      <w:r>
        <w:rPr>
          <w:rFonts w:hint="eastAsia" w:ascii="楷体" w:hAnsi="楷体" w:eastAsia="楷体" w:cs="楷体"/>
          <w:sz w:val="28"/>
          <w:szCs w:val="28"/>
          <w:highlight w:val="none"/>
        </w:rPr>
        <w:t>实证结果</w:t>
      </w:r>
    </w:p>
    <w:p w14:paraId="79D0C891">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（一）基准回归结果</w:t>
      </w:r>
    </w:p>
    <w:p w14:paraId="11EF4B7B">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表3报告了逐步加入控制变量的基准回归结果。所有回归均控制了城市固定效应和时间固定效应。</w:t>
      </w:r>
    </w:p>
    <w:p w14:paraId="4A4DED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b/>
          <w:bCs w:val="0"/>
          <w:sz w:val="15"/>
          <w:szCs w:val="15"/>
          <w:highlight w:val="none"/>
        </w:rPr>
      </w:pPr>
      <w:r>
        <w:rPr>
          <w:rFonts w:hint="eastAsia" w:ascii="黑体" w:hAnsi="黑体" w:eastAsia="黑体" w:cs="黑体"/>
          <w:b/>
          <w:bCs w:val="0"/>
          <w:sz w:val="15"/>
          <w:szCs w:val="15"/>
          <w:highlight w:val="none"/>
        </w:rPr>
        <w:t>表</w:t>
      </w:r>
      <w:r>
        <w:rPr>
          <w:rFonts w:hint="eastAsia" w:ascii="黑体" w:hAnsi="黑体" w:eastAsia="黑体" w:cs="黑体"/>
          <w:b/>
          <w:bCs w:val="0"/>
          <w:sz w:val="15"/>
          <w:szCs w:val="15"/>
          <w:highlight w:val="none"/>
          <w:lang w:val="en-US" w:eastAsia="zh-CN"/>
        </w:rPr>
        <w:t xml:space="preserve">3  </w:t>
      </w:r>
      <w:r>
        <w:rPr>
          <w:rFonts w:hint="eastAsia" w:ascii="黑体" w:hAnsi="黑体" w:eastAsia="黑体" w:cs="黑体"/>
          <w:b/>
          <w:bCs w:val="0"/>
          <w:sz w:val="15"/>
          <w:szCs w:val="15"/>
          <w:highlight w:val="none"/>
        </w:rPr>
        <w:t>基准回归检验结果</w:t>
      </w:r>
    </w:p>
    <w:tbl>
      <w:tblPr>
        <w:tblStyle w:val="3"/>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1198"/>
        <w:gridCol w:w="1228"/>
        <w:gridCol w:w="1217"/>
        <w:gridCol w:w="1337"/>
        <w:gridCol w:w="1168"/>
        <w:gridCol w:w="1373"/>
      </w:tblGrid>
      <w:tr w14:paraId="4183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1117" w:type="dxa"/>
            <w:tcBorders>
              <w:top w:val="single" w:color="auto" w:sz="12" w:space="0"/>
              <w:left w:val="nil"/>
              <w:bottom w:val="single" w:color="auto" w:sz="6" w:space="0"/>
              <w:right w:val="nil"/>
            </w:tcBorders>
            <w:vAlign w:val="top"/>
          </w:tcPr>
          <w:p w14:paraId="0A678C0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变量</w:t>
            </w:r>
          </w:p>
        </w:tc>
        <w:tc>
          <w:tcPr>
            <w:tcW w:w="1198" w:type="dxa"/>
            <w:tcBorders>
              <w:top w:val="single" w:color="auto" w:sz="12" w:space="0"/>
              <w:left w:val="nil"/>
              <w:bottom w:val="single" w:color="auto" w:sz="6" w:space="0"/>
              <w:right w:val="nil"/>
            </w:tcBorders>
            <w:vAlign w:val="top"/>
          </w:tcPr>
          <w:p w14:paraId="0DC3788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(1)</w:t>
            </w:r>
            <w:r>
              <w:rPr>
                <w:rFonts w:hint="eastAsia" w:ascii="宋体" w:hAnsi="宋体" w:eastAsia="宋体" w:cs="宋体"/>
                <w:sz w:val="15"/>
                <w:szCs w:val="15"/>
                <w:highlight w:val="none"/>
                <w:lang w:val="en-US" w:eastAsia="zh-CN"/>
              </w:rPr>
              <w:t>无控制变量</w:t>
            </w:r>
          </w:p>
        </w:tc>
        <w:tc>
          <w:tcPr>
            <w:tcW w:w="1228" w:type="dxa"/>
            <w:tcBorders>
              <w:top w:val="single" w:color="auto" w:sz="12" w:space="0"/>
              <w:left w:val="nil"/>
              <w:bottom w:val="single" w:color="auto" w:sz="6" w:space="0"/>
              <w:right w:val="nil"/>
            </w:tcBorders>
            <w:vAlign w:val="top"/>
          </w:tcPr>
          <w:p w14:paraId="4EEEB8E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b/>
                <w:bCs/>
                <w:sz w:val="15"/>
                <w:szCs w:val="15"/>
                <w:highlight w:val="none"/>
              </w:rPr>
            </w:pPr>
            <w:r>
              <w:rPr>
                <w:rFonts w:hint="default" w:ascii="宋体" w:hAnsi="宋体" w:eastAsia="宋体" w:cs="宋体"/>
                <w:sz w:val="15"/>
                <w:szCs w:val="15"/>
                <w:highlight w:val="none"/>
              </w:rPr>
              <w:t>(2)加</w:t>
            </w:r>
            <m:oMath>
              <m:r>
                <m:rPr>
                  <m:nor/>
                </m:rPr>
                <w:rPr>
                  <w:rFonts w:hint="default" w:ascii="Times New Roman" w:hAnsi="Times New Roman" w:eastAsia="宋体" w:cs="Times New Roman"/>
                  <w:i/>
                  <w:iCs/>
                  <w:sz w:val="15"/>
                  <w:szCs w:val="15"/>
                  <w:highlight w:val="none"/>
                  <w:lang w:val="en-US" w:eastAsia="zh-CN"/>
                </w:rPr>
                <m:t>O</m:t>
              </m:r>
              <m:r>
                <m:rPr>
                  <m:nor/>
                </m:rPr>
                <w:rPr>
                  <w:rFonts w:hint="default" w:ascii="Times New Roman" w:hAnsi="Times New Roman" w:eastAsia="宋体" w:cs="Times New Roman"/>
                  <w:i/>
                  <w:iCs/>
                  <w:sz w:val="15"/>
                  <w:szCs w:val="15"/>
                  <w:highlight w:val="none"/>
                </w:rPr>
                <m:t>pen</m:t>
              </m:r>
            </m:oMath>
          </w:p>
        </w:tc>
        <w:tc>
          <w:tcPr>
            <w:tcW w:w="1217" w:type="dxa"/>
            <w:tcBorders>
              <w:top w:val="single" w:color="auto" w:sz="12" w:space="0"/>
              <w:left w:val="nil"/>
              <w:bottom w:val="single" w:color="auto" w:sz="6" w:space="0"/>
              <w:right w:val="nil"/>
            </w:tcBorders>
            <w:vAlign w:val="top"/>
          </w:tcPr>
          <w:p w14:paraId="20E95CE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(3)加</w:t>
            </w:r>
            <m:oMath>
              <m:r>
                <m:rPr>
                  <m:nor/>
                </m:rPr>
                <w:rPr>
                  <w:rFonts w:hint="default" w:ascii="Times New Roman" w:hAnsi="Times New Roman" w:eastAsia="宋体" w:cs="Times New Roman"/>
                  <w:i/>
                  <w:iCs/>
                  <w:sz w:val="15"/>
                  <w:szCs w:val="15"/>
                  <w:highlight w:val="none"/>
                  <w:lang w:val="en-US" w:eastAsia="zh-CN"/>
                </w:rPr>
                <m:t>G</m:t>
              </m:r>
              <m:r>
                <m:rPr>
                  <m:nor/>
                </m:rPr>
                <w:rPr>
                  <w:rFonts w:hint="default" w:ascii="Times New Roman" w:hAnsi="Times New Roman" w:eastAsia="宋体" w:cs="Times New Roman"/>
                  <w:i/>
                  <w:iCs/>
                  <w:sz w:val="15"/>
                  <w:szCs w:val="15"/>
                  <w:highlight w:val="none"/>
                </w:rPr>
                <m:t>rowth</m:t>
              </m:r>
            </m:oMath>
          </w:p>
        </w:tc>
        <w:tc>
          <w:tcPr>
            <w:tcW w:w="1337" w:type="dxa"/>
            <w:tcBorders>
              <w:top w:val="single" w:color="auto" w:sz="12" w:space="0"/>
              <w:left w:val="nil"/>
              <w:bottom w:val="single" w:color="auto" w:sz="6" w:space="0"/>
              <w:right w:val="nil"/>
            </w:tcBorders>
            <w:vAlign w:val="top"/>
          </w:tcPr>
          <w:p w14:paraId="2EF5C6A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w:t>
            </w:r>
            <w:r>
              <w:rPr>
                <w:rFonts w:hint="eastAsia" w:ascii="宋体" w:hAnsi="宋体" w:eastAsia="宋体" w:cs="宋体"/>
                <w:sz w:val="15"/>
                <w:szCs w:val="15"/>
                <w:highlight w:val="none"/>
                <w:lang w:val="en-US" w:eastAsia="zh-CN"/>
              </w:rPr>
              <w:t>4</w:t>
            </w:r>
            <w:r>
              <w:rPr>
                <w:rFonts w:hint="default" w:ascii="宋体" w:hAnsi="宋体" w:eastAsia="宋体" w:cs="宋体"/>
                <w:sz w:val="15"/>
                <w:szCs w:val="15"/>
                <w:highlight w:val="none"/>
              </w:rPr>
              <w:t>)加</w:t>
            </w:r>
            <m:oMath>
              <m:r>
                <m:rPr>
                  <m:nor/>
                </m:rPr>
                <w:rPr>
                  <w:rFonts w:hint="default" w:ascii="Times New Roman" w:hAnsi="Times New Roman" w:eastAsia="宋体" w:cs="Times New Roman"/>
                  <w:i/>
                  <w:iCs/>
                  <w:sz w:val="15"/>
                  <w:szCs w:val="15"/>
                  <w:highlight w:val="none"/>
                  <w:lang w:val="en-US" w:eastAsia="zh-CN"/>
                </w:rPr>
                <m:t>U</m:t>
              </m:r>
              <m:r>
                <m:rPr>
                  <m:nor/>
                </m:rPr>
                <w:rPr>
                  <w:rFonts w:hint="default" w:ascii="Times New Roman" w:hAnsi="Times New Roman" w:eastAsia="宋体" w:cs="Times New Roman"/>
                  <w:i/>
                  <w:iCs/>
                  <w:sz w:val="15"/>
                  <w:szCs w:val="15"/>
                  <w:highlight w:val="none"/>
                </w:rPr>
                <m:t>nemp</m:t>
              </m:r>
            </m:oMath>
          </w:p>
        </w:tc>
        <w:tc>
          <w:tcPr>
            <w:tcW w:w="1168" w:type="dxa"/>
            <w:tcBorders>
              <w:top w:val="single" w:color="auto" w:sz="12" w:space="0"/>
              <w:left w:val="nil"/>
              <w:bottom w:val="single" w:color="auto" w:sz="6" w:space="0"/>
              <w:right w:val="nil"/>
            </w:tcBorders>
            <w:vAlign w:val="top"/>
          </w:tcPr>
          <w:p w14:paraId="39B534B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w:t>
            </w:r>
            <w:r>
              <w:rPr>
                <w:rFonts w:hint="eastAsia" w:ascii="宋体" w:hAnsi="宋体" w:eastAsia="宋体" w:cs="宋体"/>
                <w:sz w:val="15"/>
                <w:szCs w:val="15"/>
                <w:highlight w:val="none"/>
                <w:lang w:val="en-US" w:eastAsia="zh-CN"/>
              </w:rPr>
              <w:t>5</w:t>
            </w:r>
            <w:r>
              <w:rPr>
                <w:rFonts w:hint="default" w:ascii="宋体" w:hAnsi="宋体" w:eastAsia="宋体" w:cs="宋体"/>
                <w:sz w:val="15"/>
                <w:szCs w:val="15"/>
                <w:highlight w:val="none"/>
              </w:rPr>
              <w:t>)加</w:t>
            </w:r>
            <m:oMath>
              <m:r>
                <m:rPr>
                  <m:nor/>
                </m:rPr>
                <w:rPr>
                  <w:rFonts w:hint="default" w:ascii="Times New Roman" w:hAnsi="Times New Roman" w:eastAsia="宋体" w:cs="Times New Roman"/>
                  <w:i/>
                  <w:iCs/>
                  <w:sz w:val="15"/>
                  <w:szCs w:val="15"/>
                  <w:highlight w:val="none"/>
                  <w:lang w:val="en-US" w:eastAsia="zh-CN"/>
                </w:rPr>
                <m:t>U</m:t>
              </m:r>
              <m:r>
                <m:rPr>
                  <m:nor/>
                </m:rPr>
                <w:rPr>
                  <w:rFonts w:hint="default" w:ascii="Times New Roman" w:hAnsi="Times New Roman" w:eastAsia="宋体" w:cs="Times New Roman"/>
                  <w:i/>
                  <w:iCs/>
                  <w:sz w:val="15"/>
                  <w:szCs w:val="15"/>
                  <w:highlight w:val="none"/>
                </w:rPr>
                <m:t>rban</m:t>
              </m:r>
            </m:oMath>
          </w:p>
        </w:tc>
        <w:tc>
          <w:tcPr>
            <w:tcW w:w="1373" w:type="dxa"/>
            <w:tcBorders>
              <w:top w:val="single" w:color="auto" w:sz="12" w:space="0"/>
              <w:left w:val="nil"/>
              <w:bottom w:val="single" w:color="auto" w:sz="6" w:space="0"/>
              <w:right w:val="nil"/>
            </w:tcBorders>
            <w:vAlign w:val="top"/>
          </w:tcPr>
          <w:p w14:paraId="3F5CDE1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rPr>
              <w:t>(</w:t>
            </w:r>
            <w:r>
              <w:rPr>
                <w:rFonts w:hint="eastAsia" w:ascii="宋体" w:hAnsi="宋体" w:eastAsia="宋体" w:cs="宋体"/>
                <w:sz w:val="15"/>
                <w:szCs w:val="15"/>
                <w:highlight w:val="none"/>
                <w:lang w:val="en-US" w:eastAsia="zh-CN"/>
              </w:rPr>
              <w:t>6</w:t>
            </w:r>
            <w:r>
              <w:rPr>
                <w:rFonts w:hint="default" w:ascii="宋体" w:hAnsi="宋体" w:eastAsia="宋体" w:cs="宋体"/>
                <w:sz w:val="15"/>
                <w:szCs w:val="15"/>
                <w:highlight w:val="none"/>
              </w:rPr>
              <w:t>)</w:t>
            </w:r>
            <w:r>
              <w:rPr>
                <w:rFonts w:hint="eastAsia" w:ascii="宋体" w:hAnsi="宋体" w:eastAsia="宋体" w:cs="宋体"/>
                <w:sz w:val="15"/>
                <w:szCs w:val="15"/>
                <w:highlight w:val="none"/>
                <w:lang w:val="en-US" w:eastAsia="zh-CN"/>
              </w:rPr>
              <w:t>全部控制变量</w:t>
            </w:r>
          </w:p>
        </w:tc>
      </w:tr>
      <w:tr w14:paraId="403A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single" w:color="auto" w:sz="6" w:space="0"/>
              <w:left w:val="nil"/>
              <w:bottom w:val="nil"/>
              <w:right w:val="nil"/>
            </w:tcBorders>
            <w:vAlign w:val="top"/>
          </w:tcPr>
          <w:p w14:paraId="6F76930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m:oMathPara>
              <m:oMath>
                <m:r>
                  <m:rPr>
                    <m:nor/>
                  </m:rPr>
                  <w:rPr>
                    <w:rFonts w:hint="default" w:ascii="Cambria Math" w:hAnsi="Cambria Math" w:eastAsia="宋体" w:cs="宋体"/>
                    <w:i/>
                    <w:iCs/>
                    <w:sz w:val="15"/>
                    <w:szCs w:val="15"/>
                    <w:highlight w:val="none"/>
                    <w:lang w:val="en-US" w:eastAsia="zh-CN"/>
                  </w:rPr>
                  <m:t>D</m:t>
                </m:r>
                <m:r>
                  <m:rPr>
                    <m:nor/>
                  </m:rPr>
                  <w:rPr>
                    <w:rFonts w:hint="default" w:ascii="Cambria Math" w:hAnsi="Cambria Math" w:eastAsia="宋体" w:cs="宋体"/>
                    <w:i/>
                    <w:iCs/>
                    <w:sz w:val="15"/>
                    <w:szCs w:val="15"/>
                    <w:highlight w:val="none"/>
                  </w:rPr>
                  <m:t>id_cont</m:t>
                </m:r>
              </m:oMath>
            </m:oMathPara>
          </w:p>
        </w:tc>
        <w:tc>
          <w:tcPr>
            <w:tcW w:w="1198" w:type="dxa"/>
            <w:tcBorders>
              <w:top w:val="single" w:color="auto" w:sz="6" w:space="0"/>
              <w:left w:val="nil"/>
              <w:bottom w:val="nil"/>
              <w:right w:val="nil"/>
            </w:tcBorders>
            <w:vAlign w:val="top"/>
          </w:tcPr>
          <w:p w14:paraId="448AB53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0.005</w:t>
            </w:r>
            <w:r>
              <w:rPr>
                <w:rFonts w:hint="eastAsia" w:ascii="宋体" w:hAnsi="宋体" w:eastAsia="宋体" w:cs="宋体"/>
                <w:sz w:val="15"/>
                <w:szCs w:val="15"/>
                <w:highlight w:val="none"/>
                <w:lang w:val="en-US" w:eastAsia="zh-CN"/>
              </w:rPr>
              <w:t>8</w:t>
            </w:r>
            <w:r>
              <w:rPr>
                <w:rFonts w:hint="default" w:ascii="宋体" w:hAnsi="宋体" w:eastAsia="宋体" w:cs="宋体"/>
                <w:sz w:val="15"/>
                <w:szCs w:val="15"/>
                <w:highlight w:val="none"/>
              </w:rPr>
              <w:t>**</w:t>
            </w:r>
          </w:p>
        </w:tc>
        <w:tc>
          <w:tcPr>
            <w:tcW w:w="1228" w:type="dxa"/>
            <w:tcBorders>
              <w:top w:val="single" w:color="auto" w:sz="6" w:space="0"/>
              <w:left w:val="nil"/>
              <w:bottom w:val="nil"/>
              <w:right w:val="nil"/>
            </w:tcBorders>
            <w:shd w:val="clear" w:color="auto" w:fill="auto"/>
            <w:vAlign w:val="top"/>
          </w:tcPr>
          <w:p w14:paraId="0213AF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0.0049***</w:t>
            </w:r>
          </w:p>
        </w:tc>
        <w:tc>
          <w:tcPr>
            <w:tcW w:w="1217" w:type="dxa"/>
            <w:tcBorders>
              <w:top w:val="single" w:color="auto" w:sz="6" w:space="0"/>
              <w:left w:val="nil"/>
              <w:bottom w:val="nil"/>
              <w:right w:val="nil"/>
            </w:tcBorders>
            <w:shd w:val="clear" w:color="auto" w:fill="auto"/>
            <w:vAlign w:val="top"/>
          </w:tcPr>
          <w:p w14:paraId="657D9A5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0.0049***</w:t>
            </w:r>
          </w:p>
        </w:tc>
        <w:tc>
          <w:tcPr>
            <w:tcW w:w="1337" w:type="dxa"/>
            <w:tcBorders>
              <w:top w:val="single" w:color="auto" w:sz="6" w:space="0"/>
              <w:left w:val="nil"/>
              <w:bottom w:val="nil"/>
              <w:right w:val="nil"/>
            </w:tcBorders>
            <w:shd w:val="clear" w:color="auto" w:fill="auto"/>
            <w:vAlign w:val="top"/>
          </w:tcPr>
          <w:p w14:paraId="67A8496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0.0045***</w:t>
            </w:r>
          </w:p>
        </w:tc>
        <w:tc>
          <w:tcPr>
            <w:tcW w:w="1168" w:type="dxa"/>
            <w:tcBorders>
              <w:top w:val="single" w:color="auto" w:sz="6" w:space="0"/>
              <w:left w:val="nil"/>
              <w:bottom w:val="nil"/>
              <w:right w:val="nil"/>
            </w:tcBorders>
            <w:shd w:val="clear" w:color="auto" w:fill="auto"/>
            <w:vAlign w:val="top"/>
          </w:tcPr>
          <w:p w14:paraId="34E03C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0.0045***</w:t>
            </w:r>
          </w:p>
        </w:tc>
        <w:tc>
          <w:tcPr>
            <w:tcW w:w="1373" w:type="dxa"/>
            <w:tcBorders>
              <w:top w:val="single" w:color="auto" w:sz="6" w:space="0"/>
              <w:left w:val="nil"/>
              <w:bottom w:val="nil"/>
              <w:right w:val="nil"/>
            </w:tcBorders>
            <w:vAlign w:val="top"/>
          </w:tcPr>
          <w:p w14:paraId="229528D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0.00</w:t>
            </w:r>
            <w:r>
              <w:rPr>
                <w:rFonts w:hint="eastAsia" w:ascii="宋体" w:hAnsi="宋体" w:eastAsia="宋体" w:cs="宋体"/>
                <w:sz w:val="15"/>
                <w:szCs w:val="15"/>
                <w:highlight w:val="none"/>
                <w:lang w:val="en-US" w:eastAsia="zh-CN"/>
              </w:rPr>
              <w:t>45</w:t>
            </w:r>
            <w:r>
              <w:rPr>
                <w:rFonts w:hint="default" w:ascii="宋体" w:hAnsi="宋体" w:eastAsia="宋体" w:cs="宋体"/>
                <w:sz w:val="15"/>
                <w:szCs w:val="15"/>
                <w:highlight w:val="none"/>
              </w:rPr>
              <w:t>***</w:t>
            </w:r>
          </w:p>
        </w:tc>
      </w:tr>
      <w:tr w14:paraId="413E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vAlign w:val="top"/>
          </w:tcPr>
          <w:p w14:paraId="54B92F6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w:p>
        </w:tc>
        <w:tc>
          <w:tcPr>
            <w:tcW w:w="1198" w:type="dxa"/>
            <w:tcBorders>
              <w:top w:val="nil"/>
              <w:left w:val="nil"/>
              <w:bottom w:val="nil"/>
              <w:right w:val="nil"/>
            </w:tcBorders>
            <w:vAlign w:val="top"/>
          </w:tcPr>
          <w:p w14:paraId="326AFA7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(0.00</w:t>
            </w:r>
            <w:r>
              <w:rPr>
                <w:rFonts w:hint="eastAsia" w:ascii="宋体" w:hAnsi="宋体" w:eastAsia="宋体" w:cs="宋体"/>
                <w:sz w:val="15"/>
                <w:szCs w:val="15"/>
                <w:highlight w:val="none"/>
                <w:lang w:val="en-US" w:eastAsia="zh-CN"/>
              </w:rPr>
              <w:t>15</w:t>
            </w:r>
            <w:r>
              <w:rPr>
                <w:rFonts w:hint="default" w:ascii="宋体" w:hAnsi="宋体" w:eastAsia="宋体" w:cs="宋体"/>
                <w:sz w:val="15"/>
                <w:szCs w:val="15"/>
                <w:highlight w:val="none"/>
              </w:rPr>
              <w:t>)</w:t>
            </w:r>
          </w:p>
        </w:tc>
        <w:tc>
          <w:tcPr>
            <w:tcW w:w="1228" w:type="dxa"/>
            <w:tcBorders>
              <w:top w:val="nil"/>
              <w:left w:val="nil"/>
              <w:bottom w:val="nil"/>
              <w:right w:val="nil"/>
            </w:tcBorders>
            <w:shd w:val="clear" w:color="auto" w:fill="auto"/>
            <w:vAlign w:val="top"/>
          </w:tcPr>
          <w:p w14:paraId="35211C4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(0.0016)</w:t>
            </w:r>
          </w:p>
        </w:tc>
        <w:tc>
          <w:tcPr>
            <w:tcW w:w="1217" w:type="dxa"/>
            <w:tcBorders>
              <w:top w:val="nil"/>
              <w:left w:val="nil"/>
              <w:bottom w:val="nil"/>
              <w:right w:val="nil"/>
            </w:tcBorders>
            <w:shd w:val="clear" w:color="auto" w:fill="auto"/>
            <w:vAlign w:val="top"/>
          </w:tcPr>
          <w:p w14:paraId="7C4B44B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(0.0015)</w:t>
            </w:r>
          </w:p>
        </w:tc>
        <w:tc>
          <w:tcPr>
            <w:tcW w:w="1337" w:type="dxa"/>
            <w:tcBorders>
              <w:top w:val="nil"/>
              <w:left w:val="nil"/>
              <w:bottom w:val="nil"/>
              <w:right w:val="nil"/>
            </w:tcBorders>
            <w:shd w:val="clear" w:color="auto" w:fill="auto"/>
            <w:vAlign w:val="top"/>
          </w:tcPr>
          <w:p w14:paraId="58A6BC7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(0.0016)</w:t>
            </w:r>
          </w:p>
        </w:tc>
        <w:tc>
          <w:tcPr>
            <w:tcW w:w="1168" w:type="dxa"/>
            <w:tcBorders>
              <w:top w:val="nil"/>
              <w:left w:val="nil"/>
              <w:bottom w:val="nil"/>
              <w:right w:val="nil"/>
            </w:tcBorders>
            <w:shd w:val="clear" w:color="auto" w:fill="auto"/>
            <w:vAlign w:val="top"/>
          </w:tcPr>
          <w:p w14:paraId="2CC6E48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(0.0015)</w:t>
            </w:r>
          </w:p>
        </w:tc>
        <w:tc>
          <w:tcPr>
            <w:tcW w:w="1373" w:type="dxa"/>
            <w:tcBorders>
              <w:top w:val="nil"/>
              <w:left w:val="nil"/>
              <w:bottom w:val="nil"/>
              <w:right w:val="nil"/>
            </w:tcBorders>
            <w:vAlign w:val="top"/>
          </w:tcPr>
          <w:p w14:paraId="07B37B3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(0.00</w:t>
            </w:r>
            <w:r>
              <w:rPr>
                <w:rFonts w:hint="eastAsia" w:ascii="宋体" w:hAnsi="宋体" w:eastAsia="宋体" w:cs="宋体"/>
                <w:sz w:val="15"/>
                <w:szCs w:val="15"/>
                <w:highlight w:val="none"/>
                <w:lang w:val="en-US" w:eastAsia="zh-CN"/>
              </w:rPr>
              <w:t>15</w:t>
            </w:r>
            <w:r>
              <w:rPr>
                <w:rFonts w:hint="default" w:ascii="宋体" w:hAnsi="宋体" w:eastAsia="宋体" w:cs="宋体"/>
                <w:sz w:val="15"/>
                <w:szCs w:val="15"/>
                <w:highlight w:val="none"/>
              </w:rPr>
              <w:t>)</w:t>
            </w:r>
          </w:p>
        </w:tc>
      </w:tr>
      <w:tr w14:paraId="26CC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11DAEB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m:oMathPara>
              <m:oMath>
                <m:r>
                  <m:rPr>
                    <m:nor/>
                  </m:rPr>
                  <w:rPr>
                    <w:rFonts w:hint="default" w:ascii="Cambria Math" w:hAnsi="Cambria Math" w:eastAsia="宋体" w:cs="宋体"/>
                    <w:i/>
                    <w:iCs/>
                    <w:sz w:val="15"/>
                    <w:szCs w:val="15"/>
                    <w:highlight w:val="none"/>
                    <w:lang w:val="en-US" w:eastAsia="zh-CN"/>
                  </w:rPr>
                  <m:t>O</m:t>
                </m:r>
                <m:r>
                  <m:rPr>
                    <m:nor/>
                  </m:rPr>
                  <w:rPr>
                    <w:rFonts w:hint="default" w:ascii="Cambria Math" w:hAnsi="Cambria Math" w:eastAsia="宋体" w:cs="宋体"/>
                    <w:i/>
                    <w:iCs/>
                    <w:sz w:val="15"/>
                    <w:szCs w:val="15"/>
                    <w:highlight w:val="none"/>
                  </w:rPr>
                  <m:t>pen</m:t>
                </m:r>
              </m:oMath>
            </m:oMathPara>
          </w:p>
        </w:tc>
        <w:tc>
          <w:tcPr>
            <w:tcW w:w="1198" w:type="dxa"/>
            <w:tcBorders>
              <w:top w:val="nil"/>
              <w:left w:val="nil"/>
              <w:bottom w:val="nil"/>
              <w:right w:val="nil"/>
            </w:tcBorders>
            <w:shd w:val="clear" w:color="auto" w:fill="auto"/>
            <w:vAlign w:val="top"/>
          </w:tcPr>
          <w:p w14:paraId="358617E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340DC6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-0.0565</w:t>
            </w:r>
          </w:p>
        </w:tc>
        <w:tc>
          <w:tcPr>
            <w:tcW w:w="1217" w:type="dxa"/>
            <w:tcBorders>
              <w:top w:val="nil"/>
              <w:left w:val="nil"/>
              <w:bottom w:val="nil"/>
              <w:right w:val="nil"/>
            </w:tcBorders>
            <w:shd w:val="clear" w:color="auto" w:fill="auto"/>
            <w:vAlign w:val="top"/>
          </w:tcPr>
          <w:p w14:paraId="538797B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-0.0573</w:t>
            </w:r>
          </w:p>
        </w:tc>
        <w:tc>
          <w:tcPr>
            <w:tcW w:w="1337" w:type="dxa"/>
            <w:tcBorders>
              <w:top w:val="nil"/>
              <w:left w:val="nil"/>
              <w:bottom w:val="nil"/>
              <w:right w:val="nil"/>
            </w:tcBorders>
            <w:shd w:val="clear" w:color="auto" w:fill="auto"/>
            <w:vAlign w:val="top"/>
          </w:tcPr>
          <w:p w14:paraId="6887FDC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-0.0581</w:t>
            </w:r>
          </w:p>
        </w:tc>
        <w:tc>
          <w:tcPr>
            <w:tcW w:w="1168" w:type="dxa"/>
            <w:tcBorders>
              <w:top w:val="nil"/>
              <w:left w:val="nil"/>
              <w:bottom w:val="nil"/>
              <w:right w:val="nil"/>
            </w:tcBorders>
            <w:shd w:val="clear" w:color="auto" w:fill="auto"/>
            <w:vAlign w:val="top"/>
          </w:tcPr>
          <w:p w14:paraId="3518F1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-0.0577</w:t>
            </w:r>
          </w:p>
        </w:tc>
        <w:tc>
          <w:tcPr>
            <w:tcW w:w="1373" w:type="dxa"/>
            <w:tcBorders>
              <w:top w:val="nil"/>
              <w:left w:val="nil"/>
              <w:bottom w:val="nil"/>
              <w:right w:val="nil"/>
            </w:tcBorders>
            <w:shd w:val="clear" w:color="auto" w:fill="auto"/>
            <w:vAlign w:val="top"/>
          </w:tcPr>
          <w:p w14:paraId="614507F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r>
              <w:rPr>
                <w:rFonts w:hint="default" w:ascii="宋体" w:hAnsi="宋体" w:eastAsia="宋体" w:cs="宋体"/>
                <w:sz w:val="15"/>
                <w:szCs w:val="15"/>
                <w:highlight w:val="none"/>
              </w:rPr>
              <w:t>-0.0537</w:t>
            </w:r>
          </w:p>
        </w:tc>
      </w:tr>
      <w:tr w14:paraId="2EB7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2299AC4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p>
        </w:tc>
        <w:tc>
          <w:tcPr>
            <w:tcW w:w="1198" w:type="dxa"/>
            <w:tcBorders>
              <w:top w:val="nil"/>
              <w:left w:val="nil"/>
              <w:bottom w:val="nil"/>
              <w:right w:val="nil"/>
            </w:tcBorders>
            <w:shd w:val="clear" w:color="auto" w:fill="auto"/>
            <w:vAlign w:val="top"/>
          </w:tcPr>
          <w:p w14:paraId="6FB7C01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4025E19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(0.0502)</w:t>
            </w:r>
          </w:p>
        </w:tc>
        <w:tc>
          <w:tcPr>
            <w:tcW w:w="1217" w:type="dxa"/>
            <w:tcBorders>
              <w:top w:val="nil"/>
              <w:left w:val="nil"/>
              <w:bottom w:val="nil"/>
              <w:right w:val="nil"/>
            </w:tcBorders>
            <w:shd w:val="clear" w:color="auto" w:fill="auto"/>
            <w:vAlign w:val="top"/>
          </w:tcPr>
          <w:p w14:paraId="5DC6D9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(0.0483)</w:t>
            </w:r>
          </w:p>
        </w:tc>
        <w:tc>
          <w:tcPr>
            <w:tcW w:w="1337" w:type="dxa"/>
            <w:tcBorders>
              <w:top w:val="nil"/>
              <w:left w:val="nil"/>
              <w:bottom w:val="nil"/>
              <w:right w:val="nil"/>
            </w:tcBorders>
            <w:shd w:val="clear" w:color="auto" w:fill="auto"/>
            <w:vAlign w:val="top"/>
          </w:tcPr>
          <w:p w14:paraId="43EAF5E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(0.0490)</w:t>
            </w:r>
          </w:p>
        </w:tc>
        <w:tc>
          <w:tcPr>
            <w:tcW w:w="1168" w:type="dxa"/>
            <w:tcBorders>
              <w:top w:val="nil"/>
              <w:left w:val="nil"/>
              <w:bottom w:val="nil"/>
              <w:right w:val="nil"/>
            </w:tcBorders>
            <w:shd w:val="clear" w:color="auto" w:fill="auto"/>
            <w:vAlign w:val="top"/>
          </w:tcPr>
          <w:p w14:paraId="2E12FE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(0.0484)</w:t>
            </w:r>
          </w:p>
        </w:tc>
        <w:tc>
          <w:tcPr>
            <w:tcW w:w="1373" w:type="dxa"/>
            <w:tcBorders>
              <w:top w:val="nil"/>
              <w:left w:val="nil"/>
              <w:bottom w:val="nil"/>
              <w:right w:val="nil"/>
            </w:tcBorders>
            <w:shd w:val="clear" w:color="auto" w:fill="auto"/>
            <w:vAlign w:val="top"/>
          </w:tcPr>
          <w:p w14:paraId="7C6581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r>
              <w:rPr>
                <w:rFonts w:hint="default" w:ascii="宋体" w:hAnsi="宋体" w:eastAsia="宋体" w:cs="宋体"/>
                <w:sz w:val="15"/>
                <w:szCs w:val="15"/>
                <w:highlight w:val="none"/>
              </w:rPr>
              <w:t>(0.0489)</w:t>
            </w:r>
          </w:p>
        </w:tc>
      </w:tr>
      <w:tr w14:paraId="1315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4D5EFA1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m:oMathPara>
              <m:oMath>
                <m:r>
                  <m:rPr>
                    <m:nor/>
                  </m:rPr>
                  <w:rPr>
                    <w:rFonts w:hint="default" w:ascii="Cambria Math" w:hAnsi="Cambria Math" w:eastAsia="宋体" w:cs="宋体"/>
                    <w:i/>
                    <w:iCs/>
                    <w:sz w:val="15"/>
                    <w:szCs w:val="15"/>
                    <w:highlight w:val="none"/>
                    <w:lang w:val="en-US" w:eastAsia="zh-CN"/>
                  </w:rPr>
                  <m:t>G</m:t>
                </m:r>
                <m:r>
                  <m:rPr>
                    <m:nor/>
                  </m:rPr>
                  <w:rPr>
                    <w:rFonts w:hint="default" w:ascii="Cambria Math" w:hAnsi="Cambria Math" w:eastAsia="宋体" w:cs="宋体"/>
                    <w:i/>
                    <w:iCs/>
                    <w:sz w:val="15"/>
                    <w:szCs w:val="15"/>
                    <w:highlight w:val="none"/>
                  </w:rPr>
                  <m:t>rowth</m:t>
                </m:r>
              </m:oMath>
            </m:oMathPara>
          </w:p>
        </w:tc>
        <w:tc>
          <w:tcPr>
            <w:tcW w:w="1198" w:type="dxa"/>
            <w:tcBorders>
              <w:top w:val="nil"/>
              <w:left w:val="nil"/>
              <w:bottom w:val="nil"/>
              <w:right w:val="nil"/>
            </w:tcBorders>
            <w:shd w:val="clear" w:color="auto" w:fill="auto"/>
            <w:vAlign w:val="top"/>
          </w:tcPr>
          <w:p w14:paraId="2E82F9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43D1FEE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217" w:type="dxa"/>
            <w:tcBorders>
              <w:top w:val="nil"/>
              <w:left w:val="nil"/>
              <w:bottom w:val="nil"/>
              <w:right w:val="nil"/>
            </w:tcBorders>
            <w:shd w:val="clear" w:color="auto" w:fill="auto"/>
            <w:vAlign w:val="top"/>
          </w:tcPr>
          <w:p w14:paraId="673743E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0.1681***</w:t>
            </w:r>
          </w:p>
        </w:tc>
        <w:tc>
          <w:tcPr>
            <w:tcW w:w="1337" w:type="dxa"/>
            <w:tcBorders>
              <w:top w:val="nil"/>
              <w:left w:val="nil"/>
              <w:bottom w:val="nil"/>
              <w:right w:val="nil"/>
            </w:tcBorders>
            <w:shd w:val="clear" w:color="auto" w:fill="auto"/>
            <w:vAlign w:val="top"/>
          </w:tcPr>
          <w:p w14:paraId="32484DE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0.1649***</w:t>
            </w:r>
          </w:p>
        </w:tc>
        <w:tc>
          <w:tcPr>
            <w:tcW w:w="1168" w:type="dxa"/>
            <w:tcBorders>
              <w:top w:val="nil"/>
              <w:left w:val="nil"/>
              <w:bottom w:val="nil"/>
              <w:right w:val="nil"/>
            </w:tcBorders>
            <w:shd w:val="clear" w:color="auto" w:fill="auto"/>
            <w:vAlign w:val="top"/>
          </w:tcPr>
          <w:p w14:paraId="1FA0A5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0.1665***</w:t>
            </w:r>
          </w:p>
        </w:tc>
        <w:tc>
          <w:tcPr>
            <w:tcW w:w="1373" w:type="dxa"/>
            <w:tcBorders>
              <w:top w:val="nil"/>
              <w:left w:val="nil"/>
              <w:bottom w:val="nil"/>
              <w:right w:val="nil"/>
            </w:tcBorders>
            <w:shd w:val="clear" w:color="auto" w:fill="auto"/>
            <w:vAlign w:val="top"/>
          </w:tcPr>
          <w:p w14:paraId="3D0CB8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r>
              <w:rPr>
                <w:rFonts w:hint="default" w:ascii="宋体" w:hAnsi="宋体" w:eastAsia="宋体" w:cs="宋体"/>
                <w:sz w:val="15"/>
                <w:szCs w:val="15"/>
                <w:highlight w:val="none"/>
              </w:rPr>
              <w:t>0.1682***</w:t>
            </w:r>
          </w:p>
        </w:tc>
      </w:tr>
      <w:tr w14:paraId="32B6E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7CBD0DB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p>
        </w:tc>
        <w:tc>
          <w:tcPr>
            <w:tcW w:w="1198" w:type="dxa"/>
            <w:tcBorders>
              <w:top w:val="nil"/>
              <w:left w:val="nil"/>
              <w:bottom w:val="nil"/>
              <w:right w:val="nil"/>
            </w:tcBorders>
            <w:shd w:val="clear" w:color="auto" w:fill="auto"/>
            <w:vAlign w:val="top"/>
          </w:tcPr>
          <w:p w14:paraId="6C800E2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7C8A5AD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217" w:type="dxa"/>
            <w:tcBorders>
              <w:top w:val="nil"/>
              <w:left w:val="nil"/>
              <w:bottom w:val="nil"/>
              <w:right w:val="nil"/>
            </w:tcBorders>
            <w:shd w:val="clear" w:color="auto" w:fill="auto"/>
            <w:vAlign w:val="top"/>
          </w:tcPr>
          <w:p w14:paraId="2DC69FF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(0.0537)</w:t>
            </w:r>
          </w:p>
        </w:tc>
        <w:tc>
          <w:tcPr>
            <w:tcW w:w="1337" w:type="dxa"/>
            <w:tcBorders>
              <w:top w:val="nil"/>
              <w:left w:val="nil"/>
              <w:bottom w:val="nil"/>
              <w:right w:val="nil"/>
            </w:tcBorders>
            <w:shd w:val="clear" w:color="auto" w:fill="auto"/>
            <w:vAlign w:val="top"/>
          </w:tcPr>
          <w:p w14:paraId="61C53A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(0.0508)</w:t>
            </w:r>
          </w:p>
        </w:tc>
        <w:tc>
          <w:tcPr>
            <w:tcW w:w="1168" w:type="dxa"/>
            <w:tcBorders>
              <w:top w:val="nil"/>
              <w:left w:val="nil"/>
              <w:bottom w:val="nil"/>
              <w:right w:val="nil"/>
            </w:tcBorders>
            <w:shd w:val="clear" w:color="auto" w:fill="auto"/>
            <w:vAlign w:val="top"/>
          </w:tcPr>
          <w:p w14:paraId="255BD1B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(0.0521)</w:t>
            </w:r>
          </w:p>
        </w:tc>
        <w:tc>
          <w:tcPr>
            <w:tcW w:w="1373" w:type="dxa"/>
            <w:tcBorders>
              <w:top w:val="nil"/>
              <w:left w:val="nil"/>
              <w:bottom w:val="nil"/>
              <w:right w:val="nil"/>
            </w:tcBorders>
            <w:shd w:val="clear" w:color="auto" w:fill="auto"/>
            <w:vAlign w:val="top"/>
          </w:tcPr>
          <w:p w14:paraId="3880DE3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r>
              <w:rPr>
                <w:rFonts w:hint="default" w:ascii="宋体" w:hAnsi="宋体" w:eastAsia="宋体" w:cs="宋体"/>
                <w:sz w:val="15"/>
                <w:szCs w:val="15"/>
                <w:highlight w:val="none"/>
              </w:rPr>
              <w:t>(0.0527)</w:t>
            </w:r>
          </w:p>
        </w:tc>
      </w:tr>
      <w:tr w14:paraId="12B0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378E2BC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m:oMathPara>
              <m:oMath>
                <m:r>
                  <m:rPr>
                    <m:nor/>
                  </m:rPr>
                  <w:rPr>
                    <w:rFonts w:hint="default" w:ascii="Cambria Math" w:hAnsi="Cambria Math" w:eastAsia="宋体" w:cs="宋体"/>
                    <w:i/>
                    <w:iCs/>
                    <w:sz w:val="15"/>
                    <w:szCs w:val="15"/>
                    <w:highlight w:val="none"/>
                    <w:lang w:val="en-US" w:eastAsia="zh-CN"/>
                  </w:rPr>
                  <m:t>U</m:t>
                </m:r>
                <m:r>
                  <m:rPr>
                    <m:nor/>
                  </m:rPr>
                  <w:rPr>
                    <w:rFonts w:hint="default" w:ascii="Cambria Math" w:hAnsi="Cambria Math" w:eastAsia="宋体" w:cs="宋体"/>
                    <w:i/>
                    <w:iCs/>
                    <w:sz w:val="15"/>
                    <w:szCs w:val="15"/>
                    <w:highlight w:val="none"/>
                  </w:rPr>
                  <m:t>nemp</m:t>
                </m:r>
              </m:oMath>
            </m:oMathPara>
          </w:p>
        </w:tc>
        <w:tc>
          <w:tcPr>
            <w:tcW w:w="1198" w:type="dxa"/>
            <w:tcBorders>
              <w:top w:val="nil"/>
              <w:left w:val="nil"/>
              <w:bottom w:val="nil"/>
              <w:right w:val="nil"/>
            </w:tcBorders>
            <w:shd w:val="clear" w:color="auto" w:fill="auto"/>
            <w:vAlign w:val="top"/>
          </w:tcPr>
          <w:p w14:paraId="3146FF2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34A649C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217" w:type="dxa"/>
            <w:tcBorders>
              <w:top w:val="nil"/>
              <w:left w:val="nil"/>
              <w:bottom w:val="nil"/>
              <w:right w:val="nil"/>
            </w:tcBorders>
            <w:shd w:val="clear" w:color="auto" w:fill="auto"/>
            <w:vAlign w:val="top"/>
          </w:tcPr>
          <w:p w14:paraId="7FC468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337" w:type="dxa"/>
            <w:tcBorders>
              <w:top w:val="nil"/>
              <w:left w:val="nil"/>
              <w:bottom w:val="nil"/>
              <w:right w:val="nil"/>
            </w:tcBorders>
            <w:shd w:val="clear" w:color="auto" w:fill="auto"/>
            <w:vAlign w:val="top"/>
          </w:tcPr>
          <w:p w14:paraId="07DCAA9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0.1659</w:t>
            </w:r>
          </w:p>
        </w:tc>
        <w:tc>
          <w:tcPr>
            <w:tcW w:w="1168" w:type="dxa"/>
            <w:tcBorders>
              <w:top w:val="nil"/>
              <w:left w:val="nil"/>
              <w:bottom w:val="nil"/>
              <w:right w:val="nil"/>
            </w:tcBorders>
            <w:shd w:val="clear" w:color="auto" w:fill="auto"/>
            <w:vAlign w:val="top"/>
          </w:tcPr>
          <w:p w14:paraId="5CEC60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0.1626</w:t>
            </w:r>
          </w:p>
        </w:tc>
        <w:tc>
          <w:tcPr>
            <w:tcW w:w="1373" w:type="dxa"/>
            <w:tcBorders>
              <w:top w:val="nil"/>
              <w:left w:val="nil"/>
              <w:bottom w:val="nil"/>
              <w:right w:val="nil"/>
            </w:tcBorders>
            <w:shd w:val="clear" w:color="auto" w:fill="auto"/>
            <w:vAlign w:val="top"/>
          </w:tcPr>
          <w:p w14:paraId="578B901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r>
              <w:rPr>
                <w:rFonts w:hint="default" w:ascii="宋体" w:hAnsi="宋体" w:eastAsia="宋体" w:cs="宋体"/>
                <w:sz w:val="15"/>
                <w:szCs w:val="15"/>
                <w:highlight w:val="none"/>
              </w:rPr>
              <w:t>0.1632</w:t>
            </w:r>
          </w:p>
        </w:tc>
      </w:tr>
      <w:tr w14:paraId="013F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4534C5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p>
        </w:tc>
        <w:tc>
          <w:tcPr>
            <w:tcW w:w="1198" w:type="dxa"/>
            <w:tcBorders>
              <w:top w:val="nil"/>
              <w:left w:val="nil"/>
              <w:bottom w:val="nil"/>
              <w:right w:val="nil"/>
            </w:tcBorders>
            <w:shd w:val="clear" w:color="auto" w:fill="auto"/>
            <w:vAlign w:val="top"/>
          </w:tcPr>
          <w:p w14:paraId="0CF72B1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4B7FC26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217" w:type="dxa"/>
            <w:tcBorders>
              <w:top w:val="nil"/>
              <w:left w:val="nil"/>
              <w:bottom w:val="nil"/>
              <w:right w:val="nil"/>
            </w:tcBorders>
            <w:shd w:val="clear" w:color="auto" w:fill="auto"/>
            <w:vAlign w:val="top"/>
          </w:tcPr>
          <w:p w14:paraId="339C22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337" w:type="dxa"/>
            <w:tcBorders>
              <w:top w:val="nil"/>
              <w:left w:val="nil"/>
              <w:bottom w:val="nil"/>
              <w:right w:val="nil"/>
            </w:tcBorders>
            <w:shd w:val="clear" w:color="auto" w:fill="auto"/>
            <w:vAlign w:val="top"/>
          </w:tcPr>
          <w:p w14:paraId="43414B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(0.1077)</w:t>
            </w:r>
          </w:p>
        </w:tc>
        <w:tc>
          <w:tcPr>
            <w:tcW w:w="1168" w:type="dxa"/>
            <w:tcBorders>
              <w:top w:val="nil"/>
              <w:left w:val="nil"/>
              <w:bottom w:val="nil"/>
              <w:right w:val="nil"/>
            </w:tcBorders>
            <w:shd w:val="clear" w:color="auto" w:fill="auto"/>
            <w:vAlign w:val="top"/>
          </w:tcPr>
          <w:p w14:paraId="69EF4B9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(0.1135)</w:t>
            </w:r>
          </w:p>
        </w:tc>
        <w:tc>
          <w:tcPr>
            <w:tcW w:w="1373" w:type="dxa"/>
            <w:tcBorders>
              <w:top w:val="nil"/>
              <w:left w:val="nil"/>
              <w:bottom w:val="nil"/>
              <w:right w:val="nil"/>
            </w:tcBorders>
            <w:shd w:val="clear" w:color="auto" w:fill="auto"/>
            <w:vAlign w:val="top"/>
          </w:tcPr>
          <w:p w14:paraId="34077A3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(0.1131)</w:t>
            </w:r>
          </w:p>
        </w:tc>
      </w:tr>
      <w:tr w14:paraId="3696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196C834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m:oMathPara>
              <m:oMath>
                <m:r>
                  <m:rPr>
                    <m:nor/>
                  </m:rPr>
                  <w:rPr>
                    <w:rFonts w:hint="default" w:ascii="Cambria Math" w:hAnsi="Cambria Math" w:eastAsia="宋体" w:cs="宋体"/>
                    <w:i/>
                    <w:iCs/>
                    <w:sz w:val="15"/>
                    <w:szCs w:val="15"/>
                    <w:highlight w:val="none"/>
                    <w:lang w:val="en-US" w:eastAsia="zh-CN"/>
                  </w:rPr>
                  <m:t>U</m:t>
                </m:r>
                <m:r>
                  <m:rPr>
                    <m:nor/>
                  </m:rPr>
                  <w:rPr>
                    <w:rFonts w:hint="default" w:ascii="Cambria Math" w:hAnsi="Cambria Math" w:eastAsia="宋体" w:cs="宋体"/>
                    <w:i/>
                    <w:iCs/>
                    <w:sz w:val="15"/>
                    <w:szCs w:val="15"/>
                    <w:highlight w:val="none"/>
                  </w:rPr>
                  <m:t>rban</m:t>
                </m:r>
              </m:oMath>
            </m:oMathPara>
          </w:p>
        </w:tc>
        <w:tc>
          <w:tcPr>
            <w:tcW w:w="1198" w:type="dxa"/>
            <w:tcBorders>
              <w:top w:val="nil"/>
              <w:left w:val="nil"/>
              <w:bottom w:val="nil"/>
              <w:right w:val="nil"/>
            </w:tcBorders>
            <w:shd w:val="clear" w:color="auto" w:fill="auto"/>
            <w:vAlign w:val="top"/>
          </w:tcPr>
          <w:p w14:paraId="44DCA63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01C431A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217" w:type="dxa"/>
            <w:tcBorders>
              <w:top w:val="nil"/>
              <w:left w:val="nil"/>
              <w:bottom w:val="nil"/>
              <w:right w:val="nil"/>
            </w:tcBorders>
            <w:shd w:val="clear" w:color="auto" w:fill="auto"/>
            <w:vAlign w:val="top"/>
          </w:tcPr>
          <w:p w14:paraId="5B8BFD3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337" w:type="dxa"/>
            <w:tcBorders>
              <w:top w:val="nil"/>
              <w:left w:val="nil"/>
              <w:bottom w:val="nil"/>
              <w:right w:val="nil"/>
            </w:tcBorders>
            <w:shd w:val="clear" w:color="auto" w:fill="auto"/>
            <w:vAlign w:val="top"/>
          </w:tcPr>
          <w:p w14:paraId="77ACFA5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168" w:type="dxa"/>
            <w:tcBorders>
              <w:top w:val="nil"/>
              <w:left w:val="nil"/>
              <w:bottom w:val="nil"/>
              <w:right w:val="nil"/>
            </w:tcBorders>
            <w:shd w:val="clear" w:color="auto" w:fill="auto"/>
            <w:vAlign w:val="top"/>
          </w:tcPr>
          <w:p w14:paraId="66410B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-0.0174</w:t>
            </w:r>
          </w:p>
        </w:tc>
        <w:tc>
          <w:tcPr>
            <w:tcW w:w="1373" w:type="dxa"/>
            <w:tcBorders>
              <w:top w:val="nil"/>
              <w:left w:val="nil"/>
              <w:bottom w:val="nil"/>
              <w:right w:val="nil"/>
            </w:tcBorders>
            <w:shd w:val="clear" w:color="auto" w:fill="auto"/>
            <w:vAlign w:val="top"/>
          </w:tcPr>
          <w:p w14:paraId="4EE1952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-0.0113</w:t>
            </w:r>
          </w:p>
        </w:tc>
      </w:tr>
      <w:tr w14:paraId="2549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0A70FB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p>
        </w:tc>
        <w:tc>
          <w:tcPr>
            <w:tcW w:w="1198" w:type="dxa"/>
            <w:tcBorders>
              <w:top w:val="nil"/>
              <w:left w:val="nil"/>
              <w:bottom w:val="nil"/>
              <w:right w:val="nil"/>
            </w:tcBorders>
            <w:shd w:val="clear" w:color="auto" w:fill="auto"/>
            <w:vAlign w:val="top"/>
          </w:tcPr>
          <w:p w14:paraId="5B1934D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44F543F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217" w:type="dxa"/>
            <w:tcBorders>
              <w:top w:val="nil"/>
              <w:left w:val="nil"/>
              <w:bottom w:val="nil"/>
              <w:right w:val="nil"/>
            </w:tcBorders>
            <w:shd w:val="clear" w:color="auto" w:fill="auto"/>
            <w:vAlign w:val="top"/>
          </w:tcPr>
          <w:p w14:paraId="17A809E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337" w:type="dxa"/>
            <w:tcBorders>
              <w:top w:val="nil"/>
              <w:left w:val="nil"/>
              <w:bottom w:val="nil"/>
              <w:right w:val="nil"/>
            </w:tcBorders>
            <w:shd w:val="clear" w:color="auto" w:fill="auto"/>
            <w:vAlign w:val="top"/>
          </w:tcPr>
          <w:p w14:paraId="0F982EF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1168" w:type="dxa"/>
            <w:tcBorders>
              <w:top w:val="nil"/>
              <w:left w:val="nil"/>
              <w:bottom w:val="nil"/>
              <w:right w:val="nil"/>
            </w:tcBorders>
            <w:shd w:val="clear" w:color="auto" w:fill="auto"/>
            <w:vAlign w:val="top"/>
          </w:tcPr>
          <w:p w14:paraId="05D024F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(0.1032)</w:t>
            </w:r>
          </w:p>
        </w:tc>
        <w:tc>
          <w:tcPr>
            <w:tcW w:w="1373" w:type="dxa"/>
            <w:tcBorders>
              <w:top w:val="nil"/>
              <w:left w:val="nil"/>
              <w:bottom w:val="nil"/>
              <w:right w:val="nil"/>
            </w:tcBorders>
            <w:shd w:val="clear" w:color="auto" w:fill="auto"/>
            <w:vAlign w:val="top"/>
          </w:tcPr>
          <w:p w14:paraId="743EDAF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(0.1019)</w:t>
            </w:r>
          </w:p>
        </w:tc>
      </w:tr>
      <w:tr w14:paraId="3F15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66B0852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m:oMathPara>
              <m:oMath>
                <m:r>
                  <m:rPr>
                    <m:nor/>
                  </m:rPr>
                  <w:rPr>
                    <w:rFonts w:hint="default" w:ascii="Cambria Math" w:hAnsi="Cambria Math" w:eastAsia="宋体" w:cs="宋体"/>
                    <w:i/>
                    <w:iCs/>
                    <w:sz w:val="15"/>
                    <w:szCs w:val="15"/>
                    <w:highlight w:val="none"/>
                    <w:lang w:val="en-US" w:eastAsia="zh-CN"/>
                  </w:rPr>
                  <m:t>T</m:t>
                </m:r>
                <m:r>
                  <m:rPr>
                    <m:nor/>
                  </m:rPr>
                  <w:rPr>
                    <w:rFonts w:hint="default" w:ascii="Cambria Math" w:hAnsi="Cambria Math" w:eastAsia="宋体" w:cs="宋体"/>
                    <w:i/>
                    <w:iCs/>
                    <w:sz w:val="15"/>
                    <w:szCs w:val="15"/>
                    <w:highlight w:val="none"/>
                  </w:rPr>
                  <m:t>ert_share</m:t>
                </m:r>
              </m:oMath>
            </m:oMathPara>
          </w:p>
        </w:tc>
        <w:tc>
          <w:tcPr>
            <w:tcW w:w="1198" w:type="dxa"/>
            <w:tcBorders>
              <w:top w:val="nil"/>
              <w:left w:val="nil"/>
              <w:bottom w:val="nil"/>
              <w:right w:val="nil"/>
            </w:tcBorders>
            <w:shd w:val="clear" w:color="auto" w:fill="auto"/>
            <w:vAlign w:val="top"/>
          </w:tcPr>
          <w:p w14:paraId="36EF6D7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140922B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17" w:type="dxa"/>
            <w:tcBorders>
              <w:top w:val="nil"/>
              <w:left w:val="nil"/>
              <w:bottom w:val="nil"/>
              <w:right w:val="nil"/>
            </w:tcBorders>
            <w:shd w:val="clear" w:color="auto" w:fill="auto"/>
            <w:vAlign w:val="top"/>
          </w:tcPr>
          <w:p w14:paraId="4B51F26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337" w:type="dxa"/>
            <w:tcBorders>
              <w:top w:val="nil"/>
              <w:left w:val="nil"/>
              <w:bottom w:val="nil"/>
              <w:right w:val="nil"/>
            </w:tcBorders>
            <w:shd w:val="clear" w:color="auto" w:fill="auto"/>
            <w:vAlign w:val="top"/>
          </w:tcPr>
          <w:p w14:paraId="7BFABC7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168" w:type="dxa"/>
            <w:tcBorders>
              <w:top w:val="nil"/>
              <w:left w:val="nil"/>
              <w:bottom w:val="nil"/>
              <w:right w:val="nil"/>
            </w:tcBorders>
            <w:shd w:val="clear" w:color="auto" w:fill="auto"/>
            <w:vAlign w:val="top"/>
          </w:tcPr>
          <w:p w14:paraId="1C6F6CA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373" w:type="dxa"/>
            <w:tcBorders>
              <w:top w:val="nil"/>
              <w:left w:val="nil"/>
              <w:bottom w:val="nil"/>
              <w:right w:val="nil"/>
            </w:tcBorders>
            <w:shd w:val="clear" w:color="auto" w:fill="auto"/>
            <w:vAlign w:val="top"/>
          </w:tcPr>
          <w:p w14:paraId="63AAB01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0.0785</w:t>
            </w:r>
          </w:p>
        </w:tc>
      </w:tr>
      <w:tr w14:paraId="3A08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51DC842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p>
        </w:tc>
        <w:tc>
          <w:tcPr>
            <w:tcW w:w="1198" w:type="dxa"/>
            <w:tcBorders>
              <w:top w:val="nil"/>
              <w:left w:val="nil"/>
              <w:bottom w:val="nil"/>
              <w:right w:val="nil"/>
            </w:tcBorders>
            <w:shd w:val="clear" w:color="auto" w:fill="auto"/>
            <w:vAlign w:val="top"/>
          </w:tcPr>
          <w:p w14:paraId="65E4EB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28" w:type="dxa"/>
            <w:tcBorders>
              <w:top w:val="nil"/>
              <w:left w:val="nil"/>
              <w:bottom w:val="nil"/>
              <w:right w:val="nil"/>
            </w:tcBorders>
            <w:shd w:val="clear" w:color="auto" w:fill="auto"/>
            <w:vAlign w:val="top"/>
          </w:tcPr>
          <w:p w14:paraId="441F6BA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217" w:type="dxa"/>
            <w:tcBorders>
              <w:top w:val="nil"/>
              <w:left w:val="nil"/>
              <w:bottom w:val="nil"/>
              <w:right w:val="nil"/>
            </w:tcBorders>
            <w:shd w:val="clear" w:color="auto" w:fill="auto"/>
            <w:vAlign w:val="top"/>
          </w:tcPr>
          <w:p w14:paraId="279C8B9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337" w:type="dxa"/>
            <w:tcBorders>
              <w:top w:val="nil"/>
              <w:left w:val="nil"/>
              <w:bottom w:val="nil"/>
              <w:right w:val="nil"/>
            </w:tcBorders>
            <w:shd w:val="clear" w:color="auto" w:fill="auto"/>
            <w:vAlign w:val="top"/>
          </w:tcPr>
          <w:p w14:paraId="5B775D0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168" w:type="dxa"/>
            <w:tcBorders>
              <w:top w:val="nil"/>
              <w:left w:val="nil"/>
              <w:bottom w:val="nil"/>
              <w:right w:val="nil"/>
            </w:tcBorders>
            <w:shd w:val="clear" w:color="auto" w:fill="auto"/>
            <w:vAlign w:val="top"/>
          </w:tcPr>
          <w:p w14:paraId="36E63E2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bidi="ar-SA"/>
              </w:rPr>
            </w:pPr>
          </w:p>
        </w:tc>
        <w:tc>
          <w:tcPr>
            <w:tcW w:w="1373" w:type="dxa"/>
            <w:tcBorders>
              <w:top w:val="nil"/>
              <w:left w:val="nil"/>
              <w:bottom w:val="nil"/>
              <w:right w:val="nil"/>
            </w:tcBorders>
            <w:shd w:val="clear" w:color="auto" w:fill="auto"/>
            <w:vAlign w:val="top"/>
          </w:tcPr>
          <w:p w14:paraId="14ACE08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rPr>
              <w:t>(0.1198)</w:t>
            </w:r>
          </w:p>
        </w:tc>
      </w:tr>
      <w:tr w14:paraId="5373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1BD7657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城市固定效应</w:t>
            </w:r>
          </w:p>
        </w:tc>
        <w:tc>
          <w:tcPr>
            <w:tcW w:w="1198" w:type="dxa"/>
            <w:tcBorders>
              <w:top w:val="nil"/>
              <w:left w:val="nil"/>
              <w:bottom w:val="nil"/>
              <w:right w:val="nil"/>
            </w:tcBorders>
            <w:vAlign w:val="top"/>
          </w:tcPr>
          <w:p w14:paraId="606718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228" w:type="dxa"/>
            <w:tcBorders>
              <w:top w:val="nil"/>
              <w:left w:val="nil"/>
              <w:bottom w:val="nil"/>
              <w:right w:val="nil"/>
            </w:tcBorders>
            <w:vAlign w:val="top"/>
          </w:tcPr>
          <w:p w14:paraId="3F40FCC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217" w:type="dxa"/>
            <w:tcBorders>
              <w:top w:val="nil"/>
              <w:left w:val="nil"/>
              <w:bottom w:val="nil"/>
              <w:right w:val="nil"/>
            </w:tcBorders>
            <w:vAlign w:val="top"/>
          </w:tcPr>
          <w:p w14:paraId="484D74D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337" w:type="dxa"/>
            <w:tcBorders>
              <w:top w:val="nil"/>
              <w:left w:val="nil"/>
              <w:bottom w:val="nil"/>
              <w:right w:val="nil"/>
            </w:tcBorders>
            <w:vAlign w:val="top"/>
          </w:tcPr>
          <w:p w14:paraId="0E0D86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168" w:type="dxa"/>
            <w:tcBorders>
              <w:top w:val="nil"/>
              <w:left w:val="nil"/>
              <w:bottom w:val="nil"/>
              <w:right w:val="nil"/>
            </w:tcBorders>
            <w:vAlign w:val="top"/>
          </w:tcPr>
          <w:p w14:paraId="26CB93F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373" w:type="dxa"/>
            <w:tcBorders>
              <w:top w:val="nil"/>
              <w:left w:val="nil"/>
              <w:bottom w:val="nil"/>
              <w:right w:val="nil"/>
            </w:tcBorders>
            <w:vAlign w:val="top"/>
          </w:tcPr>
          <w:p w14:paraId="2FC62F1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4F5F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shd w:val="clear" w:color="auto" w:fill="auto"/>
            <w:vAlign w:val="top"/>
          </w:tcPr>
          <w:p w14:paraId="26D320A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年份固定效应</w:t>
            </w:r>
          </w:p>
        </w:tc>
        <w:tc>
          <w:tcPr>
            <w:tcW w:w="1198" w:type="dxa"/>
            <w:tcBorders>
              <w:top w:val="nil"/>
              <w:left w:val="nil"/>
              <w:bottom w:val="nil"/>
              <w:right w:val="nil"/>
            </w:tcBorders>
            <w:vAlign w:val="top"/>
          </w:tcPr>
          <w:p w14:paraId="479A355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228" w:type="dxa"/>
            <w:tcBorders>
              <w:top w:val="nil"/>
              <w:left w:val="nil"/>
              <w:bottom w:val="nil"/>
              <w:right w:val="nil"/>
            </w:tcBorders>
            <w:shd w:val="clear" w:color="auto" w:fill="auto"/>
            <w:vAlign w:val="top"/>
          </w:tcPr>
          <w:p w14:paraId="7A4733C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217" w:type="dxa"/>
            <w:tcBorders>
              <w:top w:val="nil"/>
              <w:left w:val="nil"/>
              <w:bottom w:val="nil"/>
              <w:right w:val="nil"/>
            </w:tcBorders>
            <w:shd w:val="clear" w:color="auto" w:fill="auto"/>
            <w:vAlign w:val="top"/>
          </w:tcPr>
          <w:p w14:paraId="56C16E0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337" w:type="dxa"/>
            <w:tcBorders>
              <w:top w:val="nil"/>
              <w:left w:val="nil"/>
              <w:bottom w:val="nil"/>
              <w:right w:val="nil"/>
            </w:tcBorders>
            <w:shd w:val="clear" w:color="auto" w:fill="auto"/>
            <w:vAlign w:val="top"/>
          </w:tcPr>
          <w:p w14:paraId="3DB64D0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168" w:type="dxa"/>
            <w:tcBorders>
              <w:top w:val="nil"/>
              <w:left w:val="nil"/>
              <w:bottom w:val="nil"/>
              <w:right w:val="nil"/>
            </w:tcBorders>
            <w:shd w:val="clear" w:color="auto" w:fill="auto"/>
            <w:vAlign w:val="top"/>
          </w:tcPr>
          <w:p w14:paraId="62217CE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373" w:type="dxa"/>
            <w:tcBorders>
              <w:top w:val="nil"/>
              <w:left w:val="nil"/>
              <w:bottom w:val="nil"/>
              <w:right w:val="nil"/>
            </w:tcBorders>
            <w:vAlign w:val="top"/>
          </w:tcPr>
          <w:p w14:paraId="1B9B265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4D62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nil"/>
              <w:right w:val="nil"/>
            </w:tcBorders>
            <w:vAlign w:val="top"/>
          </w:tcPr>
          <w:p w14:paraId="7FCD225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iCs/>
                <w:sz w:val="15"/>
                <w:szCs w:val="15"/>
                <w:highlight w:val="none"/>
                <w:lang w:eastAsia="zh-CN"/>
              </w:rPr>
            </w:pPr>
            <m:oMathPara>
              <m:oMath>
                <m:r>
                  <m:rPr/>
                  <w:rPr>
                    <w:rFonts w:hint="default" w:ascii="Cambria Math" w:hAnsi="Cambria Math" w:eastAsia="宋体" w:cs="宋体"/>
                    <w:sz w:val="15"/>
                    <w:szCs w:val="15"/>
                    <w:highlight w:val="none"/>
                    <w:lang w:val="en-US" w:eastAsia="zh-CN"/>
                  </w:rPr>
                  <m:t>N</m:t>
                </m:r>
              </m:oMath>
            </m:oMathPara>
          </w:p>
        </w:tc>
        <w:tc>
          <w:tcPr>
            <w:tcW w:w="1198" w:type="dxa"/>
            <w:tcBorders>
              <w:top w:val="nil"/>
              <w:left w:val="nil"/>
              <w:bottom w:val="nil"/>
              <w:right w:val="nil"/>
            </w:tcBorders>
            <w:vAlign w:val="top"/>
          </w:tcPr>
          <w:p w14:paraId="5A1D0FA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c>
          <w:tcPr>
            <w:tcW w:w="1228" w:type="dxa"/>
            <w:tcBorders>
              <w:top w:val="nil"/>
              <w:left w:val="nil"/>
              <w:bottom w:val="nil"/>
              <w:right w:val="nil"/>
            </w:tcBorders>
            <w:shd w:val="clear" w:color="auto" w:fill="auto"/>
            <w:vAlign w:val="top"/>
          </w:tcPr>
          <w:p w14:paraId="758E39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615</w:t>
            </w:r>
          </w:p>
        </w:tc>
        <w:tc>
          <w:tcPr>
            <w:tcW w:w="1217" w:type="dxa"/>
            <w:tcBorders>
              <w:top w:val="nil"/>
              <w:left w:val="nil"/>
              <w:bottom w:val="nil"/>
              <w:right w:val="nil"/>
            </w:tcBorders>
            <w:shd w:val="clear" w:color="auto" w:fill="auto"/>
            <w:vAlign w:val="top"/>
          </w:tcPr>
          <w:p w14:paraId="019DF7A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615</w:t>
            </w:r>
          </w:p>
        </w:tc>
        <w:tc>
          <w:tcPr>
            <w:tcW w:w="1337" w:type="dxa"/>
            <w:tcBorders>
              <w:top w:val="nil"/>
              <w:left w:val="nil"/>
              <w:bottom w:val="nil"/>
              <w:right w:val="nil"/>
            </w:tcBorders>
            <w:shd w:val="clear" w:color="auto" w:fill="auto"/>
            <w:vAlign w:val="top"/>
          </w:tcPr>
          <w:p w14:paraId="003D8F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615</w:t>
            </w:r>
          </w:p>
        </w:tc>
        <w:tc>
          <w:tcPr>
            <w:tcW w:w="1168" w:type="dxa"/>
            <w:tcBorders>
              <w:top w:val="nil"/>
              <w:left w:val="nil"/>
              <w:bottom w:val="nil"/>
              <w:right w:val="nil"/>
            </w:tcBorders>
            <w:shd w:val="clear" w:color="auto" w:fill="auto"/>
            <w:vAlign w:val="top"/>
          </w:tcPr>
          <w:p w14:paraId="6233EF4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615</w:t>
            </w:r>
          </w:p>
        </w:tc>
        <w:tc>
          <w:tcPr>
            <w:tcW w:w="1373" w:type="dxa"/>
            <w:tcBorders>
              <w:top w:val="nil"/>
              <w:left w:val="nil"/>
              <w:bottom w:val="nil"/>
              <w:right w:val="nil"/>
            </w:tcBorders>
            <w:vAlign w:val="top"/>
          </w:tcPr>
          <w:p w14:paraId="2F2A4C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宋体" w:hAnsi="宋体" w:eastAsia="宋体" w:cs="宋体"/>
                <w:sz w:val="15"/>
                <w:szCs w:val="15"/>
                <w:highlight w:val="none"/>
              </w:rPr>
              <w:t>615</w:t>
            </w:r>
          </w:p>
        </w:tc>
      </w:tr>
      <w:tr w14:paraId="67BA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tcBorders>
              <w:top w:val="nil"/>
              <w:left w:val="nil"/>
              <w:bottom w:val="single" w:color="auto" w:sz="12" w:space="0"/>
              <w:right w:val="nil"/>
            </w:tcBorders>
            <w:vAlign w:val="top"/>
          </w:tcPr>
          <w:p w14:paraId="5DDF38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m:oMathPara>
              <m:oMath>
                <m:r>
                  <m:rPr>
                    <m:sty m:val="p"/>
                  </m:rPr>
                  <w:rPr>
                    <w:rFonts w:hint="eastAsia" w:ascii="Cambria Math" w:hAnsi="Cambria Math" w:eastAsia="宋体" w:cs="宋体"/>
                    <w:sz w:val="15"/>
                    <w:szCs w:val="15"/>
                    <w:highlight w:val="none"/>
                    <w:lang w:val="en-US" w:eastAsia="zh-CN"/>
                  </w:rPr>
                  <m:t>组内</m:t>
                </m:r>
                <m:sSup>
                  <m:sSupPr>
                    <m:ctrlPr>
                      <w:rPr>
                        <w:rFonts w:hint="default" w:ascii="Cambria Math" w:hAnsi="Cambria Math" w:eastAsia="宋体" w:cs="宋体"/>
                        <w:i/>
                        <w:iCs/>
                        <w:sz w:val="15"/>
                        <w:szCs w:val="15"/>
                        <w:highlight w:val="none"/>
                      </w:rPr>
                    </m:ctrlPr>
                  </m:sSupPr>
                  <m:e>
                    <m:r>
                      <m:rPr>
                        <m:nor/>
                      </m:rPr>
                      <w:rPr>
                        <w:rFonts w:hint="default" w:ascii="Cambria Math" w:hAnsi="Cambria Math" w:eastAsia="宋体" w:cs="宋体"/>
                        <w:i/>
                        <w:iCs/>
                        <w:sz w:val="15"/>
                        <w:szCs w:val="15"/>
                        <w:highlight w:val="none"/>
                      </w:rPr>
                      <m:t>R</m:t>
                    </m:r>
                    <m:ctrlPr>
                      <w:rPr>
                        <w:rFonts w:hint="default" w:ascii="Cambria Math" w:hAnsi="Cambria Math" w:eastAsia="宋体" w:cs="宋体"/>
                        <w:i/>
                        <w:iCs/>
                        <w:sz w:val="15"/>
                        <w:szCs w:val="15"/>
                        <w:highlight w:val="none"/>
                      </w:rPr>
                    </m:ctrlPr>
                  </m:e>
                  <m:sup>
                    <m:r>
                      <m:rPr>
                        <m:nor/>
                      </m:rPr>
                      <w:rPr>
                        <w:rFonts w:hint="default" w:ascii="Cambria Math" w:hAnsi="Cambria Math" w:eastAsia="宋体" w:cs="宋体"/>
                        <w:i/>
                        <w:iCs/>
                        <w:sz w:val="15"/>
                        <w:szCs w:val="15"/>
                        <w:highlight w:val="none"/>
                      </w:rPr>
                      <m:t>2</m:t>
                    </m:r>
                    <m:ctrlPr>
                      <w:rPr>
                        <w:rFonts w:hint="default" w:ascii="Cambria Math" w:hAnsi="Cambria Math" w:eastAsia="宋体" w:cs="宋体"/>
                        <w:i/>
                        <w:iCs/>
                        <w:sz w:val="15"/>
                        <w:szCs w:val="15"/>
                        <w:highlight w:val="none"/>
                      </w:rPr>
                    </m:ctrlPr>
                  </m:sup>
                </m:sSup>
              </m:oMath>
            </m:oMathPara>
          </w:p>
        </w:tc>
        <w:tc>
          <w:tcPr>
            <w:tcW w:w="1198" w:type="dxa"/>
            <w:tcBorders>
              <w:top w:val="nil"/>
              <w:left w:val="nil"/>
              <w:bottom w:val="single" w:color="auto" w:sz="12" w:space="0"/>
              <w:right w:val="nil"/>
            </w:tcBorders>
            <w:vAlign w:val="top"/>
          </w:tcPr>
          <w:p w14:paraId="47FD35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0.6682</w:t>
            </w:r>
          </w:p>
        </w:tc>
        <w:tc>
          <w:tcPr>
            <w:tcW w:w="1228" w:type="dxa"/>
            <w:tcBorders>
              <w:top w:val="nil"/>
              <w:left w:val="nil"/>
              <w:bottom w:val="single" w:color="auto" w:sz="12" w:space="0"/>
              <w:right w:val="nil"/>
            </w:tcBorders>
            <w:shd w:val="clear" w:color="auto" w:fill="auto"/>
            <w:vAlign w:val="top"/>
          </w:tcPr>
          <w:p w14:paraId="0AD2F71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0.6877</w:t>
            </w:r>
          </w:p>
        </w:tc>
        <w:tc>
          <w:tcPr>
            <w:tcW w:w="1217" w:type="dxa"/>
            <w:tcBorders>
              <w:top w:val="nil"/>
              <w:left w:val="nil"/>
              <w:bottom w:val="single" w:color="auto" w:sz="12" w:space="0"/>
              <w:right w:val="nil"/>
            </w:tcBorders>
            <w:shd w:val="clear" w:color="auto" w:fill="auto"/>
            <w:vAlign w:val="top"/>
          </w:tcPr>
          <w:p w14:paraId="450F8B8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0.7041</w:t>
            </w:r>
          </w:p>
        </w:tc>
        <w:tc>
          <w:tcPr>
            <w:tcW w:w="1337" w:type="dxa"/>
            <w:tcBorders>
              <w:top w:val="nil"/>
              <w:left w:val="nil"/>
              <w:bottom w:val="single" w:color="auto" w:sz="12" w:space="0"/>
              <w:right w:val="nil"/>
            </w:tcBorders>
            <w:shd w:val="clear" w:color="auto" w:fill="auto"/>
            <w:vAlign w:val="top"/>
          </w:tcPr>
          <w:p w14:paraId="4B578B8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0.7085</w:t>
            </w:r>
          </w:p>
        </w:tc>
        <w:tc>
          <w:tcPr>
            <w:tcW w:w="1168" w:type="dxa"/>
            <w:tcBorders>
              <w:top w:val="nil"/>
              <w:left w:val="nil"/>
              <w:bottom w:val="single" w:color="auto" w:sz="12" w:space="0"/>
              <w:right w:val="nil"/>
            </w:tcBorders>
            <w:shd w:val="clear" w:color="auto" w:fill="auto"/>
            <w:vAlign w:val="top"/>
          </w:tcPr>
          <w:p w14:paraId="0FEF8A7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eastAsia" w:ascii="宋体" w:hAnsi="宋体" w:eastAsia="宋体" w:cs="宋体"/>
                <w:sz w:val="15"/>
                <w:szCs w:val="15"/>
                <w:highlight w:val="none"/>
              </w:rPr>
              <w:t>0.7087</w:t>
            </w:r>
          </w:p>
        </w:tc>
        <w:tc>
          <w:tcPr>
            <w:tcW w:w="1373" w:type="dxa"/>
            <w:tcBorders>
              <w:top w:val="nil"/>
              <w:left w:val="nil"/>
              <w:bottom w:val="single" w:color="auto" w:sz="12" w:space="0"/>
              <w:right w:val="nil"/>
            </w:tcBorders>
            <w:vAlign w:val="top"/>
          </w:tcPr>
          <w:p w14:paraId="147A9AB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rPr>
              <w:t>0.7110</w:t>
            </w:r>
          </w:p>
        </w:tc>
      </w:tr>
    </w:tbl>
    <w:p w14:paraId="2FB717E1">
      <w:pPr>
        <w:keepNext w:val="0"/>
        <w:keepLines w:val="0"/>
        <w:pageBreakBefore w:val="0"/>
        <w:widowControl/>
        <w:kinsoku/>
        <w:wordWrap/>
        <w:overflowPunct/>
        <w:topLinePunct w:val="0"/>
        <w:autoSpaceDE/>
        <w:autoSpaceDN/>
        <w:bidi w:val="0"/>
        <w:adjustRightInd/>
        <w:snapToGrid/>
        <w:spacing w:after="0" w:line="300" w:lineRule="exact"/>
        <w:ind w:firstLine="300" w:firstLineChars="200"/>
        <w:textAlignment w:val="auto"/>
        <w:rPr>
          <w:rFonts w:hint="eastAsia" w:ascii="宋体" w:hAnsi="宋体" w:eastAsia="宋体" w:cs="宋体"/>
          <w:sz w:val="15"/>
          <w:szCs w:val="15"/>
          <w:highlight w:val="none"/>
        </w:rPr>
      </w:pPr>
      <w:r>
        <w:rPr>
          <w:rFonts w:hint="default" w:ascii="宋体" w:hAnsi="宋体" w:eastAsia="宋体" w:cs="宋体"/>
          <w:b w:val="0"/>
          <w:sz w:val="15"/>
          <w:szCs w:val="15"/>
          <w:highlight w:val="none"/>
          <w:lang w:val="en-US" w:eastAsia="zh-CN"/>
        </w:rPr>
        <w:t>注：括号内为聚类到城市层面的稳健标准误；*p&lt;0.1,**p&lt;0.05,***p&lt;0.01</w:t>
      </w:r>
    </w:p>
    <w:p w14:paraId="7B137B1D">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列（1）为不加入控制变量的回归结果，</w:t>
      </w:r>
      <w:r>
        <w:rPr>
          <w:rFonts w:hint="eastAsia" w:ascii="宋体" w:hAnsi="宋体" w:eastAsia="宋体" w:cs="宋体"/>
          <w:b w:val="0"/>
          <w:i/>
          <w:iCs/>
          <w:sz w:val="21"/>
          <w:szCs w:val="21"/>
          <w:highlight w:val="none"/>
          <w:lang w:val="en-US" w:eastAsia="zh-CN"/>
        </w:rPr>
        <w:t>Did_cont</w:t>
      </w:r>
      <w:r>
        <w:rPr>
          <w:rFonts w:hint="eastAsia" w:ascii="宋体" w:hAnsi="宋体" w:eastAsia="宋体" w:cs="宋体"/>
          <w:b w:val="0"/>
          <w:sz w:val="21"/>
          <w:szCs w:val="21"/>
          <w:highlight w:val="none"/>
          <w:lang w:val="en-US" w:eastAsia="zh-CN"/>
        </w:rPr>
        <w:t>系数为0.0058，在1%水平上显著为正。随后逐列加入对外开放水平、人口自然增长率、城镇登记失业率、城镇化率和产业结构等控制变量，结果如表列（2）至列（6）所示。可以发现，随着控制变量的逐步加入，</w:t>
      </w:r>
      <w:r>
        <w:rPr>
          <w:rFonts w:hint="eastAsia" w:ascii="宋体" w:hAnsi="宋体" w:eastAsia="宋体" w:cs="宋体"/>
          <w:b w:val="0"/>
          <w:i/>
          <w:iCs/>
          <w:sz w:val="21"/>
          <w:szCs w:val="21"/>
          <w:highlight w:val="none"/>
          <w:lang w:val="en-US" w:eastAsia="zh-CN"/>
        </w:rPr>
        <w:t>Did_cont</w:t>
      </w:r>
      <w:r>
        <w:rPr>
          <w:rFonts w:hint="eastAsia" w:ascii="宋体" w:hAnsi="宋体" w:eastAsia="宋体" w:cs="宋体"/>
          <w:b w:val="0"/>
          <w:sz w:val="21"/>
          <w:szCs w:val="21"/>
          <w:highlight w:val="none"/>
          <w:lang w:val="en-US" w:eastAsia="zh-CN"/>
        </w:rPr>
        <w:t>系数虽有所下降，但始终在1%水平上显著为正，表明政府引导基金对区域创新生态的促进效应具有良好的稳健性。组内R²从0.6682逐步上升至0.7110，表明控制变量的加入有效提升了模型的解释力。这一结果表明，政府引导基金作为耐心资本的重要载体，能够发挥财政资金的杠杆作用，引导社会资本投向创新领域，促进创新要素集聚，有效推动区域创新生态建设，在促进长三角区域创新生态建设中发挥了重要作用。</w:t>
      </w:r>
    </w:p>
    <w:p w14:paraId="3DB4223B">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bidi="ar-SA"/>
        </w:rPr>
        <w:t>（二）</w:t>
      </w:r>
      <w:r>
        <w:rPr>
          <w:rFonts w:hint="eastAsia" w:ascii="宋体" w:hAnsi="宋体" w:eastAsia="宋体" w:cs="宋体"/>
          <w:b w:val="0"/>
          <w:sz w:val="21"/>
          <w:szCs w:val="21"/>
          <w:highlight w:val="none"/>
          <w:lang w:val="en-US" w:eastAsia="zh-CN"/>
        </w:rPr>
        <w:t>平行趋势检验</w:t>
      </w:r>
    </w:p>
    <w:p w14:paraId="4D8889F5">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平行趋势假定是双重差分法有效估计的前提，即政策实施前处理组与控制组具有相同的发展趋势，不存在显著的系统性差异。为检验平行趋势假设并分析政府引导基金对区域创新生态影响的动态效应，构建如下动态效应模型：</w:t>
      </w:r>
    </w:p>
    <w:p w14:paraId="2F895E48">
      <w:pPr>
        <w:keepNext w:val="0"/>
        <w:keepLines w:val="0"/>
        <w:pageBreakBefore w:val="0"/>
        <w:widowControl/>
        <w:kinsoku/>
        <w:wordWrap/>
        <w:overflowPunct/>
        <w:topLinePunct w:val="0"/>
        <w:autoSpaceDE/>
        <w:autoSpaceDN/>
        <w:bidi w:val="0"/>
        <w:adjustRightInd/>
        <w:snapToGrid/>
        <w:spacing w:after="0" w:line="240" w:lineRule="auto"/>
        <w:ind w:left="628" w:leftChars="190" w:hanging="210" w:hangingChars="100"/>
        <w:jc w:val="both"/>
        <w:textAlignment w:val="auto"/>
        <w:rPr>
          <w:rFonts w:ascii="Times New Roman" w:hAnsi="Times New Roman" w:eastAsia="Times New Roman"/>
          <w:b w:val="0"/>
          <w:sz w:val="21"/>
          <w:highlight w:val="none"/>
        </w:rPr>
      </w:pPr>
      <m:oMath>
        <m:r>
          <m:rPr>
            <m:nor/>
          </m:rPr>
          <w:rPr>
            <w:rFonts w:hint="default" w:ascii="Times New Roman" w:hAnsi="Times New Roman" w:eastAsia="宋体" w:cs="Times New Roman"/>
            <w:i/>
            <w:sz w:val="21"/>
            <w:szCs w:val="21"/>
            <w:highlight w:val="none"/>
          </w:rPr>
          <m:t>In</m:t>
        </m:r>
        <m:sSub>
          <m:sSubPr>
            <m:ctrlPr>
              <w:rPr>
                <w:rFonts w:hint="default" w:ascii="Cambria Math" w:hAnsi="Cambria Math" w:eastAsia="宋体" w:cs="Times New Roman"/>
                <w:sz w:val="21"/>
                <w:szCs w:val="21"/>
                <w:highlight w:val="none"/>
              </w:rPr>
            </m:ctrlPr>
          </m:sSubPr>
          <m:e>
            <m:r>
              <m:rPr>
                <m:nor/>
              </m:rPr>
              <w:rPr>
                <w:rFonts w:hint="default" w:ascii="Times New Roman" w:hAnsi="Times New Roman" w:eastAsia="宋体" w:cs="Times New Roman"/>
                <w:i/>
                <w:sz w:val="21"/>
                <w:szCs w:val="21"/>
                <w:highlight w:val="none"/>
              </w:rPr>
              <m:t>n</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it</m:t>
            </m:r>
            <m:ctrlPr>
              <w:rPr>
                <w:rFonts w:hint="default" w:ascii="Cambria Math" w:hAnsi="Cambria Math" w:eastAsia="宋体" w:cs="Times New Roman"/>
                <w:sz w:val="21"/>
                <w:szCs w:val="21"/>
                <w:highlight w:val="none"/>
              </w:rPr>
            </m:ctrlPr>
          </m:sub>
        </m:sSub>
        <m:r>
          <m:rPr>
            <m:nor/>
            <m:sty m:val="p"/>
          </m:rPr>
          <w:rPr>
            <w:rFonts w:hint="default" w:ascii="Times New Roman" w:hAnsi="Times New Roman" w:eastAsia="宋体" w:cs="Times New Roman"/>
            <w:b w:val="0"/>
            <w:i w:val="0"/>
            <w:sz w:val="21"/>
            <w:szCs w:val="21"/>
            <w:highlight w:val="none"/>
          </w:rPr>
          <m:t>=</m:t>
        </m:r>
        <m:r>
          <m:rPr>
            <m:nor/>
          </m:rPr>
          <w:rPr>
            <w:rFonts w:hint="default" w:ascii="Times New Roman" w:hAnsi="Times New Roman" w:eastAsia="宋体" w:cs="Times New Roman"/>
            <w:i/>
            <w:sz w:val="21"/>
            <w:szCs w:val="21"/>
            <w:highlight w:val="none"/>
          </w:rPr>
          <m:t>α</m:t>
        </m:r>
        <m:r>
          <m:rPr>
            <m:nor/>
            <m:sty m:val="p"/>
          </m:rPr>
          <w:rPr>
            <w:rFonts w:hint="default" w:ascii="Times New Roman" w:hAnsi="Times New Roman" w:eastAsia="宋体" w:cs="Times New Roman"/>
            <w:b w:val="0"/>
            <w:i w:val="0"/>
            <w:sz w:val="21"/>
            <w:szCs w:val="21"/>
            <w:highlight w:val="none"/>
          </w:rPr>
          <m:t>+</m:t>
        </m:r>
        <m:nary>
          <m:naryPr>
            <m:chr m:val="∑"/>
            <m:limLoc m:val="subSup"/>
            <m:ctrlPr>
              <w:rPr>
                <w:rFonts w:hint="default" w:ascii="Cambria Math" w:hAnsi="Cambria Math" w:eastAsia="宋体" w:cs="Times New Roman"/>
                <w:sz w:val="21"/>
                <w:szCs w:val="21"/>
                <w:highlight w:val="none"/>
              </w:rPr>
            </m:ctrlPr>
          </m:naryPr>
          <m:sub>
            <m:r>
              <m:rPr>
                <m:nor/>
              </m:rPr>
              <w:rPr>
                <w:rFonts w:hint="default" w:ascii="Times New Roman" w:hAnsi="Times New Roman" w:eastAsia="宋体" w:cs="Times New Roman"/>
                <w:i/>
                <w:sz w:val="21"/>
                <w:szCs w:val="21"/>
                <w:highlight w:val="none"/>
              </w:rPr>
              <m:t>k</m:t>
            </m:r>
            <m:r>
              <m:rPr>
                <m:nor/>
                <m:sty m:val="p"/>
              </m:rPr>
              <w:rPr>
                <w:rFonts w:hint="default" w:ascii="Times New Roman" w:hAnsi="Times New Roman" w:eastAsia="宋体" w:cs="Times New Roman"/>
                <w:b w:val="0"/>
                <w:i w:val="0"/>
                <w:sz w:val="21"/>
                <w:szCs w:val="21"/>
                <w:highlight w:val="none"/>
              </w:rPr>
              <m:t>=−</m:t>
            </m:r>
            <m:r>
              <m:rPr>
                <m:nor/>
              </m:rPr>
              <w:rPr>
                <w:rFonts w:hint="default" w:ascii="Times New Roman" w:hAnsi="Times New Roman" w:eastAsia="宋体" w:cs="Times New Roman"/>
                <w:i/>
                <w:sz w:val="21"/>
                <w:szCs w:val="21"/>
                <w:highlight w:val="none"/>
              </w:rPr>
              <m:t>m</m:t>
            </m:r>
            <m:ctrlPr>
              <w:rPr>
                <w:rFonts w:hint="default" w:ascii="Cambria Math" w:hAnsi="Cambria Math" w:eastAsia="宋体" w:cs="Times New Roman"/>
                <w:sz w:val="21"/>
                <w:szCs w:val="21"/>
                <w:highlight w:val="none"/>
              </w:rPr>
            </m:ctrlPr>
          </m:sub>
          <m:sup>
            <m:r>
              <m:rPr>
                <m:nor/>
              </m:rPr>
              <w:rPr>
                <w:rFonts w:hint="default" w:ascii="Times New Roman" w:hAnsi="Times New Roman" w:eastAsia="宋体" w:cs="Times New Roman"/>
                <w:i/>
                <w:sz w:val="21"/>
                <w:szCs w:val="21"/>
                <w:highlight w:val="none"/>
              </w:rPr>
              <m:t>n</m:t>
            </m:r>
            <m:ctrlPr>
              <w:rPr>
                <w:rFonts w:hint="default" w:ascii="Cambria Math" w:hAnsi="Cambria Math" w:eastAsia="宋体" w:cs="Times New Roman"/>
                <w:sz w:val="21"/>
                <w:szCs w:val="21"/>
                <w:highlight w:val="none"/>
              </w:rPr>
            </m:ctrlPr>
          </m:sup>
          <m:e>
            <m:sSub>
              <m:sSubPr>
                <m:ctrlPr>
                  <w:rPr>
                    <w:rFonts w:hint="default" w:ascii="Cambria Math" w:hAnsi="Cambria Math" w:eastAsia="宋体" w:cs="Times New Roman"/>
                    <w:sz w:val="21"/>
                    <w:szCs w:val="21"/>
                    <w:highlight w:val="none"/>
                  </w:rPr>
                </m:ctrlPr>
              </m:sSubPr>
              <m:e>
                <m:r>
                  <m:rPr>
                    <m:nor/>
                  </m:rPr>
                  <w:rPr>
                    <w:rFonts w:hint="default" w:ascii="Times New Roman" w:hAnsi="Times New Roman" w:eastAsia="宋体" w:cs="Times New Roman"/>
                    <w:i/>
                    <w:sz w:val="21"/>
                    <w:szCs w:val="21"/>
                    <w:highlight w:val="none"/>
                  </w:rPr>
                  <m:t>β</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k</m:t>
                </m:r>
                <m:ctrlPr>
                  <w:rPr>
                    <w:rFonts w:hint="default" w:ascii="Cambria Math" w:hAnsi="Cambria Math" w:eastAsia="宋体" w:cs="Times New Roman"/>
                    <w:sz w:val="21"/>
                    <w:szCs w:val="21"/>
                    <w:highlight w:val="none"/>
                  </w:rPr>
                </m:ctrlPr>
              </m:sub>
            </m:sSub>
            <m:ctrlPr>
              <w:rPr>
                <w:rFonts w:hint="default" w:ascii="Cambria Math" w:hAnsi="Cambria Math" w:eastAsia="宋体" w:cs="Times New Roman"/>
                <w:sz w:val="21"/>
                <w:szCs w:val="21"/>
                <w:highlight w:val="none"/>
              </w:rPr>
            </m:ctrlPr>
          </m:e>
        </m:nary>
        <m:r>
          <m:rPr>
            <m:nor/>
            <m:sty m:val="p"/>
          </m:rPr>
          <w:rPr>
            <w:rFonts w:hint="default" w:ascii="Times New Roman" w:hAnsi="Times New Roman" w:eastAsia="宋体" w:cs="Times New Roman"/>
            <w:b w:val="0"/>
            <w:i w:val="0"/>
            <w:iCs/>
            <w:sz w:val="21"/>
            <w:szCs w:val="21"/>
            <w:highlight w:val="none"/>
            <w:lang w:val="en-US" w:eastAsia="zh-CN"/>
          </w:rPr>
          <m:t>×</m:t>
        </m:r>
        <m:r>
          <m:rPr>
            <m:nor/>
          </m:rPr>
          <w:rPr>
            <w:rFonts w:hint="default" w:ascii="Times New Roman" w:hAnsi="Times New Roman" w:eastAsia="宋体" w:cs="Times New Roman"/>
            <w:i/>
            <w:sz w:val="21"/>
            <w:szCs w:val="21"/>
            <w:highlight w:val="none"/>
          </w:rPr>
          <m:t>Did</m:t>
        </m:r>
        <m:r>
          <m:rPr>
            <m:nor/>
            <m:sty m:val="p"/>
          </m:rPr>
          <w:rPr>
            <w:rFonts w:hint="default" w:ascii="Times New Roman" w:hAnsi="Times New Roman" w:eastAsia="宋体" w:cs="Times New Roman"/>
            <w:b w:val="0"/>
            <w:i w:val="0"/>
            <w:sz w:val="21"/>
            <w:szCs w:val="21"/>
            <w:highlight w:val="none"/>
          </w:rPr>
          <m:t>_</m:t>
        </m:r>
        <m:r>
          <m:rPr>
            <m:nor/>
          </m:rPr>
          <w:rPr>
            <w:rFonts w:hint="default" w:ascii="Times New Roman" w:hAnsi="Times New Roman" w:eastAsia="宋体" w:cs="Times New Roman"/>
            <w:i/>
            <w:sz w:val="21"/>
            <w:szCs w:val="21"/>
            <w:highlight w:val="none"/>
          </w:rPr>
          <m:t>con</m:t>
        </m:r>
        <m:sSub>
          <m:sSubPr>
            <m:ctrlPr>
              <w:rPr>
                <w:rFonts w:hint="default" w:ascii="Cambria Math" w:hAnsi="Cambria Math" w:eastAsia="宋体" w:cs="Times New Roman"/>
                <w:sz w:val="21"/>
                <w:szCs w:val="21"/>
                <w:highlight w:val="none"/>
              </w:rPr>
            </m:ctrlPr>
          </m:sSubPr>
          <m:e>
            <m:r>
              <m:rPr>
                <m:nor/>
              </m:rPr>
              <w:rPr>
                <w:rFonts w:hint="default" w:ascii="Times New Roman" w:hAnsi="Times New Roman" w:eastAsia="宋体" w:cs="Times New Roman"/>
                <w:i/>
                <w:sz w:val="21"/>
                <w:szCs w:val="21"/>
                <w:highlight w:val="none"/>
              </w:rPr>
              <m:t>t</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it</m:t>
            </m:r>
            <m:ctrlPr>
              <w:rPr>
                <w:rFonts w:hint="default" w:ascii="Cambria Math" w:hAnsi="Cambria Math" w:eastAsia="宋体" w:cs="Times New Roman"/>
                <w:sz w:val="21"/>
                <w:szCs w:val="21"/>
                <w:highlight w:val="none"/>
              </w:rPr>
            </m:ctrlPr>
          </m:sub>
        </m:sSub>
        <m:r>
          <m:rPr>
            <m:nor/>
            <m:sty m:val="p"/>
          </m:rPr>
          <w:rPr>
            <w:rFonts w:hint="default" w:ascii="Times New Roman" w:hAnsi="Times New Roman" w:eastAsia="宋体" w:cs="Times New Roman"/>
            <w:b w:val="0"/>
            <w:i w:val="0"/>
            <w:sz w:val="21"/>
            <w:szCs w:val="21"/>
            <w:highlight w:val="none"/>
          </w:rPr>
          <m:t>×</m:t>
        </m:r>
        <m:sSubSup>
          <m:sSubSupPr>
            <m:ctrlPr>
              <w:rPr>
                <w:rFonts w:hint="default" w:ascii="Cambria Math" w:hAnsi="Cambria Math" w:eastAsia="宋体" w:cs="Times New Roman"/>
                <w:sz w:val="21"/>
                <w:szCs w:val="21"/>
                <w:highlight w:val="none"/>
              </w:rPr>
            </m:ctrlPr>
          </m:sSubSupPr>
          <m:e>
            <m:r>
              <m:rPr>
                <m:nor/>
              </m:rPr>
              <w:rPr>
                <w:rFonts w:hint="default" w:ascii="Times New Roman" w:hAnsi="Times New Roman" w:eastAsia="宋体" w:cs="Times New Roman"/>
                <w:i/>
                <w:sz w:val="21"/>
                <w:szCs w:val="21"/>
                <w:highlight w:val="none"/>
              </w:rPr>
              <m:t>D</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it</m:t>
            </m:r>
            <m:ctrlPr>
              <w:rPr>
                <w:rFonts w:hint="default" w:ascii="Cambria Math" w:hAnsi="Cambria Math" w:eastAsia="宋体" w:cs="Times New Roman"/>
                <w:sz w:val="21"/>
                <w:szCs w:val="21"/>
                <w:highlight w:val="none"/>
              </w:rPr>
            </m:ctrlPr>
          </m:sub>
          <m:sup>
            <m:r>
              <m:rPr>
                <m:nor/>
              </m:rPr>
              <w:rPr>
                <w:rFonts w:hint="default" w:ascii="Times New Roman" w:hAnsi="Times New Roman" w:eastAsia="宋体" w:cs="Times New Roman"/>
                <w:i/>
                <w:sz w:val="21"/>
                <w:szCs w:val="21"/>
                <w:highlight w:val="none"/>
              </w:rPr>
              <m:t>k</m:t>
            </m:r>
            <m:ctrlPr>
              <w:rPr>
                <w:rFonts w:hint="default" w:ascii="Cambria Math" w:hAnsi="Cambria Math" w:eastAsia="宋体" w:cs="Times New Roman"/>
                <w:sz w:val="21"/>
                <w:szCs w:val="21"/>
                <w:highlight w:val="none"/>
              </w:rPr>
            </m:ctrlPr>
          </m:sup>
        </m:sSubSup>
        <m:r>
          <m:rPr>
            <m:nor/>
            <m:sty m:val="p"/>
          </m:rPr>
          <w:rPr>
            <w:rFonts w:hint="default" w:ascii="Times New Roman" w:hAnsi="Times New Roman" w:eastAsia="宋体" w:cs="Times New Roman"/>
            <w:b w:val="0"/>
            <w:i w:val="0"/>
            <w:sz w:val="21"/>
            <w:szCs w:val="21"/>
            <w:highlight w:val="none"/>
          </w:rPr>
          <m:t>+</m:t>
        </m:r>
        <m:r>
          <m:rPr>
            <m:nor/>
          </m:rPr>
          <w:rPr>
            <w:rFonts w:hint="default" w:ascii="Times New Roman" w:hAnsi="Times New Roman" w:eastAsia="宋体" w:cs="Times New Roman"/>
            <w:i/>
            <w:sz w:val="21"/>
            <w:szCs w:val="21"/>
            <w:highlight w:val="none"/>
          </w:rPr>
          <m:t>γ</m:t>
        </m:r>
        <m:r>
          <m:rPr>
            <m:nor/>
            <m:sty m:val="p"/>
          </m:rPr>
          <w:rPr>
            <w:rFonts w:hint="default" w:ascii="Times New Roman" w:hAnsi="Times New Roman" w:eastAsia="宋体" w:cs="Times New Roman"/>
            <w:b w:val="0"/>
            <w:i w:val="0"/>
            <w:iCs/>
            <w:sz w:val="21"/>
            <w:szCs w:val="21"/>
            <w:highlight w:val="none"/>
            <w:lang w:val="en-US" w:eastAsia="zh-CN"/>
          </w:rPr>
          <m:t>×</m:t>
        </m:r>
        <m:sSub>
          <m:sSubPr>
            <m:ctrlPr>
              <w:rPr>
                <w:rFonts w:hint="default" w:ascii="Cambria Math" w:hAnsi="Cambria Math" w:eastAsia="宋体" w:cs="Times New Roman"/>
                <w:sz w:val="21"/>
                <w:szCs w:val="21"/>
                <w:highlight w:val="none"/>
              </w:rPr>
            </m:ctrlPr>
          </m:sSubPr>
          <m:e>
            <m:r>
              <m:rPr>
                <m:nor/>
              </m:rPr>
              <w:rPr>
                <w:rFonts w:hint="default" w:ascii="Times New Roman" w:hAnsi="Times New Roman" w:eastAsia="宋体" w:cs="Times New Roman"/>
                <w:i/>
                <w:sz w:val="21"/>
                <w:szCs w:val="21"/>
                <w:highlight w:val="none"/>
              </w:rPr>
              <m:t>X</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it</m:t>
            </m:r>
            <m:ctrlPr>
              <w:rPr>
                <w:rFonts w:hint="default" w:ascii="Cambria Math" w:hAnsi="Cambria Math" w:eastAsia="宋体" w:cs="Times New Roman"/>
                <w:sz w:val="21"/>
                <w:szCs w:val="21"/>
                <w:highlight w:val="none"/>
              </w:rPr>
            </m:ctrlPr>
          </m:sub>
        </m:sSub>
        <m:r>
          <m:rPr>
            <m:nor/>
            <m:sty m:val="p"/>
          </m:rPr>
          <w:rPr>
            <w:rFonts w:hint="default" w:ascii="Times New Roman" w:hAnsi="Times New Roman" w:eastAsia="宋体" w:cs="Times New Roman"/>
            <w:b w:val="0"/>
            <w:i w:val="0"/>
            <w:sz w:val="21"/>
            <w:szCs w:val="21"/>
            <w:highlight w:val="none"/>
          </w:rPr>
          <m:t>+</m:t>
        </m:r>
        <m:sSub>
          <m:sSubPr>
            <m:ctrlPr>
              <w:rPr>
                <w:rFonts w:hint="default" w:ascii="Cambria Math" w:hAnsi="Cambria Math" w:eastAsia="宋体" w:cs="Times New Roman"/>
                <w:sz w:val="21"/>
                <w:szCs w:val="21"/>
                <w:highlight w:val="none"/>
              </w:rPr>
            </m:ctrlPr>
          </m:sSubPr>
          <m:e>
            <m:r>
              <m:rPr>
                <m:nor/>
              </m:rPr>
              <w:rPr>
                <w:rFonts w:hint="default" w:ascii="Times New Roman" w:hAnsi="Times New Roman" w:eastAsia="宋体" w:cs="Times New Roman"/>
                <w:i/>
                <w:sz w:val="21"/>
                <w:szCs w:val="21"/>
                <w:highlight w:val="none"/>
              </w:rPr>
              <m:t>μ</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i</m:t>
            </m:r>
            <m:ctrlPr>
              <w:rPr>
                <w:rFonts w:hint="default" w:ascii="Cambria Math" w:hAnsi="Cambria Math" w:eastAsia="宋体" w:cs="Times New Roman"/>
                <w:sz w:val="21"/>
                <w:szCs w:val="21"/>
                <w:highlight w:val="none"/>
              </w:rPr>
            </m:ctrlPr>
          </m:sub>
        </m:sSub>
        <m:r>
          <m:rPr>
            <m:nor/>
            <m:sty m:val="p"/>
          </m:rPr>
          <w:rPr>
            <w:rFonts w:hint="default" w:ascii="Times New Roman" w:hAnsi="Times New Roman" w:eastAsia="宋体" w:cs="Times New Roman"/>
            <w:b w:val="0"/>
            <w:i w:val="0"/>
            <w:sz w:val="21"/>
            <w:szCs w:val="21"/>
            <w:highlight w:val="none"/>
          </w:rPr>
          <m:t>+</m:t>
        </m:r>
        <m:sSub>
          <m:sSubPr>
            <m:ctrlPr>
              <w:rPr>
                <w:rFonts w:hint="default" w:ascii="Cambria Math" w:hAnsi="Cambria Math" w:eastAsia="宋体" w:cs="Times New Roman"/>
                <w:sz w:val="21"/>
                <w:szCs w:val="21"/>
                <w:highlight w:val="none"/>
              </w:rPr>
            </m:ctrlPr>
          </m:sSubPr>
          <m:e>
            <m:r>
              <m:rPr>
                <m:nor/>
              </m:rPr>
              <w:rPr>
                <w:rFonts w:hint="default" w:ascii="Times New Roman" w:hAnsi="Times New Roman" w:eastAsia="宋体" w:cs="Times New Roman"/>
                <w:i/>
                <w:sz w:val="21"/>
                <w:szCs w:val="21"/>
                <w:highlight w:val="none"/>
              </w:rPr>
              <m:t>λ</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t</m:t>
            </m:r>
            <m:ctrlPr>
              <w:rPr>
                <w:rFonts w:hint="default" w:ascii="Cambria Math" w:hAnsi="Cambria Math" w:eastAsia="宋体" w:cs="Times New Roman"/>
                <w:sz w:val="21"/>
                <w:szCs w:val="21"/>
                <w:highlight w:val="none"/>
              </w:rPr>
            </m:ctrlPr>
          </m:sub>
        </m:sSub>
        <m:r>
          <m:rPr>
            <m:nor/>
            <m:sty m:val="p"/>
          </m:rPr>
          <w:rPr>
            <w:rFonts w:hint="default" w:ascii="Times New Roman" w:hAnsi="Times New Roman" w:eastAsia="宋体" w:cs="Times New Roman"/>
            <w:b w:val="0"/>
            <w:i w:val="0"/>
            <w:sz w:val="21"/>
            <w:szCs w:val="21"/>
            <w:highlight w:val="none"/>
          </w:rPr>
          <m:t>+</m:t>
        </m:r>
        <m:sSub>
          <m:sSubPr>
            <m:ctrlPr>
              <w:rPr>
                <w:rFonts w:hint="default" w:ascii="Cambria Math" w:hAnsi="Cambria Math" w:eastAsia="宋体" w:cs="Times New Roman"/>
                <w:sz w:val="21"/>
                <w:szCs w:val="21"/>
                <w:highlight w:val="none"/>
              </w:rPr>
            </m:ctrlPr>
          </m:sSubPr>
          <m:e>
            <m:r>
              <m:rPr>
                <m:nor/>
              </m:rPr>
              <w:rPr>
                <w:rFonts w:hint="default" w:ascii="Times New Roman" w:hAnsi="Times New Roman" w:eastAsia="宋体" w:cs="Times New Roman"/>
                <w:i/>
                <w:sz w:val="21"/>
                <w:szCs w:val="21"/>
                <w:highlight w:val="none"/>
              </w:rPr>
              <m:t>ε</m:t>
            </m:r>
            <m:ctrlPr>
              <w:rPr>
                <w:rFonts w:hint="default" w:ascii="Cambria Math" w:hAnsi="Cambria Math" w:eastAsia="宋体" w:cs="Times New Roman"/>
                <w:sz w:val="21"/>
                <w:szCs w:val="21"/>
                <w:highlight w:val="none"/>
              </w:rPr>
            </m:ctrlPr>
          </m:e>
          <m:sub>
            <m:r>
              <m:rPr>
                <m:nor/>
              </m:rPr>
              <w:rPr>
                <w:rFonts w:hint="default" w:ascii="Times New Roman" w:hAnsi="Times New Roman" w:eastAsia="宋体" w:cs="Times New Roman"/>
                <w:i/>
                <w:sz w:val="21"/>
                <w:szCs w:val="21"/>
                <w:highlight w:val="none"/>
              </w:rPr>
              <m:t>it</m:t>
            </m:r>
            <m:ctrlPr>
              <w:rPr>
                <w:rFonts w:hint="default" w:ascii="Cambria Math" w:hAnsi="Cambria Math" w:eastAsia="宋体" w:cs="Times New Roman"/>
                <w:sz w:val="21"/>
                <w:szCs w:val="21"/>
                <w:highlight w:val="none"/>
              </w:rPr>
            </m:ctrlPr>
          </m:sub>
        </m:sSub>
      </m:oMath>
      <w:r>
        <w:rPr>
          <w:rFonts w:hint="eastAsia" w:hAnsi="Cambria Math" w:eastAsia="宋体" w:cs="Times New Roman"/>
          <w:i w:val="0"/>
          <w:iCs/>
          <w:sz w:val="21"/>
          <w:szCs w:val="21"/>
          <w:highlight w:val="none"/>
          <w:lang w:val="en-US" w:eastAsia="zh-CN"/>
        </w:rPr>
        <w:t xml:space="preserve">                                                                           </w:t>
      </w:r>
      <w:r>
        <w:rPr>
          <w:rFonts w:ascii="Times New Roman" w:hAnsi="Times New Roman" w:eastAsia="Times New Roman"/>
          <w:b w:val="0"/>
          <w:sz w:val="21"/>
          <w:highlight w:val="none"/>
        </w:rPr>
        <w:t>（</w:t>
      </w:r>
      <w:r>
        <w:rPr>
          <w:rFonts w:hint="eastAsia" w:ascii="Times New Roman" w:hAnsi="Times New Roman" w:eastAsia="宋体"/>
          <w:b w:val="0"/>
          <w:sz w:val="21"/>
          <w:highlight w:val="none"/>
          <w:lang w:val="en-US" w:eastAsia="zh-CN"/>
        </w:rPr>
        <w:t>4</w:t>
      </w:r>
      <w:r>
        <w:rPr>
          <w:rFonts w:ascii="Times New Roman" w:hAnsi="Times New Roman" w:eastAsia="Times New Roman"/>
          <w:b w:val="0"/>
          <w:sz w:val="21"/>
          <w:highlight w:val="none"/>
        </w:rPr>
        <w:t>）</w:t>
      </w:r>
    </w:p>
    <w:p w14:paraId="6AD93B6F">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eastAsia="宋体"/>
          <w:highlight w:val="none"/>
          <w:lang w:eastAsia="zh-CN"/>
        </w:rPr>
      </w:pPr>
      <w:r>
        <w:rPr>
          <w:rFonts w:hint="eastAsia" w:ascii="宋体" w:hAnsi="宋体" w:eastAsia="宋体" w:cs="宋体"/>
          <w:b w:val="0"/>
          <w:sz w:val="21"/>
          <w:szCs w:val="21"/>
          <w:highlight w:val="none"/>
          <w:lang w:val="en-US" w:eastAsia="zh-CN"/>
        </w:rPr>
        <w:t>图1报告了平行趋势检验的结果。如图所示，在政府引导基金政策实施前，各期系数均不显著且置信区间均包含0，表明处理组与控制组在政策实施前不存在显著差异，满足平行趋势假设。政策实施后，从第3年开始系数估计值显著为正，且呈现逐步增大的趋势，表明政府引导基金对区域创新生态的促进效应逐步显现，且具有动态持续性特征。</w:t>
      </w:r>
    </w:p>
    <w:p w14:paraId="797130A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eastAsia="宋体"/>
          <w:highlight w:val="none"/>
          <w:lang w:eastAsia="zh-CN"/>
        </w:rPr>
      </w:pPr>
      <w:r>
        <w:rPr>
          <w:rFonts w:hint="eastAsia" w:eastAsia="宋体"/>
          <w:highlight w:val="none"/>
          <w:lang w:eastAsia="zh-CN"/>
        </w:rPr>
        <w:drawing>
          <wp:inline distT="0" distB="0" distL="114300" distR="114300">
            <wp:extent cx="3409950" cy="2096770"/>
            <wp:effectExtent l="0" t="0" r="6350" b="11430"/>
            <wp:docPr id="1" name="图片 1" descr="图1_平行趋势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_平行趋势检验"/>
                    <pic:cNvPicPr>
                      <a:picLocks noChangeAspect="1"/>
                    </pic:cNvPicPr>
                  </pic:nvPicPr>
                  <pic:blipFill>
                    <a:blip r:embed="rId6"/>
                    <a:srcRect t="10850" b="4629"/>
                    <a:stretch>
                      <a:fillRect/>
                    </a:stretch>
                  </pic:blipFill>
                  <pic:spPr>
                    <a:xfrm>
                      <a:off x="0" y="0"/>
                      <a:ext cx="3409950" cy="2096770"/>
                    </a:xfrm>
                    <a:prstGeom prst="rect">
                      <a:avLst/>
                    </a:prstGeom>
                  </pic:spPr>
                </pic:pic>
              </a:graphicData>
            </a:graphic>
          </wp:inline>
        </w:drawing>
      </w:r>
    </w:p>
    <w:p w14:paraId="685F79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楷体" w:hAnsi="楷体" w:eastAsia="楷体" w:cs="楷体"/>
          <w:b w:val="0"/>
          <w:sz w:val="21"/>
          <w:szCs w:val="21"/>
          <w:highlight w:val="none"/>
          <w:lang w:val="en-US" w:eastAsia="zh-CN"/>
        </w:rPr>
      </w:pPr>
      <w:r>
        <w:rPr>
          <w:rFonts w:hint="eastAsia" w:ascii="黑体" w:hAnsi="黑体" w:eastAsia="黑体" w:cs="黑体"/>
          <w:b/>
          <w:bCs w:val="0"/>
          <w:sz w:val="15"/>
          <w:szCs w:val="15"/>
          <w:highlight w:val="none"/>
        </w:rPr>
        <w:t>图1</w:t>
      </w:r>
      <w:r>
        <w:rPr>
          <w:rFonts w:hint="eastAsia" w:ascii="黑体" w:hAnsi="黑体" w:eastAsia="黑体" w:cs="黑体"/>
          <w:b/>
          <w:bCs w:val="0"/>
          <w:sz w:val="15"/>
          <w:szCs w:val="15"/>
          <w:highlight w:val="none"/>
          <w:lang w:val="en-US" w:eastAsia="zh-CN"/>
        </w:rPr>
        <w:t xml:space="preserve">  </w:t>
      </w:r>
      <w:r>
        <w:rPr>
          <w:rFonts w:hint="eastAsia" w:ascii="黑体" w:hAnsi="黑体" w:eastAsia="黑体" w:cs="黑体"/>
          <w:b/>
          <w:bCs w:val="0"/>
          <w:sz w:val="15"/>
          <w:szCs w:val="15"/>
          <w:highlight w:val="none"/>
        </w:rPr>
        <w:t>平行趋势检验</w:t>
      </w:r>
    </w:p>
    <w:p w14:paraId="5421FD48">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default"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bidi="ar-SA"/>
        </w:rPr>
        <w:t>（三）</w:t>
      </w:r>
      <w:r>
        <w:rPr>
          <w:rFonts w:hint="eastAsia" w:ascii="宋体" w:hAnsi="宋体" w:eastAsia="宋体" w:cs="宋体"/>
          <w:b w:val="0"/>
          <w:sz w:val="21"/>
          <w:szCs w:val="21"/>
          <w:highlight w:val="none"/>
          <w:lang w:val="en-US" w:eastAsia="zh-CN"/>
        </w:rPr>
        <w:t>内生性及稳健性检验</w:t>
      </w:r>
    </w:p>
    <w:p w14:paraId="0815A6A4">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1.内生性检验</w:t>
      </w:r>
    </w:p>
    <w:p w14:paraId="3D5CE3CF">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尽管基准回归已控制城市和年份固定效应，但耐心资本与区域创新生态之间仍可能存在反向因果问题——创新生态水平较高的城市往往也更有能力和意愿设立大规模政府引导基金，同时还可能存在遗漏变量偏差。为缓解上述内生性问题，本文进一步采用工具变量法进行稳健性检验，结果如表4所示。</w:t>
      </w:r>
    </w:p>
    <w:p w14:paraId="61DC48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黑体" w:hAnsi="黑体" w:eastAsia="黑体" w:cs="黑体"/>
          <w:b/>
          <w:bCs w:val="0"/>
          <w:sz w:val="15"/>
          <w:szCs w:val="15"/>
          <w:highlight w:val="none"/>
          <w:lang w:val="en-US" w:eastAsia="zh-CN"/>
        </w:rPr>
      </w:pPr>
      <w:r>
        <w:rPr>
          <w:rFonts w:hint="eastAsia" w:ascii="黑体" w:hAnsi="黑体" w:eastAsia="黑体" w:cs="黑体"/>
          <w:b/>
          <w:bCs w:val="0"/>
          <w:sz w:val="15"/>
          <w:szCs w:val="15"/>
          <w:highlight w:val="none"/>
          <w:lang w:val="en-US" w:eastAsia="zh-CN"/>
        </w:rPr>
        <w:t>表4  内生性检验结果</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2789"/>
        <w:gridCol w:w="2391"/>
      </w:tblGrid>
      <w:tr w14:paraId="3151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auto" w:sz="12" w:space="0"/>
              <w:left w:val="nil"/>
              <w:bottom w:val="single" w:color="auto" w:sz="6" w:space="0"/>
              <w:right w:val="nil"/>
            </w:tcBorders>
            <w:vAlign w:val="top"/>
          </w:tcPr>
          <w:p w14:paraId="13CA1B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变量</w:t>
            </w:r>
          </w:p>
        </w:tc>
        <w:tc>
          <w:tcPr>
            <w:tcW w:w="2789" w:type="dxa"/>
            <w:tcBorders>
              <w:top w:val="single" w:color="auto" w:sz="12" w:space="0"/>
              <w:left w:val="nil"/>
              <w:bottom w:val="single" w:color="auto" w:sz="6" w:space="0"/>
              <w:right w:val="nil"/>
            </w:tcBorders>
            <w:vAlign w:val="top"/>
          </w:tcPr>
          <w:p w14:paraId="132391A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default" w:ascii="宋体" w:hAnsi="宋体" w:eastAsia="宋体" w:cs="宋体"/>
                <w:sz w:val="15"/>
                <w:szCs w:val="15"/>
                <w:highlight w:val="none"/>
              </w:rPr>
              <w:t>(1)第一阶段</w:t>
            </w:r>
          </w:p>
        </w:tc>
        <w:tc>
          <w:tcPr>
            <w:tcW w:w="2391" w:type="dxa"/>
            <w:tcBorders>
              <w:top w:val="single" w:color="auto" w:sz="12" w:space="0"/>
              <w:left w:val="nil"/>
              <w:bottom w:val="single" w:color="auto" w:sz="6" w:space="0"/>
              <w:right w:val="nil"/>
            </w:tcBorders>
            <w:vAlign w:val="top"/>
          </w:tcPr>
          <w:p w14:paraId="29D1FBE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w:t>
            </w:r>
            <w:r>
              <w:rPr>
                <w:rFonts w:hint="eastAsia" w:ascii="宋体" w:hAnsi="宋体" w:eastAsia="宋体" w:cs="宋体"/>
                <w:sz w:val="15"/>
                <w:szCs w:val="15"/>
                <w:highlight w:val="none"/>
                <w:lang w:val="en-US" w:eastAsia="zh-CN"/>
              </w:rPr>
              <w:t>2</w:t>
            </w:r>
            <w:r>
              <w:rPr>
                <w:rFonts w:hint="eastAsia" w:ascii="宋体" w:hAnsi="宋体" w:eastAsia="宋体" w:cs="宋体"/>
                <w:sz w:val="15"/>
                <w:szCs w:val="15"/>
                <w:highlight w:val="none"/>
              </w:rPr>
              <w:t>)第二阶段</w:t>
            </w:r>
          </w:p>
        </w:tc>
      </w:tr>
      <w:tr w14:paraId="3FD1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18" w:type="dxa"/>
            <w:tcBorders>
              <w:top w:val="single" w:color="auto" w:sz="6" w:space="0"/>
              <w:left w:val="nil"/>
              <w:bottom w:val="nil"/>
              <w:right w:val="nil"/>
            </w:tcBorders>
            <w:vAlign w:val="top"/>
          </w:tcPr>
          <w:p w14:paraId="16DC0E9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zh-CN"/>
                <w:oMath/>
              </w:rPr>
            </w:pPr>
            <m:oMath>
              <m:r>
                <m:rPr>
                  <m:nor/>
                </m:rPr>
                <w:rPr>
                  <w:rFonts w:hint="default" w:ascii="Times New Roman" w:hAnsi="Times New Roman" w:eastAsia="宋体" w:cs="Times New Roman"/>
                  <w:i/>
                  <w:iCs/>
                  <w:sz w:val="15"/>
                  <w:szCs w:val="15"/>
                  <w:highlight w:val="none"/>
                  <w:lang w:val="en-US" w:eastAsia="zh-CN"/>
                </w:rPr>
                <m:t>D</m:t>
              </m:r>
              <m:r>
                <m:rPr>
                  <m:nor/>
                </m:rPr>
                <w:rPr>
                  <w:rFonts w:hint="default" w:ascii="Times New Roman" w:hAnsi="Times New Roman" w:eastAsia="宋体" w:cs="Times New Roman"/>
                  <w:i/>
                  <w:iCs/>
                  <w:sz w:val="15"/>
                  <w:szCs w:val="15"/>
                  <w:highlight w:val="none"/>
                </w:rPr>
                <m:t>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w:r>
              <w:rPr>
                <w:rFonts w:hint="default" w:hAnsi="Times New Roman" w:eastAsia="宋体" w:cs="Times New Roman"/>
                <w:i/>
                <w:iCs/>
                <w:sz w:val="15"/>
                <w:szCs w:val="15"/>
                <w:highlight w:val="none"/>
                <w:lang w:val="en-US" w:eastAsia="zh-CN"/>
              </w:rPr>
              <w:t>_lag1</w:t>
            </w:r>
          </w:p>
        </w:tc>
        <w:tc>
          <w:tcPr>
            <w:tcW w:w="2789" w:type="dxa"/>
            <w:tcBorders>
              <w:top w:val="single" w:color="auto" w:sz="6" w:space="0"/>
              <w:left w:val="nil"/>
              <w:bottom w:val="nil"/>
              <w:right w:val="nil"/>
            </w:tcBorders>
            <w:shd w:val="clear" w:color="auto" w:fill="auto"/>
            <w:vAlign w:val="top"/>
          </w:tcPr>
          <w:p w14:paraId="1D3E846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0.2821***</w:t>
            </w:r>
          </w:p>
        </w:tc>
        <w:tc>
          <w:tcPr>
            <w:tcW w:w="2391" w:type="dxa"/>
            <w:tcBorders>
              <w:top w:val="single" w:color="auto" w:sz="6" w:space="0"/>
              <w:left w:val="nil"/>
              <w:bottom w:val="nil"/>
              <w:right w:val="nil"/>
            </w:tcBorders>
            <w:shd w:val="clear" w:color="auto" w:fill="auto"/>
            <w:vAlign w:val="top"/>
          </w:tcPr>
          <w:p w14:paraId="2D06CCF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333F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18" w:type="dxa"/>
            <w:tcBorders>
              <w:top w:val="nil"/>
              <w:left w:val="nil"/>
              <w:bottom w:val="nil"/>
              <w:right w:val="nil"/>
            </w:tcBorders>
            <w:vAlign w:val="top"/>
          </w:tcPr>
          <w:p w14:paraId="2029E4D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zh-CN"/>
                <w:oMath/>
              </w:rPr>
            </w:pPr>
          </w:p>
        </w:tc>
        <w:tc>
          <w:tcPr>
            <w:tcW w:w="2789" w:type="dxa"/>
            <w:tcBorders>
              <w:top w:val="nil"/>
              <w:left w:val="nil"/>
              <w:bottom w:val="nil"/>
              <w:right w:val="nil"/>
            </w:tcBorders>
            <w:shd w:val="clear" w:color="auto" w:fill="auto"/>
            <w:vAlign w:val="top"/>
          </w:tcPr>
          <w:p w14:paraId="77D3EF4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(0.0429)</w:t>
            </w:r>
          </w:p>
        </w:tc>
        <w:tc>
          <w:tcPr>
            <w:tcW w:w="2391" w:type="dxa"/>
            <w:tcBorders>
              <w:top w:val="nil"/>
              <w:left w:val="nil"/>
              <w:bottom w:val="nil"/>
              <w:right w:val="nil"/>
            </w:tcBorders>
            <w:shd w:val="clear" w:color="auto" w:fill="auto"/>
            <w:vAlign w:val="top"/>
          </w:tcPr>
          <w:p w14:paraId="76F8A81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7D86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18" w:type="dxa"/>
            <w:tcBorders>
              <w:top w:val="nil"/>
              <w:left w:val="nil"/>
              <w:bottom w:val="nil"/>
              <w:right w:val="nil"/>
            </w:tcBorders>
            <w:vAlign w:val="top"/>
          </w:tcPr>
          <w:p w14:paraId="3537BA6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D</m:t>
                </m:r>
                <m:r>
                  <m:rPr>
                    <m:nor/>
                  </m:rPr>
                  <w:rPr>
                    <w:rFonts w:hint="default" w:ascii="Times New Roman" w:hAnsi="Times New Roman" w:eastAsia="宋体" w:cs="Times New Roman"/>
                    <w:i/>
                    <w:iCs/>
                    <w:sz w:val="15"/>
                    <w:szCs w:val="15"/>
                    <w:highlight w:val="none"/>
                  </w:rPr>
                  <m:t>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m:oMathPara>
          </w:p>
        </w:tc>
        <w:tc>
          <w:tcPr>
            <w:tcW w:w="2789" w:type="dxa"/>
            <w:tcBorders>
              <w:top w:val="nil"/>
              <w:left w:val="nil"/>
              <w:bottom w:val="nil"/>
              <w:right w:val="nil"/>
            </w:tcBorders>
            <w:shd w:val="clear" w:color="auto" w:fill="auto"/>
            <w:vAlign w:val="top"/>
          </w:tcPr>
          <w:p w14:paraId="1518898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2391" w:type="dxa"/>
            <w:tcBorders>
              <w:top w:val="nil"/>
              <w:left w:val="nil"/>
              <w:bottom w:val="nil"/>
              <w:right w:val="nil"/>
            </w:tcBorders>
            <w:shd w:val="clear" w:color="auto" w:fill="auto"/>
            <w:vAlign w:val="top"/>
          </w:tcPr>
          <w:p w14:paraId="79143BF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0.0041</w:t>
            </w:r>
          </w:p>
        </w:tc>
      </w:tr>
      <w:tr w14:paraId="0791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nil"/>
              <w:left w:val="nil"/>
              <w:bottom w:val="nil"/>
              <w:right w:val="nil"/>
            </w:tcBorders>
            <w:vAlign w:val="top"/>
          </w:tcPr>
          <w:p w14:paraId="5126BA5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w:p>
        </w:tc>
        <w:tc>
          <w:tcPr>
            <w:tcW w:w="2789" w:type="dxa"/>
            <w:tcBorders>
              <w:top w:val="nil"/>
              <w:left w:val="nil"/>
              <w:bottom w:val="nil"/>
              <w:right w:val="nil"/>
            </w:tcBorders>
            <w:shd w:val="clear" w:color="auto" w:fill="auto"/>
            <w:vAlign w:val="top"/>
          </w:tcPr>
          <w:p w14:paraId="110895E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p>
        </w:tc>
        <w:tc>
          <w:tcPr>
            <w:tcW w:w="2391" w:type="dxa"/>
            <w:tcBorders>
              <w:top w:val="nil"/>
              <w:left w:val="nil"/>
              <w:bottom w:val="nil"/>
              <w:right w:val="nil"/>
            </w:tcBorders>
            <w:shd w:val="clear" w:color="auto" w:fill="auto"/>
            <w:vAlign w:val="top"/>
          </w:tcPr>
          <w:p w14:paraId="21A71AB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(0.0032)</w:t>
            </w:r>
          </w:p>
        </w:tc>
      </w:tr>
      <w:tr w14:paraId="3E2B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nil"/>
              <w:left w:val="nil"/>
              <w:bottom w:val="nil"/>
              <w:right w:val="nil"/>
            </w:tcBorders>
            <w:shd w:val="clear" w:color="auto" w:fill="auto"/>
            <w:vAlign w:val="top"/>
          </w:tcPr>
          <w:p w14:paraId="5A0CA42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en-US"/>
              </w:rPr>
            </w:pPr>
            <w:r>
              <w:rPr>
                <w:rFonts w:hint="eastAsia" w:ascii="Times New Roman" w:hAnsi="Times New Roman" w:eastAsia="宋体" w:cs="Times New Roman"/>
                <w:i w:val="0"/>
                <w:iCs w:val="0"/>
                <w:sz w:val="15"/>
                <w:szCs w:val="15"/>
                <w:highlight w:val="none"/>
                <w:lang w:val="en-US" w:eastAsia="zh-CN"/>
              </w:rPr>
              <w:t>控制变量</w:t>
            </w:r>
          </w:p>
        </w:tc>
        <w:tc>
          <w:tcPr>
            <w:tcW w:w="2789" w:type="dxa"/>
            <w:tcBorders>
              <w:top w:val="nil"/>
              <w:left w:val="nil"/>
              <w:bottom w:val="nil"/>
              <w:right w:val="nil"/>
            </w:tcBorders>
            <w:shd w:val="clear" w:color="auto" w:fill="auto"/>
            <w:vAlign w:val="top"/>
          </w:tcPr>
          <w:p w14:paraId="1818802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2391" w:type="dxa"/>
            <w:tcBorders>
              <w:top w:val="nil"/>
              <w:left w:val="nil"/>
              <w:bottom w:val="nil"/>
              <w:right w:val="nil"/>
            </w:tcBorders>
            <w:shd w:val="clear" w:color="auto" w:fill="auto"/>
            <w:vAlign w:val="top"/>
          </w:tcPr>
          <w:p w14:paraId="667DDD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6F57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nil"/>
              <w:left w:val="nil"/>
              <w:bottom w:val="nil"/>
              <w:right w:val="nil"/>
            </w:tcBorders>
            <w:vAlign w:val="top"/>
          </w:tcPr>
          <w:p w14:paraId="0E6C515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w:r>
              <w:rPr>
                <w:rFonts w:ascii="宋体" w:hAnsi="宋体" w:eastAsia="宋体" w:cs="宋体"/>
                <w:sz w:val="15"/>
                <w:szCs w:val="15"/>
                <w:highlight w:val="none"/>
              </w:rPr>
              <w:t>城市固定效应</w:t>
            </w:r>
          </w:p>
        </w:tc>
        <w:tc>
          <w:tcPr>
            <w:tcW w:w="2789" w:type="dxa"/>
            <w:tcBorders>
              <w:top w:val="nil"/>
              <w:left w:val="nil"/>
              <w:bottom w:val="nil"/>
              <w:right w:val="nil"/>
            </w:tcBorders>
            <w:shd w:val="clear" w:color="auto" w:fill="auto"/>
            <w:vAlign w:val="top"/>
          </w:tcPr>
          <w:p w14:paraId="3208D30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2391" w:type="dxa"/>
            <w:tcBorders>
              <w:top w:val="nil"/>
              <w:left w:val="nil"/>
              <w:bottom w:val="nil"/>
              <w:right w:val="nil"/>
            </w:tcBorders>
            <w:vAlign w:val="top"/>
          </w:tcPr>
          <w:p w14:paraId="2A221BB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3F38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3118" w:type="dxa"/>
            <w:tcBorders>
              <w:top w:val="nil"/>
              <w:left w:val="nil"/>
              <w:bottom w:val="nil"/>
              <w:right w:val="nil"/>
            </w:tcBorders>
            <w:vAlign w:val="top"/>
          </w:tcPr>
          <w:p w14:paraId="1C4637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w:r>
              <w:rPr>
                <w:rFonts w:ascii="宋体" w:hAnsi="宋体" w:eastAsia="宋体" w:cs="宋体"/>
                <w:sz w:val="15"/>
                <w:szCs w:val="15"/>
                <w:highlight w:val="none"/>
              </w:rPr>
              <w:t>年份固定效应</w:t>
            </w:r>
          </w:p>
        </w:tc>
        <w:tc>
          <w:tcPr>
            <w:tcW w:w="2789" w:type="dxa"/>
            <w:tcBorders>
              <w:top w:val="nil"/>
              <w:left w:val="nil"/>
              <w:bottom w:val="nil"/>
              <w:right w:val="nil"/>
            </w:tcBorders>
            <w:shd w:val="clear" w:color="auto" w:fill="auto"/>
            <w:vAlign w:val="top"/>
          </w:tcPr>
          <w:p w14:paraId="54F41F4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2391" w:type="dxa"/>
            <w:tcBorders>
              <w:top w:val="nil"/>
              <w:left w:val="nil"/>
              <w:bottom w:val="nil"/>
              <w:right w:val="nil"/>
            </w:tcBorders>
            <w:vAlign w:val="top"/>
          </w:tcPr>
          <w:p w14:paraId="74283E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0CF8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nil"/>
              <w:left w:val="nil"/>
              <w:bottom w:val="nil"/>
              <w:right w:val="nil"/>
            </w:tcBorders>
            <w:vAlign w:val="top"/>
          </w:tcPr>
          <w:p w14:paraId="0A7AF45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m:oMathPara>
              <m:oMath>
                <m:r>
                  <m:rPr>
                    <m:nor/>
                  </m:rPr>
                  <w:rPr>
                    <w:rFonts w:hint="default" w:ascii="Cambria Math" w:hAnsi="Cambria Math" w:eastAsia="宋体" w:cs="宋体"/>
                    <w:i/>
                    <w:iCs/>
                    <w:sz w:val="15"/>
                    <w:szCs w:val="15"/>
                    <w:highlight w:val="none"/>
                  </w:rPr>
                  <m:t>N</m:t>
                </m:r>
              </m:oMath>
            </m:oMathPara>
          </w:p>
        </w:tc>
        <w:tc>
          <w:tcPr>
            <w:tcW w:w="2789" w:type="dxa"/>
            <w:tcBorders>
              <w:top w:val="nil"/>
              <w:left w:val="nil"/>
              <w:bottom w:val="nil"/>
              <w:right w:val="nil"/>
            </w:tcBorders>
            <w:vAlign w:val="top"/>
          </w:tcPr>
          <w:p w14:paraId="1BB9F80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574</w:t>
            </w:r>
          </w:p>
        </w:tc>
        <w:tc>
          <w:tcPr>
            <w:tcW w:w="2391" w:type="dxa"/>
            <w:tcBorders>
              <w:top w:val="nil"/>
              <w:left w:val="nil"/>
              <w:bottom w:val="nil"/>
              <w:right w:val="nil"/>
            </w:tcBorders>
            <w:shd w:val="clear" w:color="auto" w:fill="auto"/>
            <w:vAlign w:val="top"/>
          </w:tcPr>
          <w:p w14:paraId="503EBD7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574</w:t>
            </w:r>
          </w:p>
        </w:tc>
      </w:tr>
      <w:tr w14:paraId="7560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nil"/>
              <w:left w:val="nil"/>
              <w:bottom w:val="single" w:color="auto" w:sz="12" w:space="0"/>
              <w:right w:val="nil"/>
            </w:tcBorders>
            <w:vAlign w:val="top"/>
          </w:tcPr>
          <w:p w14:paraId="063D1A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rPr>
            </w:pPr>
            <w:r>
              <w:rPr>
                <w:rFonts w:hint="eastAsia" w:hAnsi="Cambria Math" w:eastAsia="宋体" w:cs="宋体"/>
                <w:i w:val="0"/>
                <w:iCs/>
                <w:sz w:val="15"/>
                <w:szCs w:val="15"/>
                <w:highlight w:val="none"/>
                <w:lang w:val="en-US" w:eastAsia="zh-CN"/>
              </w:rPr>
              <w:t>组内</w:t>
            </w:r>
            <m:oMath>
              <m:sSup>
                <m:sSupPr>
                  <m:ctrlPr>
                    <w:rPr>
                      <w:rFonts w:hint="default" w:ascii="Cambria Math" w:hAnsi="Cambria Math" w:eastAsia="宋体" w:cs="宋体"/>
                      <w:i/>
                      <w:iCs/>
                      <w:sz w:val="15"/>
                      <w:szCs w:val="15"/>
                      <w:highlight w:val="none"/>
                    </w:rPr>
                  </m:ctrlPr>
                </m:sSupPr>
                <m:e>
                  <m:r>
                    <m:rPr>
                      <m:nor/>
                    </m:rPr>
                    <w:rPr>
                      <w:rFonts w:hint="default" w:ascii="Cambria Math" w:hAnsi="Cambria Math" w:eastAsia="宋体" w:cs="宋体"/>
                      <w:i/>
                      <w:iCs/>
                      <w:sz w:val="15"/>
                      <w:szCs w:val="15"/>
                      <w:highlight w:val="none"/>
                    </w:rPr>
                    <m:t>R</m:t>
                  </m:r>
                  <m:ctrlPr>
                    <w:rPr>
                      <w:rFonts w:hint="default" w:ascii="Cambria Math" w:hAnsi="Cambria Math" w:eastAsia="宋体" w:cs="宋体"/>
                      <w:i/>
                      <w:iCs/>
                      <w:sz w:val="15"/>
                      <w:szCs w:val="15"/>
                      <w:highlight w:val="none"/>
                    </w:rPr>
                  </m:ctrlPr>
                </m:e>
                <m:sup>
                  <m:r>
                    <m:rPr>
                      <m:nor/>
                    </m:rPr>
                    <w:rPr>
                      <w:rFonts w:hint="default" w:ascii="Cambria Math" w:hAnsi="Cambria Math" w:eastAsia="宋体" w:cs="宋体"/>
                      <w:i/>
                      <w:iCs/>
                      <w:sz w:val="15"/>
                      <w:szCs w:val="15"/>
                      <w:highlight w:val="none"/>
                    </w:rPr>
                    <m:t>2</m:t>
                  </m:r>
                  <m:ctrlPr>
                    <w:rPr>
                      <w:rFonts w:hint="default" w:ascii="Cambria Math" w:hAnsi="Cambria Math" w:eastAsia="宋体" w:cs="宋体"/>
                      <w:i/>
                      <w:iCs/>
                      <w:sz w:val="15"/>
                      <w:szCs w:val="15"/>
                      <w:highlight w:val="none"/>
                    </w:rPr>
                  </m:ctrlPr>
                </m:sup>
              </m:sSup>
            </m:oMath>
          </w:p>
        </w:tc>
        <w:tc>
          <w:tcPr>
            <w:tcW w:w="2789" w:type="dxa"/>
            <w:tcBorders>
              <w:top w:val="nil"/>
              <w:left w:val="nil"/>
              <w:bottom w:val="single" w:color="auto" w:sz="12" w:space="0"/>
              <w:right w:val="nil"/>
            </w:tcBorders>
            <w:vAlign w:val="top"/>
          </w:tcPr>
          <w:p w14:paraId="7FAA154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0.9372</w:t>
            </w:r>
          </w:p>
        </w:tc>
        <w:tc>
          <w:tcPr>
            <w:tcW w:w="2391" w:type="dxa"/>
            <w:tcBorders>
              <w:top w:val="nil"/>
              <w:left w:val="nil"/>
              <w:bottom w:val="single" w:color="auto" w:sz="12" w:space="0"/>
              <w:right w:val="nil"/>
            </w:tcBorders>
            <w:shd w:val="clear" w:color="auto" w:fill="auto"/>
            <w:vAlign w:val="top"/>
          </w:tcPr>
          <w:p w14:paraId="27F0FF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0.9749</w:t>
            </w:r>
          </w:p>
        </w:tc>
      </w:tr>
    </w:tbl>
    <w:p w14:paraId="44904735">
      <w:pPr>
        <w:keepNext w:val="0"/>
        <w:keepLines w:val="0"/>
        <w:pageBreakBefore w:val="0"/>
        <w:widowControl/>
        <w:kinsoku/>
        <w:wordWrap/>
        <w:overflowPunct/>
        <w:topLinePunct w:val="0"/>
        <w:autoSpaceDE/>
        <w:autoSpaceDN/>
        <w:bidi w:val="0"/>
        <w:adjustRightInd/>
        <w:snapToGrid/>
        <w:spacing w:after="0" w:line="400" w:lineRule="exact"/>
        <w:ind w:firstLine="300" w:firstLineChars="200"/>
        <w:textAlignment w:val="auto"/>
        <w:rPr>
          <w:rFonts w:hint="default" w:ascii="宋体" w:hAnsi="宋体" w:eastAsia="宋体" w:cs="宋体"/>
          <w:sz w:val="15"/>
          <w:szCs w:val="15"/>
          <w:highlight w:val="none"/>
          <w:lang w:val="en-US" w:eastAsia="zh-CN"/>
        </w:rPr>
      </w:pPr>
      <w:r>
        <w:rPr>
          <w:rFonts w:hint="default" w:ascii="宋体" w:hAnsi="宋体" w:eastAsia="宋体" w:cs="宋体"/>
          <w:b w:val="0"/>
          <w:sz w:val="15"/>
          <w:szCs w:val="15"/>
          <w:highlight w:val="none"/>
          <w:lang w:val="en-US" w:eastAsia="zh-CN"/>
        </w:rPr>
        <w:t>注：括号内为聚类到城市层面的稳健标准误；</w:t>
      </w:r>
      <w:r>
        <w:rPr>
          <w:rFonts w:hint="eastAsia" w:ascii="宋体" w:hAnsi="宋体" w:eastAsia="宋体" w:cs="宋体"/>
          <w:sz w:val="15"/>
          <w:szCs w:val="15"/>
          <w:highlight w:val="none"/>
          <w:lang w:val="en-US" w:eastAsia="zh-CN"/>
        </w:rPr>
        <w:t>工具变量为滞后一期耐心资本(</w:t>
      </w:r>
      <m:oMath>
        <m:r>
          <m:rPr>
            <m:nor/>
          </m:rPr>
          <w:rPr>
            <w:rFonts w:hint="eastAsia" w:ascii="Cambria Math" w:hAnsi="Cambria Math" w:eastAsia="宋体" w:cs="宋体"/>
            <w:i/>
            <w:iCs/>
            <w:sz w:val="15"/>
            <w:szCs w:val="15"/>
            <w:highlight w:val="none"/>
            <w:lang w:val="en-US" w:eastAsia="zh-CN"/>
          </w:rPr>
          <m:t>D</m:t>
        </m:r>
        <m:r>
          <m:rPr>
            <m:nor/>
          </m:rPr>
          <w:rPr>
            <w:rFonts w:hint="eastAsia" w:ascii="Cambria Math" w:hAnsi="Cambria Math" w:eastAsia="宋体" w:cs="宋体"/>
            <w:i/>
            <w:iCs/>
            <w:sz w:val="15"/>
            <w:szCs w:val="15"/>
            <w:highlight w:val="none"/>
          </w:rPr>
          <m:t>id</m:t>
        </m:r>
        <m:r>
          <m:rPr>
            <m:nor/>
            <m:sty m:val="p"/>
          </m:rPr>
          <w:rPr>
            <w:rFonts w:hint="eastAsia" w:ascii="Cambria Math" w:hAnsi="Cambria Math" w:eastAsia="宋体" w:cs="宋体"/>
            <w:b w:val="0"/>
            <w:i w:val="0"/>
            <w:iCs/>
            <w:sz w:val="15"/>
            <w:szCs w:val="15"/>
            <w:highlight w:val="none"/>
          </w:rPr>
          <m:t>_</m:t>
        </m:r>
        <m:r>
          <m:rPr>
            <m:nor/>
          </m:rPr>
          <w:rPr>
            <w:rFonts w:hint="eastAsia" w:ascii="Cambria Math" w:hAnsi="Cambria Math" w:eastAsia="宋体" w:cs="宋体"/>
            <w:i/>
            <w:iCs/>
            <w:sz w:val="15"/>
            <w:szCs w:val="15"/>
            <w:highlight w:val="none"/>
          </w:rPr>
          <m:t>cont</m:t>
        </m:r>
      </m:oMath>
      <w:r>
        <w:rPr>
          <w:rFonts w:hint="eastAsia" w:ascii="宋体" w:hAnsi="宋体" w:eastAsia="宋体" w:cs="宋体"/>
          <w:i/>
          <w:iCs/>
          <w:sz w:val="15"/>
          <w:szCs w:val="15"/>
          <w:highlight w:val="none"/>
          <w:lang w:val="en-US" w:eastAsia="zh-CN"/>
        </w:rPr>
        <w:t>_lag1</w:t>
      </w:r>
      <w:r>
        <w:rPr>
          <w:rFonts w:hint="eastAsia" w:ascii="宋体" w:hAnsi="宋体" w:eastAsia="宋体" w:cs="宋体"/>
          <w:sz w:val="15"/>
          <w:szCs w:val="15"/>
          <w:highlight w:val="none"/>
          <w:lang w:val="en-US" w:eastAsia="zh-CN"/>
        </w:rPr>
        <w:t>)；第一阶段F统计量=43.17&gt;10；2SLS控制城市与年份固定效应；</w:t>
      </w:r>
      <w:r>
        <w:rPr>
          <w:rFonts w:hint="default" w:ascii="宋体" w:hAnsi="宋体" w:eastAsia="宋体" w:cs="宋体"/>
          <w:b w:val="0"/>
          <w:sz w:val="15"/>
          <w:szCs w:val="15"/>
          <w:highlight w:val="none"/>
          <w:lang w:val="en-US" w:eastAsia="zh-CN"/>
        </w:rPr>
        <w:t>*p&lt;0.1,**p&lt;0.05,***p&lt;0.01</w:t>
      </w:r>
      <w:r>
        <w:rPr>
          <w:rFonts w:hint="eastAsia" w:ascii="宋体" w:hAnsi="宋体" w:eastAsia="宋体" w:cs="宋体"/>
          <w:b w:val="0"/>
          <w:sz w:val="15"/>
          <w:szCs w:val="15"/>
          <w:highlight w:val="none"/>
          <w:lang w:val="en-US" w:eastAsia="zh-CN"/>
        </w:rPr>
        <w:t>（下同）</w:t>
      </w:r>
    </w:p>
    <w:p w14:paraId="323A3816">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本文以滞后一期耐心资本作为工具变量进行2SLS估计。滞后一期政府引导基金规模与当期基金规模高度相关，满足工具变量的相关性要求；同时，滞后一期的基金设立决策不受当期创新生态影响，满足外生性要求。第一阶段回归结果显示，工具变量的系数在1%水平上显著为正，第一阶段F统计量为43.17，远大于弱工具变量检验的临界值10，不存在弱工具变量问题。DWH内生性检验结果显示，残差项系数不显著（p=0.899&gt;0.1），说明模型不存在显著的内生性问题，OLS基准回归结果可靠。</w:t>
      </w:r>
    </w:p>
    <w:p w14:paraId="2A368DD8">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2.安慰剂检验</w:t>
      </w:r>
    </w:p>
    <w:p w14:paraId="49995E73">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4"/>
          <w:szCs w:val="24"/>
          <w:highlight w:val="none"/>
        </w:rPr>
      </w:pPr>
      <w:r>
        <w:rPr>
          <w:rFonts w:hint="eastAsia" w:ascii="宋体" w:hAnsi="宋体" w:eastAsia="宋体" w:cs="宋体"/>
          <w:b w:val="0"/>
          <w:sz w:val="21"/>
          <w:szCs w:val="21"/>
          <w:highlight w:val="none"/>
          <w:lang w:val="en-US" w:eastAsia="zh-CN"/>
        </w:rPr>
        <w:t>为排除其他不可观测因素对估计结果的干扰，参Ferrara L E等(2012)的证伪检验的思路</w:t>
      </w:r>
      <w:r>
        <w:rPr>
          <w:rFonts w:hint="eastAsia" w:ascii="宋体" w:hAnsi="宋体" w:eastAsia="宋体" w:cs="宋体"/>
          <w:b w:val="0"/>
          <w:sz w:val="21"/>
          <w:szCs w:val="21"/>
          <w:highlight w:val="none"/>
          <w:vertAlign w:val="superscript"/>
          <w:lang w:val="en-US" w:eastAsia="zh-CN"/>
        </w:rPr>
        <w:fldChar w:fldCharType="begin"/>
      </w:r>
      <w:r>
        <w:rPr>
          <w:highlight w:val="none"/>
        </w:rPr>
        <w:instrText xml:space="preserve"> REF _Ref6587 \r \h  \* MERGEFORMAT</w:instrText>
      </w:r>
      <w:r>
        <w:rPr>
          <w:rFonts w:hint="eastAsia" w:ascii="宋体" w:hAnsi="宋体" w:eastAsia="宋体" w:cs="宋体"/>
          <w:b w:val="0"/>
          <w:sz w:val="21"/>
          <w:szCs w:val="21"/>
          <w:highlight w:val="none"/>
          <w:vertAlign w:val="superscript"/>
          <w:lang w:val="en-US" w:eastAsia="zh-CN"/>
        </w:rPr>
        <w:fldChar w:fldCharType="separate"/>
      </w:r>
      <w:r>
        <w:rPr>
          <w:rFonts w:hint="eastAsia" w:ascii="宋体" w:hAnsi="宋体" w:eastAsia="宋体" w:cs="宋体"/>
          <w:b w:val="0"/>
          <w:sz w:val="21"/>
          <w:szCs w:val="21"/>
          <w:highlight w:val="none"/>
          <w:vertAlign w:val="superscript"/>
          <w:lang w:val="en-US" w:eastAsia="zh-CN"/>
        </w:rPr>
        <w:t>[36]</w:t>
      </w:r>
      <w:r>
        <w:rPr>
          <w:rFonts w:hint="eastAsia" w:ascii="宋体" w:hAnsi="宋体" w:eastAsia="宋体" w:cs="宋体"/>
          <w:b w:val="0"/>
          <w:sz w:val="21"/>
          <w:szCs w:val="21"/>
          <w:highlight w:val="none"/>
          <w:vertAlign w:val="superscript"/>
          <w:lang w:val="en-US" w:eastAsia="zh-CN"/>
        </w:rPr>
        <w:fldChar w:fldCharType="end"/>
      </w:r>
      <w:r>
        <w:rPr>
          <w:rFonts w:hint="eastAsia" w:ascii="宋体" w:hAnsi="宋体" w:eastAsia="宋体" w:cs="宋体"/>
          <w:b w:val="0"/>
          <w:sz w:val="21"/>
          <w:szCs w:val="21"/>
          <w:highlight w:val="none"/>
          <w:lang w:val="en-US" w:eastAsia="zh-CN"/>
        </w:rPr>
        <w:t>，本文通过随机分配各城市的政策强度，重复进行1000次回归。结果如图2所示，随机分配的系数估计值呈正态分布，均值接近于0，而真实回归系数位于分布的右侧尾部，且大部分随机回归结果的p值大于0.1，说明基准回归结果并非由随机因素导致，进一步验证了结论的可靠性。</w:t>
      </w:r>
    </w:p>
    <w:p w14:paraId="089C8EF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黑体" w:hAnsi="黑体" w:eastAsia="黑体" w:cs="黑体"/>
          <w:b/>
          <w:bCs w:val="0"/>
          <w:sz w:val="15"/>
          <w:szCs w:val="15"/>
          <w:highlight w:val="none"/>
          <w:lang w:eastAsia="zh-CN"/>
        </w:rPr>
      </w:pPr>
      <w:r>
        <w:rPr>
          <w:rFonts w:hint="eastAsia" w:ascii="黑体" w:hAnsi="黑体" w:eastAsia="黑体" w:cs="黑体"/>
          <w:b/>
          <w:bCs w:val="0"/>
          <w:sz w:val="15"/>
          <w:szCs w:val="15"/>
          <w:highlight w:val="none"/>
          <w:lang w:eastAsia="zh-CN"/>
        </w:rPr>
        <w:drawing>
          <wp:inline distT="0" distB="0" distL="114300" distR="114300">
            <wp:extent cx="3308985" cy="2407920"/>
            <wp:effectExtent l="0" t="0" r="5715" b="5080"/>
            <wp:docPr id="4" name="图片 4" descr="图2_安慰剂检验_合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_安慰剂检验_合并图"/>
                    <pic:cNvPicPr>
                      <a:picLocks noChangeAspect="1"/>
                    </pic:cNvPicPr>
                  </pic:nvPicPr>
                  <pic:blipFill>
                    <a:blip r:embed="rId7"/>
                    <a:stretch>
                      <a:fillRect/>
                    </a:stretch>
                  </pic:blipFill>
                  <pic:spPr>
                    <a:xfrm>
                      <a:off x="0" y="0"/>
                      <a:ext cx="3308985" cy="2407920"/>
                    </a:xfrm>
                    <a:prstGeom prst="rect">
                      <a:avLst/>
                    </a:prstGeom>
                  </pic:spPr>
                </pic:pic>
              </a:graphicData>
            </a:graphic>
          </wp:inline>
        </w:drawing>
      </w:r>
    </w:p>
    <w:p w14:paraId="3DB701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b/>
          <w:bCs w:val="0"/>
          <w:sz w:val="15"/>
          <w:szCs w:val="15"/>
          <w:highlight w:val="none"/>
        </w:rPr>
      </w:pPr>
      <w:r>
        <w:rPr>
          <w:rFonts w:hint="eastAsia" w:ascii="黑体" w:hAnsi="黑体" w:eastAsia="黑体" w:cs="黑体"/>
          <w:b/>
          <w:bCs w:val="0"/>
          <w:sz w:val="15"/>
          <w:szCs w:val="15"/>
          <w:highlight w:val="none"/>
        </w:rPr>
        <w:t>图2</w:t>
      </w:r>
      <w:r>
        <w:rPr>
          <w:rFonts w:hint="eastAsia" w:ascii="黑体" w:hAnsi="黑体" w:eastAsia="黑体" w:cs="黑体"/>
          <w:b/>
          <w:bCs w:val="0"/>
          <w:sz w:val="15"/>
          <w:szCs w:val="15"/>
          <w:highlight w:val="none"/>
          <w:lang w:val="en-US" w:eastAsia="zh-CN"/>
        </w:rPr>
        <w:t xml:space="preserve">  </w:t>
      </w:r>
      <w:r>
        <w:rPr>
          <w:rFonts w:hint="eastAsia" w:ascii="黑体" w:hAnsi="黑体" w:eastAsia="黑体" w:cs="黑体"/>
          <w:b/>
          <w:bCs w:val="0"/>
          <w:sz w:val="15"/>
          <w:szCs w:val="15"/>
          <w:highlight w:val="none"/>
        </w:rPr>
        <w:t>安慰剂检验</w:t>
      </w:r>
    </w:p>
    <w:p w14:paraId="5697565C">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eastAsia" w:ascii="宋体" w:hAnsi="宋体" w:eastAsia="宋体" w:cs="宋体"/>
          <w:b w:val="0"/>
          <w:sz w:val="21"/>
          <w:szCs w:val="21"/>
          <w:lang w:val="en-US" w:eastAsia="zh-CN" w:bidi="ar-SA"/>
        </w:rPr>
        <w:t>3.</w:t>
      </w:r>
      <w:r>
        <w:rPr>
          <w:rFonts w:hint="eastAsia" w:ascii="宋体" w:hAnsi="宋体" w:eastAsia="宋体" w:cs="宋体"/>
          <w:b w:val="0"/>
          <w:sz w:val="21"/>
          <w:szCs w:val="21"/>
          <w:highlight w:val="none"/>
          <w:lang w:val="en-US" w:eastAsia="zh-CN"/>
        </w:rPr>
        <w:t>剔除核心城市</w:t>
      </w:r>
    </w:p>
    <w:p w14:paraId="58416F44">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上海、南京、杭州、苏州、宁波等核心城市在行政级别、经济规模和创新资源集聚等方面显著高于普通城市，政府引导基金规模较大、创新资源富集、创新生态发展水平较高，可能产生极端值效应，从而影响回归结果的稳健性。因此，剔除核心城市能更准确反映政府引导基金对区域创新生态的影响。</w:t>
      </w:r>
      <w:r>
        <w:rPr>
          <w:rFonts w:hint="eastAsia" w:ascii="宋体" w:hAnsi="宋体" w:eastAsia="宋体" w:cs="宋体"/>
          <w:b w:val="0"/>
          <w:sz w:val="21"/>
          <w:szCs w:val="21"/>
          <w:highlight w:val="none"/>
          <w:lang w:val="en-US" w:eastAsia="zh-CN"/>
        </w:rPr>
        <w:t>表5</w:t>
      </w:r>
      <w:r>
        <w:rPr>
          <w:rFonts w:hint="default" w:ascii="宋体" w:hAnsi="宋体" w:eastAsia="宋体" w:cs="宋体"/>
          <w:b w:val="0"/>
          <w:sz w:val="21"/>
          <w:szCs w:val="21"/>
          <w:highlight w:val="none"/>
          <w:lang w:val="en-US" w:eastAsia="zh-CN"/>
        </w:rPr>
        <w:t>列（2）中</w:t>
      </w:r>
      <w:r>
        <w:rPr>
          <w:rFonts w:hint="default" w:ascii="宋体" w:hAnsi="宋体" w:eastAsia="宋体" w:cs="宋体"/>
          <w:b w:val="0"/>
          <w:i/>
          <w:iCs/>
          <w:sz w:val="21"/>
          <w:szCs w:val="21"/>
          <w:highlight w:val="none"/>
          <w:lang w:val="en-US" w:eastAsia="zh-CN"/>
        </w:rPr>
        <w:t>Did_cont</w:t>
      </w:r>
      <w:r>
        <w:rPr>
          <w:rFonts w:hint="default" w:ascii="宋体" w:hAnsi="宋体" w:eastAsia="宋体" w:cs="宋体"/>
          <w:b w:val="0"/>
          <w:sz w:val="21"/>
          <w:szCs w:val="21"/>
          <w:highlight w:val="none"/>
          <w:lang w:val="en-US" w:eastAsia="zh-CN"/>
        </w:rPr>
        <w:t>系数为0.0040，在1%水平上显著为正，参数估计和显著性均保持稳定，说明本文的回归结果具有较强的稳健性。</w:t>
      </w:r>
    </w:p>
    <w:p w14:paraId="492D1714">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lang w:val="en-US" w:eastAsia="zh-CN" w:bidi="ar-SA"/>
        </w:rPr>
        <w:t>4.</w:t>
      </w:r>
      <w:r>
        <w:rPr>
          <w:rFonts w:hint="eastAsia" w:ascii="宋体" w:hAnsi="宋体" w:eastAsia="宋体" w:cs="宋体"/>
          <w:b w:val="0"/>
          <w:sz w:val="21"/>
          <w:szCs w:val="21"/>
          <w:highlight w:val="none"/>
          <w:lang w:val="en-US" w:eastAsia="zh-CN"/>
        </w:rPr>
        <w:t>替换被解释变量</w:t>
      </w:r>
    </w:p>
    <w:p w14:paraId="3EC09C17">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区域创新生态是一个由创新主体、资源配置、要素流动和创新韧性等多个维度构成的复杂系统，单一的总指数可能无法全面反映政策效应的具体作用方向。为检验基准回归结果的稳健性，本文将区域创新生态总指数替换为四个分维度指数分别进行回归，结果如表</w:t>
      </w:r>
      <w:r>
        <w:rPr>
          <w:rFonts w:hint="eastAsia" w:ascii="宋体" w:hAnsi="宋体" w:eastAsia="宋体" w:cs="宋体"/>
          <w:b w:val="0"/>
          <w:sz w:val="21"/>
          <w:szCs w:val="21"/>
          <w:highlight w:val="none"/>
          <w:lang w:val="en-US" w:eastAsia="zh-CN"/>
        </w:rPr>
        <w:t>5</w:t>
      </w:r>
      <w:r>
        <w:rPr>
          <w:rFonts w:hint="default" w:ascii="宋体" w:hAnsi="宋体" w:eastAsia="宋体" w:cs="宋体"/>
          <w:b w:val="0"/>
          <w:sz w:val="21"/>
          <w:szCs w:val="21"/>
          <w:highlight w:val="none"/>
          <w:lang w:val="en-US" w:eastAsia="zh-CN"/>
        </w:rPr>
        <w:t>列（3）至列（6）所示。可以发现，创新主体指数、要素流动指数和创新韧性指数的</w:t>
      </w:r>
      <w:r>
        <w:rPr>
          <w:rFonts w:hint="default" w:ascii="宋体" w:hAnsi="宋体" w:eastAsia="宋体" w:cs="宋体"/>
          <w:b w:val="0"/>
          <w:i/>
          <w:iCs/>
          <w:sz w:val="21"/>
          <w:szCs w:val="21"/>
          <w:highlight w:val="none"/>
          <w:lang w:val="en-US" w:eastAsia="zh-CN"/>
        </w:rPr>
        <w:t>Did_cont</w:t>
      </w:r>
      <w:r>
        <w:rPr>
          <w:rFonts w:hint="default" w:ascii="宋体" w:hAnsi="宋体" w:eastAsia="宋体" w:cs="宋体"/>
          <w:b w:val="0"/>
          <w:sz w:val="21"/>
          <w:szCs w:val="21"/>
          <w:highlight w:val="none"/>
          <w:lang w:val="en-US" w:eastAsia="zh-CN"/>
        </w:rPr>
        <w:t>系数均在1%水平上显著为正，而资源配置指数的系数虽为正但不显著。这一结果表明，政府引导基金对区域创新生态的促进作用主要体现在创新主体培育、要素流动优化和创新韧性提升三个维度，而对资源配置效率的影响尚不明显。整体来看，替换被解释变量后核心结论依然成立，说明基准回归结果具有较强的稳健性。</w:t>
      </w:r>
    </w:p>
    <w:p w14:paraId="54DA0E48">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lang w:val="en-US" w:eastAsia="zh-CN" w:bidi="ar-SA"/>
        </w:rPr>
        <w:t>5.</w:t>
      </w:r>
      <w:r>
        <w:rPr>
          <w:rFonts w:hint="eastAsia" w:ascii="宋体" w:hAnsi="宋体" w:eastAsia="宋体" w:cs="宋体"/>
          <w:b w:val="0"/>
          <w:sz w:val="21"/>
          <w:szCs w:val="21"/>
          <w:highlight w:val="none"/>
          <w:lang w:val="en-US" w:eastAsia="zh-CN"/>
        </w:rPr>
        <w:t>缩尾处理</w:t>
      </w:r>
    </w:p>
    <w:p w14:paraId="77470E52">
      <w:pPr>
        <w:keepNext w:val="0"/>
        <w:keepLines w:val="0"/>
        <w:pageBreakBefore w:val="0"/>
        <w:widowControl/>
        <w:numPr>
          <w:ilvl w:val="0"/>
          <w:numId w:val="0"/>
        </w:numPr>
        <w:kinsoku/>
        <w:wordWrap/>
        <w:overflowPunct/>
        <w:topLinePunct w:val="0"/>
        <w:autoSpaceDE/>
        <w:autoSpaceDN/>
        <w:bidi w:val="0"/>
        <w:adjustRightInd/>
        <w:snapToGrid/>
        <w:spacing w:after="0" w:line="400" w:lineRule="exact"/>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对主要连续变量进行</w:t>
      </w:r>
      <w:r>
        <w:rPr>
          <w:rFonts w:hint="eastAsia" w:ascii="宋体" w:hAnsi="宋体" w:eastAsia="宋体" w:cs="宋体"/>
          <w:b w:val="0"/>
          <w:sz w:val="21"/>
          <w:szCs w:val="21"/>
          <w:highlight w:val="none"/>
          <w:lang w:val="en-US" w:eastAsia="zh-CN"/>
        </w:rPr>
        <w:t>5</w:t>
      </w:r>
      <w:r>
        <w:rPr>
          <w:rFonts w:hint="default" w:ascii="宋体" w:hAnsi="宋体" w:eastAsia="宋体" w:cs="宋体"/>
          <w:b w:val="0"/>
          <w:sz w:val="21"/>
          <w:szCs w:val="21"/>
          <w:highlight w:val="none"/>
          <w:lang w:val="en-US" w:eastAsia="zh-CN"/>
        </w:rPr>
        <w:t>％水平的缩尾处理后，结果如表</w:t>
      </w:r>
      <w:r>
        <w:rPr>
          <w:rFonts w:hint="eastAsia" w:ascii="宋体" w:hAnsi="宋体" w:eastAsia="宋体" w:cs="宋体"/>
          <w:b w:val="0"/>
          <w:sz w:val="21"/>
          <w:szCs w:val="21"/>
          <w:highlight w:val="none"/>
          <w:lang w:val="en-US" w:eastAsia="zh-CN"/>
        </w:rPr>
        <w:t>5</w:t>
      </w:r>
      <w:r>
        <w:rPr>
          <w:rFonts w:hint="default" w:ascii="宋体" w:hAnsi="宋体" w:eastAsia="宋体" w:cs="宋体"/>
          <w:b w:val="0"/>
          <w:sz w:val="21"/>
          <w:szCs w:val="21"/>
          <w:highlight w:val="none"/>
          <w:lang w:val="en-US" w:eastAsia="zh-CN"/>
        </w:rPr>
        <w:t>列（</w:t>
      </w:r>
      <w:r>
        <w:rPr>
          <w:rFonts w:hint="eastAsia" w:ascii="宋体" w:hAnsi="宋体" w:eastAsia="宋体" w:cs="宋体"/>
          <w:b w:val="0"/>
          <w:sz w:val="21"/>
          <w:szCs w:val="21"/>
          <w:highlight w:val="none"/>
          <w:lang w:val="en-US" w:eastAsia="zh-CN"/>
        </w:rPr>
        <w:t>7</w:t>
      </w:r>
      <w:r>
        <w:rPr>
          <w:rFonts w:hint="default" w:ascii="宋体" w:hAnsi="宋体" w:eastAsia="宋体" w:cs="宋体"/>
          <w:b w:val="0"/>
          <w:sz w:val="21"/>
          <w:szCs w:val="21"/>
          <w:highlight w:val="none"/>
          <w:lang w:val="en-US" w:eastAsia="zh-CN"/>
        </w:rPr>
        <w:t>）所示。</w:t>
      </w:r>
      <w:r>
        <w:rPr>
          <w:rFonts w:hint="eastAsia" w:ascii="宋体" w:hAnsi="宋体" w:eastAsia="宋体" w:cs="宋体"/>
          <w:b w:val="0"/>
          <w:i/>
          <w:iCs/>
          <w:sz w:val="21"/>
          <w:szCs w:val="21"/>
          <w:highlight w:val="none"/>
          <w:lang w:val="en-US" w:eastAsia="zh-CN"/>
        </w:rPr>
        <w:t>Did_cont</w:t>
      </w:r>
      <w:r>
        <w:rPr>
          <w:rFonts w:hint="default" w:ascii="宋体" w:hAnsi="宋体" w:eastAsia="宋体" w:cs="宋体"/>
          <w:b w:val="0"/>
          <w:sz w:val="21"/>
          <w:szCs w:val="21"/>
          <w:highlight w:val="none"/>
          <w:lang w:val="en-US" w:eastAsia="zh-CN"/>
        </w:rPr>
        <w:t>的回归系数及显著性均未发生明显变化，表明本文的结论具有稳健性。</w:t>
      </w:r>
    </w:p>
    <w:p w14:paraId="0894F5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宋体" w:hAnsi="宋体" w:eastAsia="宋体" w:cs="宋体"/>
          <w:b w:val="0"/>
          <w:sz w:val="21"/>
          <w:szCs w:val="21"/>
          <w:highlight w:val="none"/>
          <w:lang w:val="en-US" w:eastAsia="zh-CN"/>
        </w:rPr>
      </w:pPr>
      <w:r>
        <w:rPr>
          <w:rFonts w:hint="eastAsia" w:ascii="黑体" w:hAnsi="黑体" w:eastAsia="黑体" w:cs="黑体"/>
          <w:b/>
          <w:bCs w:val="0"/>
          <w:sz w:val="15"/>
          <w:szCs w:val="15"/>
          <w:highlight w:val="none"/>
          <w:lang w:val="en-US" w:eastAsia="zh-CN"/>
        </w:rPr>
        <w:t>表5  稳健性检验</w:t>
      </w:r>
    </w:p>
    <w:tbl>
      <w:tblPr>
        <w:tblStyle w:val="2"/>
        <w:tblW w:w="8633"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8"/>
        <w:gridCol w:w="980"/>
        <w:gridCol w:w="1158"/>
        <w:gridCol w:w="981"/>
        <w:gridCol w:w="1039"/>
        <w:gridCol w:w="1099"/>
        <w:gridCol w:w="990"/>
        <w:gridCol w:w="1198"/>
      </w:tblGrid>
      <w:tr w14:paraId="6F88C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 w:hRule="atLeast"/>
        </w:trPr>
        <w:tc>
          <w:tcPr>
            <w:tcW w:w="1188" w:type="dxa"/>
            <w:tcBorders>
              <w:top w:val="single" w:color="auto" w:sz="12" w:space="0"/>
              <w:left w:val="nil"/>
              <w:bottom w:val="nil"/>
              <w:right w:val="nil"/>
            </w:tcBorders>
            <w:noWrap w:val="0"/>
            <w:vAlign w:val="top"/>
          </w:tcPr>
          <w:p w14:paraId="03A551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cr/>
            </w:r>
            <w:r>
              <w:rPr>
                <w:rFonts w:hint="default" w:ascii="宋体" w:hAnsi="宋体" w:eastAsia="宋体" w:cs="宋体"/>
                <w:sz w:val="15"/>
                <w:szCs w:val="15"/>
                <w:highlight w:val="none"/>
                <w:lang w:val="en-US" w:eastAsia="zh-CN"/>
              </w:rPr>
              <w:t>
</w:t>
            </w:r>
          </w:p>
        </w:tc>
        <w:tc>
          <w:tcPr>
            <w:tcW w:w="980" w:type="dxa"/>
            <w:tcBorders>
              <w:top w:val="single" w:color="auto" w:sz="12" w:space="0"/>
              <w:left w:val="nil"/>
              <w:bottom w:val="nil"/>
              <w:right w:val="nil"/>
            </w:tcBorders>
            <w:noWrap w:val="0"/>
            <w:vAlign w:val="top"/>
          </w:tcPr>
          <w:p w14:paraId="5FA8FC6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(1)</w:t>
            </w:r>
          </w:p>
        </w:tc>
        <w:tc>
          <w:tcPr>
            <w:tcW w:w="1158" w:type="dxa"/>
            <w:tcBorders>
              <w:top w:val="single" w:color="auto" w:sz="12" w:space="0"/>
              <w:left w:val="nil"/>
              <w:bottom w:val="nil"/>
              <w:right w:val="nil"/>
            </w:tcBorders>
            <w:noWrap w:val="0"/>
            <w:vAlign w:val="top"/>
          </w:tcPr>
          <w:p w14:paraId="6C0C32F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(2)</w:t>
            </w:r>
          </w:p>
        </w:tc>
        <w:tc>
          <w:tcPr>
            <w:tcW w:w="981" w:type="dxa"/>
            <w:tcBorders>
              <w:top w:val="single" w:color="auto" w:sz="12" w:space="0"/>
              <w:left w:val="nil"/>
              <w:bottom w:val="nil"/>
              <w:right w:val="nil"/>
            </w:tcBorders>
            <w:shd w:val="clear" w:color="auto" w:fill="auto"/>
            <w:noWrap w:val="0"/>
            <w:vAlign w:val="top"/>
          </w:tcPr>
          <w:p w14:paraId="0CABB1C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3)</w:t>
            </w:r>
          </w:p>
        </w:tc>
        <w:tc>
          <w:tcPr>
            <w:tcW w:w="1039" w:type="dxa"/>
            <w:tcBorders>
              <w:top w:val="single" w:color="auto" w:sz="12" w:space="0"/>
              <w:left w:val="nil"/>
              <w:bottom w:val="nil"/>
              <w:right w:val="nil"/>
            </w:tcBorders>
            <w:shd w:val="clear" w:color="auto" w:fill="auto"/>
            <w:noWrap w:val="0"/>
            <w:vAlign w:val="top"/>
          </w:tcPr>
          <w:p w14:paraId="6241D3B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(4)</w:t>
            </w:r>
          </w:p>
        </w:tc>
        <w:tc>
          <w:tcPr>
            <w:tcW w:w="1099" w:type="dxa"/>
            <w:tcBorders>
              <w:top w:val="single" w:color="auto" w:sz="12" w:space="0"/>
              <w:left w:val="nil"/>
              <w:bottom w:val="nil"/>
              <w:right w:val="nil"/>
            </w:tcBorders>
            <w:shd w:val="clear" w:color="auto" w:fill="auto"/>
            <w:noWrap w:val="0"/>
            <w:vAlign w:val="top"/>
          </w:tcPr>
          <w:p w14:paraId="089BFF7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(5)</w:t>
            </w:r>
          </w:p>
        </w:tc>
        <w:tc>
          <w:tcPr>
            <w:tcW w:w="990" w:type="dxa"/>
            <w:tcBorders>
              <w:top w:val="single" w:color="auto" w:sz="12" w:space="0"/>
              <w:left w:val="nil"/>
              <w:bottom w:val="nil"/>
              <w:right w:val="nil"/>
            </w:tcBorders>
            <w:shd w:val="clear" w:color="auto" w:fill="auto"/>
            <w:noWrap w:val="0"/>
            <w:vAlign w:val="top"/>
          </w:tcPr>
          <w:p w14:paraId="1C98645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(6)</w:t>
            </w:r>
          </w:p>
        </w:tc>
        <w:tc>
          <w:tcPr>
            <w:tcW w:w="1198" w:type="dxa"/>
            <w:tcBorders>
              <w:top w:val="single" w:color="auto" w:sz="12" w:space="0"/>
              <w:left w:val="nil"/>
              <w:bottom w:val="nil"/>
              <w:right w:val="nil"/>
            </w:tcBorders>
            <w:shd w:val="clear" w:color="auto" w:fill="auto"/>
            <w:noWrap w:val="0"/>
            <w:vAlign w:val="top"/>
          </w:tcPr>
          <w:p w14:paraId="405394C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(7)</w:t>
            </w:r>
          </w:p>
        </w:tc>
      </w:tr>
      <w:tr w14:paraId="59924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trPr>
        <w:tc>
          <w:tcPr>
            <w:tcW w:w="1188" w:type="dxa"/>
            <w:tcBorders>
              <w:top w:val="nil"/>
              <w:left w:val="nil"/>
              <w:bottom w:val="single" w:color="auto" w:sz="6" w:space="0"/>
              <w:right w:val="nil"/>
            </w:tcBorders>
            <w:noWrap w:val="0"/>
            <w:vAlign w:val="top"/>
          </w:tcPr>
          <w:p w14:paraId="24D8308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980" w:type="dxa"/>
            <w:tcBorders>
              <w:top w:val="nil"/>
              <w:left w:val="nil"/>
              <w:bottom w:val="single" w:color="auto" w:sz="6" w:space="0"/>
              <w:right w:val="nil"/>
            </w:tcBorders>
            <w:noWrap w:val="0"/>
            <w:vAlign w:val="top"/>
          </w:tcPr>
          <w:p w14:paraId="0B0536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基准回归</w:t>
            </w:r>
          </w:p>
        </w:tc>
        <w:tc>
          <w:tcPr>
            <w:tcW w:w="1158" w:type="dxa"/>
            <w:tcBorders>
              <w:top w:val="nil"/>
              <w:left w:val="nil"/>
              <w:bottom w:val="single" w:color="auto" w:sz="6" w:space="0"/>
              <w:right w:val="nil"/>
            </w:tcBorders>
            <w:noWrap w:val="0"/>
            <w:vAlign w:val="top"/>
          </w:tcPr>
          <w:p w14:paraId="713E572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剔除核心城市</w:t>
            </w:r>
          </w:p>
        </w:tc>
        <w:tc>
          <w:tcPr>
            <w:tcW w:w="981" w:type="dxa"/>
            <w:tcBorders>
              <w:top w:val="nil"/>
              <w:left w:val="nil"/>
              <w:bottom w:val="single" w:color="auto" w:sz="6" w:space="0"/>
              <w:right w:val="nil"/>
            </w:tcBorders>
            <w:shd w:val="clear" w:color="auto" w:fill="auto"/>
            <w:noWrap w:val="0"/>
            <w:vAlign w:val="top"/>
          </w:tcPr>
          <w:p w14:paraId="4BFF1F1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创新主体</w:t>
            </w:r>
          </w:p>
        </w:tc>
        <w:tc>
          <w:tcPr>
            <w:tcW w:w="1039" w:type="dxa"/>
            <w:tcBorders>
              <w:top w:val="nil"/>
              <w:left w:val="nil"/>
              <w:bottom w:val="single" w:color="auto" w:sz="6" w:space="0"/>
              <w:right w:val="nil"/>
            </w:tcBorders>
            <w:shd w:val="clear" w:color="auto" w:fill="auto"/>
            <w:noWrap w:val="0"/>
            <w:vAlign w:val="top"/>
          </w:tcPr>
          <w:p w14:paraId="10D434B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资源配置</w:t>
            </w:r>
          </w:p>
        </w:tc>
        <w:tc>
          <w:tcPr>
            <w:tcW w:w="1099" w:type="dxa"/>
            <w:tcBorders>
              <w:top w:val="nil"/>
              <w:left w:val="nil"/>
              <w:bottom w:val="single" w:color="auto" w:sz="6" w:space="0"/>
              <w:right w:val="nil"/>
            </w:tcBorders>
            <w:shd w:val="clear" w:color="auto" w:fill="auto"/>
            <w:noWrap w:val="0"/>
            <w:vAlign w:val="top"/>
          </w:tcPr>
          <w:p w14:paraId="68656E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要素流动</w:t>
            </w:r>
          </w:p>
        </w:tc>
        <w:tc>
          <w:tcPr>
            <w:tcW w:w="990" w:type="dxa"/>
            <w:tcBorders>
              <w:top w:val="nil"/>
              <w:left w:val="nil"/>
              <w:bottom w:val="single" w:color="auto" w:sz="6" w:space="0"/>
              <w:right w:val="nil"/>
            </w:tcBorders>
            <w:shd w:val="clear" w:color="auto" w:fill="auto"/>
            <w:noWrap w:val="0"/>
            <w:vAlign w:val="top"/>
          </w:tcPr>
          <w:p w14:paraId="54E9EA7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创新韧性</w:t>
            </w:r>
          </w:p>
        </w:tc>
        <w:tc>
          <w:tcPr>
            <w:tcW w:w="1198" w:type="dxa"/>
            <w:tcBorders>
              <w:top w:val="nil"/>
              <w:left w:val="nil"/>
              <w:bottom w:val="single" w:color="auto" w:sz="6" w:space="0"/>
              <w:right w:val="nil"/>
            </w:tcBorders>
            <w:shd w:val="clear" w:color="auto" w:fill="auto"/>
            <w:noWrap w:val="0"/>
            <w:vAlign w:val="top"/>
          </w:tcPr>
          <w:p w14:paraId="6A67BB3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5%缩尾</w:t>
            </w:r>
          </w:p>
        </w:tc>
      </w:tr>
      <w:tr w14:paraId="55BB9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 w:hRule="atLeast"/>
        </w:trPr>
        <w:tc>
          <w:tcPr>
            <w:tcW w:w="1188" w:type="dxa"/>
            <w:tcBorders>
              <w:top w:val="single" w:color="auto" w:sz="6" w:space="0"/>
              <w:left w:val="nil"/>
              <w:bottom w:val="nil"/>
              <w:right w:val="nil"/>
            </w:tcBorders>
            <w:noWrap w:val="0"/>
            <w:vAlign w:val="top"/>
          </w:tcPr>
          <w:p w14:paraId="2CC724B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m:oMathPara>
              <m:oMath>
                <m:r>
                  <m:rPr>
                    <m:nor/>
                  </m:rPr>
                  <w:rPr>
                    <w:rFonts w:hint="default" w:ascii="Times New Roman" w:hAnsi="Times New Roman" w:eastAsia="宋体" w:cs="Times New Roman"/>
                    <w:i/>
                    <w:iCs/>
                    <w:sz w:val="15"/>
                    <w:szCs w:val="15"/>
                    <w:highlight w:val="none"/>
                    <w:lang w:val="en-US" w:eastAsia="zh-CN"/>
                  </w:rPr>
                  <m:t>D</m:t>
                </m:r>
                <m:r>
                  <m:rPr>
                    <m:nor/>
                  </m:rPr>
                  <w:rPr>
                    <w:rFonts w:hint="default" w:ascii="Times New Roman" w:hAnsi="Times New Roman" w:eastAsia="宋体" w:cs="Times New Roman"/>
                    <w:i/>
                    <w:iCs/>
                    <w:sz w:val="15"/>
                    <w:szCs w:val="15"/>
                    <w:highlight w:val="none"/>
                  </w:rPr>
                  <m:t>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m:oMathPara>
          </w:p>
        </w:tc>
        <w:tc>
          <w:tcPr>
            <w:tcW w:w="980" w:type="dxa"/>
            <w:tcBorders>
              <w:top w:val="single" w:color="auto" w:sz="6" w:space="0"/>
              <w:left w:val="nil"/>
              <w:bottom w:val="nil"/>
              <w:right w:val="nil"/>
            </w:tcBorders>
            <w:noWrap w:val="0"/>
            <w:vAlign w:val="top"/>
          </w:tcPr>
          <w:p w14:paraId="5BA272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0.0045***</w:t>
            </w:r>
          </w:p>
        </w:tc>
        <w:tc>
          <w:tcPr>
            <w:tcW w:w="1158" w:type="dxa"/>
            <w:tcBorders>
              <w:top w:val="single" w:color="auto" w:sz="6" w:space="0"/>
              <w:left w:val="nil"/>
              <w:bottom w:val="nil"/>
              <w:right w:val="nil"/>
            </w:tcBorders>
            <w:noWrap w:val="0"/>
            <w:vAlign w:val="top"/>
          </w:tcPr>
          <w:p w14:paraId="485E537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0.0040***</w:t>
            </w:r>
          </w:p>
        </w:tc>
        <w:tc>
          <w:tcPr>
            <w:tcW w:w="981" w:type="dxa"/>
            <w:tcBorders>
              <w:top w:val="single" w:color="auto" w:sz="6" w:space="0"/>
              <w:left w:val="nil"/>
              <w:bottom w:val="nil"/>
              <w:right w:val="nil"/>
            </w:tcBorders>
            <w:shd w:val="clear" w:color="auto" w:fill="auto"/>
            <w:noWrap w:val="0"/>
            <w:vAlign w:val="top"/>
          </w:tcPr>
          <w:p w14:paraId="462894B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0.0046**</w:t>
            </w:r>
          </w:p>
        </w:tc>
        <w:tc>
          <w:tcPr>
            <w:tcW w:w="1039" w:type="dxa"/>
            <w:tcBorders>
              <w:top w:val="single" w:color="auto" w:sz="6" w:space="0"/>
              <w:left w:val="nil"/>
              <w:bottom w:val="nil"/>
              <w:right w:val="nil"/>
            </w:tcBorders>
            <w:shd w:val="clear" w:color="auto" w:fill="auto"/>
            <w:noWrap w:val="0"/>
            <w:vAlign w:val="top"/>
          </w:tcPr>
          <w:p w14:paraId="1044CE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0.0016</w:t>
            </w:r>
          </w:p>
        </w:tc>
        <w:tc>
          <w:tcPr>
            <w:tcW w:w="1099" w:type="dxa"/>
            <w:tcBorders>
              <w:top w:val="single" w:color="auto" w:sz="6" w:space="0"/>
              <w:left w:val="nil"/>
              <w:bottom w:val="nil"/>
              <w:right w:val="nil"/>
            </w:tcBorders>
            <w:shd w:val="clear" w:color="auto" w:fill="auto"/>
            <w:noWrap w:val="0"/>
            <w:vAlign w:val="top"/>
          </w:tcPr>
          <w:p w14:paraId="7E6665B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0.0048***</w:t>
            </w:r>
          </w:p>
        </w:tc>
        <w:tc>
          <w:tcPr>
            <w:tcW w:w="990" w:type="dxa"/>
            <w:tcBorders>
              <w:top w:val="single" w:color="auto" w:sz="6" w:space="0"/>
              <w:left w:val="nil"/>
              <w:bottom w:val="nil"/>
              <w:right w:val="nil"/>
            </w:tcBorders>
            <w:shd w:val="clear" w:color="auto" w:fill="auto"/>
            <w:noWrap w:val="0"/>
            <w:vAlign w:val="top"/>
          </w:tcPr>
          <w:p w14:paraId="2CF1455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0.0078***</w:t>
            </w:r>
          </w:p>
        </w:tc>
        <w:tc>
          <w:tcPr>
            <w:tcW w:w="1198" w:type="dxa"/>
            <w:tcBorders>
              <w:top w:val="single" w:color="auto" w:sz="6" w:space="0"/>
              <w:left w:val="nil"/>
              <w:bottom w:val="nil"/>
              <w:right w:val="nil"/>
            </w:tcBorders>
            <w:shd w:val="clear" w:color="auto" w:fill="auto"/>
            <w:noWrap w:val="0"/>
            <w:vAlign w:val="top"/>
          </w:tcPr>
          <w:p w14:paraId="3C51E0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0.0041***</w:t>
            </w:r>
          </w:p>
        </w:tc>
      </w:tr>
      <w:tr w14:paraId="3FD5E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trPr>
        <w:tc>
          <w:tcPr>
            <w:tcW w:w="1188" w:type="dxa"/>
            <w:tcBorders>
              <w:top w:val="nil"/>
              <w:left w:val="nil"/>
              <w:bottom w:val="nil"/>
              <w:right w:val="nil"/>
            </w:tcBorders>
            <w:noWrap w:val="0"/>
            <w:vAlign w:val="top"/>
          </w:tcPr>
          <w:p w14:paraId="40524A2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980" w:type="dxa"/>
            <w:tcBorders>
              <w:top w:val="nil"/>
              <w:left w:val="nil"/>
              <w:bottom w:val="nil"/>
              <w:right w:val="nil"/>
            </w:tcBorders>
            <w:noWrap w:val="0"/>
            <w:vAlign w:val="top"/>
          </w:tcPr>
          <w:p w14:paraId="4F72378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(0.0015)</w:t>
            </w:r>
          </w:p>
        </w:tc>
        <w:tc>
          <w:tcPr>
            <w:tcW w:w="1158" w:type="dxa"/>
            <w:tcBorders>
              <w:top w:val="nil"/>
              <w:left w:val="nil"/>
              <w:bottom w:val="nil"/>
              <w:right w:val="nil"/>
            </w:tcBorders>
            <w:noWrap w:val="0"/>
            <w:vAlign w:val="top"/>
          </w:tcPr>
          <w:p w14:paraId="5E3A8AD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(0.0010)</w:t>
            </w:r>
          </w:p>
        </w:tc>
        <w:tc>
          <w:tcPr>
            <w:tcW w:w="981" w:type="dxa"/>
            <w:tcBorders>
              <w:top w:val="nil"/>
              <w:left w:val="nil"/>
              <w:bottom w:val="nil"/>
              <w:right w:val="nil"/>
            </w:tcBorders>
            <w:shd w:val="clear" w:color="auto" w:fill="auto"/>
            <w:noWrap w:val="0"/>
            <w:vAlign w:val="top"/>
          </w:tcPr>
          <w:p w14:paraId="1B085ED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(0.0018)</w:t>
            </w:r>
          </w:p>
        </w:tc>
        <w:tc>
          <w:tcPr>
            <w:tcW w:w="1039" w:type="dxa"/>
            <w:tcBorders>
              <w:top w:val="nil"/>
              <w:left w:val="nil"/>
              <w:bottom w:val="nil"/>
              <w:right w:val="nil"/>
            </w:tcBorders>
            <w:shd w:val="clear" w:color="auto" w:fill="auto"/>
            <w:noWrap w:val="0"/>
            <w:vAlign w:val="top"/>
          </w:tcPr>
          <w:p w14:paraId="282A0A5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(0.0027)</w:t>
            </w:r>
          </w:p>
        </w:tc>
        <w:tc>
          <w:tcPr>
            <w:tcW w:w="1099" w:type="dxa"/>
            <w:tcBorders>
              <w:top w:val="nil"/>
              <w:left w:val="nil"/>
              <w:bottom w:val="nil"/>
              <w:right w:val="nil"/>
            </w:tcBorders>
            <w:shd w:val="clear" w:color="auto" w:fill="auto"/>
            <w:noWrap w:val="0"/>
            <w:vAlign w:val="top"/>
          </w:tcPr>
          <w:p w14:paraId="5A26A86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(0.0017)</w:t>
            </w:r>
          </w:p>
        </w:tc>
        <w:tc>
          <w:tcPr>
            <w:tcW w:w="990" w:type="dxa"/>
            <w:tcBorders>
              <w:top w:val="nil"/>
              <w:left w:val="nil"/>
              <w:bottom w:val="nil"/>
              <w:right w:val="nil"/>
            </w:tcBorders>
            <w:shd w:val="clear" w:color="auto" w:fill="auto"/>
            <w:noWrap w:val="0"/>
            <w:vAlign w:val="top"/>
          </w:tcPr>
          <w:p w14:paraId="605E97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(0.0022)</w:t>
            </w:r>
          </w:p>
        </w:tc>
        <w:tc>
          <w:tcPr>
            <w:tcW w:w="1198" w:type="dxa"/>
            <w:tcBorders>
              <w:top w:val="nil"/>
              <w:left w:val="nil"/>
              <w:bottom w:val="nil"/>
              <w:right w:val="nil"/>
            </w:tcBorders>
            <w:shd w:val="clear" w:color="auto" w:fill="auto"/>
            <w:noWrap w:val="0"/>
            <w:vAlign w:val="top"/>
          </w:tcPr>
          <w:p w14:paraId="170778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(0.0013)</w:t>
            </w:r>
          </w:p>
        </w:tc>
      </w:tr>
      <w:tr w14:paraId="2D8C2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trPr>
        <w:tc>
          <w:tcPr>
            <w:tcW w:w="1188" w:type="dxa"/>
            <w:tcBorders>
              <w:top w:val="nil"/>
              <w:left w:val="nil"/>
              <w:bottom w:val="nil"/>
              <w:right w:val="nil"/>
            </w:tcBorders>
            <w:shd w:val="clear" w:color="auto" w:fill="auto"/>
            <w:noWrap w:val="0"/>
            <w:vAlign w:val="top"/>
          </w:tcPr>
          <w:p w14:paraId="237103B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zh-CN" w:bidi="ar-SA"/>
              </w:rPr>
            </w:pPr>
            <w:r>
              <w:rPr>
                <w:rFonts w:hint="eastAsia" w:ascii="Times New Roman" w:hAnsi="Times New Roman" w:eastAsia="宋体" w:cs="Times New Roman"/>
                <w:i w:val="0"/>
                <w:iCs w:val="0"/>
                <w:sz w:val="15"/>
                <w:szCs w:val="15"/>
                <w:highlight w:val="none"/>
                <w:lang w:val="en-US" w:eastAsia="zh-CN"/>
              </w:rPr>
              <w:t>控制变量</w:t>
            </w:r>
          </w:p>
        </w:tc>
        <w:tc>
          <w:tcPr>
            <w:tcW w:w="980" w:type="dxa"/>
            <w:tcBorders>
              <w:top w:val="nil"/>
              <w:left w:val="nil"/>
              <w:bottom w:val="nil"/>
              <w:right w:val="nil"/>
            </w:tcBorders>
            <w:shd w:val="clear" w:color="auto" w:fill="auto"/>
            <w:noWrap w:val="0"/>
            <w:vAlign w:val="top"/>
          </w:tcPr>
          <w:p w14:paraId="6262E3A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bidi="ar-SA"/>
              </w:rPr>
            </w:pPr>
            <w:r>
              <w:rPr>
                <w:rFonts w:hint="eastAsia" w:ascii="宋体" w:hAnsi="宋体" w:eastAsia="宋体" w:cs="宋体"/>
                <w:sz w:val="15"/>
                <w:szCs w:val="15"/>
                <w:highlight w:val="none"/>
                <w:lang w:val="en-US" w:eastAsia="zh-CN"/>
              </w:rPr>
              <w:t>是</w:t>
            </w:r>
          </w:p>
        </w:tc>
        <w:tc>
          <w:tcPr>
            <w:tcW w:w="1158" w:type="dxa"/>
            <w:tcBorders>
              <w:top w:val="nil"/>
              <w:left w:val="nil"/>
              <w:bottom w:val="nil"/>
              <w:right w:val="nil"/>
            </w:tcBorders>
            <w:shd w:val="clear" w:color="auto" w:fill="auto"/>
            <w:noWrap w:val="0"/>
            <w:vAlign w:val="top"/>
          </w:tcPr>
          <w:p w14:paraId="3EB602F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bidi="ar-SA"/>
              </w:rPr>
            </w:pPr>
            <w:r>
              <w:rPr>
                <w:rFonts w:hint="eastAsia" w:ascii="宋体" w:hAnsi="宋体" w:eastAsia="宋体" w:cs="宋体"/>
                <w:sz w:val="15"/>
                <w:szCs w:val="15"/>
                <w:highlight w:val="none"/>
                <w:lang w:val="en-US" w:eastAsia="zh-CN"/>
              </w:rPr>
              <w:t>是</w:t>
            </w:r>
          </w:p>
        </w:tc>
        <w:tc>
          <w:tcPr>
            <w:tcW w:w="981" w:type="dxa"/>
            <w:tcBorders>
              <w:top w:val="nil"/>
              <w:left w:val="nil"/>
              <w:bottom w:val="nil"/>
              <w:right w:val="nil"/>
            </w:tcBorders>
            <w:shd w:val="clear" w:color="auto" w:fill="auto"/>
            <w:noWrap w:val="0"/>
            <w:vAlign w:val="top"/>
          </w:tcPr>
          <w:p w14:paraId="1F21466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039" w:type="dxa"/>
            <w:tcBorders>
              <w:top w:val="nil"/>
              <w:left w:val="nil"/>
              <w:bottom w:val="nil"/>
              <w:right w:val="nil"/>
            </w:tcBorders>
            <w:shd w:val="clear" w:color="auto" w:fill="auto"/>
            <w:noWrap w:val="0"/>
            <w:vAlign w:val="top"/>
          </w:tcPr>
          <w:p w14:paraId="56CFBDD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099" w:type="dxa"/>
            <w:tcBorders>
              <w:top w:val="nil"/>
              <w:left w:val="nil"/>
              <w:bottom w:val="nil"/>
              <w:right w:val="nil"/>
            </w:tcBorders>
            <w:shd w:val="clear" w:color="auto" w:fill="auto"/>
            <w:noWrap w:val="0"/>
            <w:vAlign w:val="top"/>
          </w:tcPr>
          <w:p w14:paraId="3157AF3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990" w:type="dxa"/>
            <w:tcBorders>
              <w:top w:val="nil"/>
              <w:left w:val="nil"/>
              <w:bottom w:val="nil"/>
              <w:right w:val="nil"/>
            </w:tcBorders>
            <w:shd w:val="clear" w:color="auto" w:fill="auto"/>
            <w:noWrap w:val="0"/>
            <w:vAlign w:val="top"/>
          </w:tcPr>
          <w:p w14:paraId="47542D4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198" w:type="dxa"/>
            <w:tcBorders>
              <w:top w:val="nil"/>
              <w:left w:val="nil"/>
              <w:bottom w:val="nil"/>
              <w:right w:val="nil"/>
            </w:tcBorders>
            <w:shd w:val="clear" w:color="auto" w:fill="auto"/>
            <w:noWrap w:val="0"/>
            <w:vAlign w:val="top"/>
          </w:tcPr>
          <w:p w14:paraId="4AE0AC1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2D3D4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trPr>
        <w:tc>
          <w:tcPr>
            <w:tcW w:w="1188" w:type="dxa"/>
            <w:tcBorders>
              <w:top w:val="nil"/>
              <w:left w:val="nil"/>
              <w:bottom w:val="nil"/>
              <w:right w:val="nil"/>
            </w:tcBorders>
            <w:shd w:val="clear" w:color="auto" w:fill="auto"/>
            <w:noWrap w:val="0"/>
            <w:vAlign w:val="top"/>
          </w:tcPr>
          <w:p w14:paraId="3C2A540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zh-CN" w:bidi="ar-SA"/>
              </w:rPr>
            </w:pPr>
            <w:r>
              <w:rPr>
                <w:rFonts w:ascii="宋体" w:hAnsi="宋体" w:eastAsia="宋体" w:cs="宋体"/>
                <w:sz w:val="15"/>
                <w:szCs w:val="15"/>
                <w:highlight w:val="none"/>
              </w:rPr>
              <w:t>城市固定效应</w:t>
            </w:r>
          </w:p>
        </w:tc>
        <w:tc>
          <w:tcPr>
            <w:tcW w:w="980" w:type="dxa"/>
            <w:tcBorders>
              <w:top w:val="nil"/>
              <w:left w:val="nil"/>
              <w:bottom w:val="nil"/>
              <w:right w:val="nil"/>
            </w:tcBorders>
            <w:noWrap w:val="0"/>
            <w:vAlign w:val="top"/>
          </w:tcPr>
          <w:p w14:paraId="4EFCF18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158" w:type="dxa"/>
            <w:tcBorders>
              <w:top w:val="nil"/>
              <w:left w:val="nil"/>
              <w:bottom w:val="nil"/>
              <w:right w:val="nil"/>
            </w:tcBorders>
            <w:noWrap w:val="0"/>
            <w:vAlign w:val="top"/>
          </w:tcPr>
          <w:p w14:paraId="42A8F4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981" w:type="dxa"/>
            <w:tcBorders>
              <w:top w:val="nil"/>
              <w:left w:val="nil"/>
              <w:bottom w:val="nil"/>
              <w:right w:val="nil"/>
            </w:tcBorders>
            <w:shd w:val="clear" w:color="auto" w:fill="auto"/>
            <w:noWrap w:val="0"/>
            <w:vAlign w:val="top"/>
          </w:tcPr>
          <w:p w14:paraId="410A3D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039" w:type="dxa"/>
            <w:tcBorders>
              <w:top w:val="nil"/>
              <w:left w:val="nil"/>
              <w:bottom w:val="nil"/>
              <w:right w:val="nil"/>
            </w:tcBorders>
            <w:shd w:val="clear" w:color="auto" w:fill="auto"/>
            <w:noWrap w:val="0"/>
            <w:vAlign w:val="top"/>
          </w:tcPr>
          <w:p w14:paraId="1408536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099" w:type="dxa"/>
            <w:tcBorders>
              <w:top w:val="nil"/>
              <w:left w:val="nil"/>
              <w:bottom w:val="nil"/>
              <w:right w:val="nil"/>
            </w:tcBorders>
            <w:shd w:val="clear" w:color="auto" w:fill="auto"/>
            <w:noWrap w:val="0"/>
            <w:vAlign w:val="top"/>
          </w:tcPr>
          <w:p w14:paraId="47B6B8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990" w:type="dxa"/>
            <w:tcBorders>
              <w:top w:val="nil"/>
              <w:left w:val="nil"/>
              <w:bottom w:val="nil"/>
              <w:right w:val="nil"/>
            </w:tcBorders>
            <w:shd w:val="clear" w:color="auto" w:fill="auto"/>
            <w:noWrap w:val="0"/>
            <w:vAlign w:val="top"/>
          </w:tcPr>
          <w:p w14:paraId="233DEB4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198" w:type="dxa"/>
            <w:tcBorders>
              <w:top w:val="nil"/>
              <w:left w:val="nil"/>
              <w:bottom w:val="nil"/>
              <w:right w:val="nil"/>
            </w:tcBorders>
            <w:shd w:val="clear" w:color="auto" w:fill="auto"/>
            <w:noWrap w:val="0"/>
            <w:vAlign w:val="top"/>
          </w:tcPr>
          <w:p w14:paraId="5CBD161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1290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trPr>
        <w:tc>
          <w:tcPr>
            <w:tcW w:w="1188" w:type="dxa"/>
            <w:tcBorders>
              <w:top w:val="nil"/>
              <w:left w:val="nil"/>
              <w:bottom w:val="nil"/>
              <w:right w:val="nil"/>
            </w:tcBorders>
            <w:shd w:val="clear" w:color="auto" w:fill="auto"/>
            <w:noWrap w:val="0"/>
            <w:vAlign w:val="top"/>
          </w:tcPr>
          <w:p w14:paraId="0D7FD3C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zh-CN" w:bidi="ar-SA"/>
              </w:rPr>
            </w:pPr>
            <w:r>
              <w:rPr>
                <w:rFonts w:ascii="宋体" w:hAnsi="宋体" w:eastAsia="宋体" w:cs="宋体"/>
                <w:sz w:val="15"/>
                <w:szCs w:val="15"/>
                <w:highlight w:val="none"/>
              </w:rPr>
              <w:t>年份固定效应</w:t>
            </w:r>
          </w:p>
        </w:tc>
        <w:tc>
          <w:tcPr>
            <w:tcW w:w="980" w:type="dxa"/>
            <w:tcBorders>
              <w:top w:val="nil"/>
              <w:left w:val="nil"/>
              <w:bottom w:val="nil"/>
              <w:right w:val="nil"/>
            </w:tcBorders>
            <w:noWrap w:val="0"/>
            <w:vAlign w:val="top"/>
          </w:tcPr>
          <w:p w14:paraId="4C34FD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158" w:type="dxa"/>
            <w:tcBorders>
              <w:top w:val="nil"/>
              <w:left w:val="nil"/>
              <w:bottom w:val="nil"/>
              <w:right w:val="nil"/>
            </w:tcBorders>
            <w:noWrap w:val="0"/>
            <w:vAlign w:val="top"/>
          </w:tcPr>
          <w:p w14:paraId="580600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981" w:type="dxa"/>
            <w:tcBorders>
              <w:top w:val="nil"/>
              <w:left w:val="nil"/>
              <w:bottom w:val="nil"/>
              <w:right w:val="nil"/>
            </w:tcBorders>
            <w:shd w:val="clear" w:color="auto" w:fill="auto"/>
            <w:noWrap w:val="0"/>
            <w:vAlign w:val="top"/>
          </w:tcPr>
          <w:p w14:paraId="1D5D880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039" w:type="dxa"/>
            <w:tcBorders>
              <w:top w:val="nil"/>
              <w:left w:val="nil"/>
              <w:bottom w:val="nil"/>
              <w:right w:val="nil"/>
            </w:tcBorders>
            <w:shd w:val="clear" w:color="auto" w:fill="auto"/>
            <w:noWrap w:val="0"/>
            <w:vAlign w:val="top"/>
          </w:tcPr>
          <w:p w14:paraId="5F5C0AF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099" w:type="dxa"/>
            <w:tcBorders>
              <w:top w:val="nil"/>
              <w:left w:val="nil"/>
              <w:bottom w:val="nil"/>
              <w:right w:val="nil"/>
            </w:tcBorders>
            <w:shd w:val="clear" w:color="auto" w:fill="auto"/>
            <w:noWrap w:val="0"/>
            <w:vAlign w:val="top"/>
          </w:tcPr>
          <w:p w14:paraId="59E4AB2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990" w:type="dxa"/>
            <w:tcBorders>
              <w:top w:val="nil"/>
              <w:left w:val="nil"/>
              <w:bottom w:val="nil"/>
              <w:right w:val="nil"/>
            </w:tcBorders>
            <w:shd w:val="clear" w:color="auto" w:fill="auto"/>
            <w:noWrap w:val="0"/>
            <w:vAlign w:val="top"/>
          </w:tcPr>
          <w:p w14:paraId="6DDD335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198" w:type="dxa"/>
            <w:tcBorders>
              <w:top w:val="nil"/>
              <w:left w:val="nil"/>
              <w:bottom w:val="nil"/>
              <w:right w:val="nil"/>
            </w:tcBorders>
            <w:shd w:val="clear" w:color="auto" w:fill="auto"/>
            <w:noWrap w:val="0"/>
            <w:vAlign w:val="top"/>
          </w:tcPr>
          <w:p w14:paraId="18C66A4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31A58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 w:hRule="atLeast"/>
        </w:trPr>
        <w:tc>
          <w:tcPr>
            <w:tcW w:w="1188" w:type="dxa"/>
            <w:tcBorders>
              <w:top w:val="nil"/>
              <w:left w:val="nil"/>
              <w:bottom w:val="nil"/>
              <w:right w:val="nil"/>
            </w:tcBorders>
            <w:noWrap w:val="0"/>
            <w:vAlign w:val="top"/>
          </w:tcPr>
          <w:p w14:paraId="5CFC027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N</w:t>
            </w:r>
          </w:p>
        </w:tc>
        <w:tc>
          <w:tcPr>
            <w:tcW w:w="980" w:type="dxa"/>
            <w:tcBorders>
              <w:top w:val="nil"/>
              <w:left w:val="nil"/>
              <w:bottom w:val="nil"/>
              <w:right w:val="nil"/>
            </w:tcBorders>
            <w:noWrap w:val="0"/>
            <w:vAlign w:val="top"/>
          </w:tcPr>
          <w:p w14:paraId="20410AF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615</w:t>
            </w:r>
          </w:p>
        </w:tc>
        <w:tc>
          <w:tcPr>
            <w:tcW w:w="1158" w:type="dxa"/>
            <w:tcBorders>
              <w:top w:val="nil"/>
              <w:left w:val="nil"/>
              <w:bottom w:val="nil"/>
              <w:right w:val="nil"/>
            </w:tcBorders>
            <w:noWrap w:val="0"/>
            <w:vAlign w:val="top"/>
          </w:tcPr>
          <w:p w14:paraId="6AACAB4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540</w:t>
            </w:r>
          </w:p>
        </w:tc>
        <w:tc>
          <w:tcPr>
            <w:tcW w:w="981" w:type="dxa"/>
            <w:tcBorders>
              <w:top w:val="nil"/>
              <w:left w:val="nil"/>
              <w:bottom w:val="nil"/>
              <w:right w:val="nil"/>
            </w:tcBorders>
            <w:shd w:val="clear" w:color="auto" w:fill="auto"/>
            <w:noWrap w:val="0"/>
            <w:vAlign w:val="top"/>
          </w:tcPr>
          <w:p w14:paraId="596E285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615</w:t>
            </w:r>
          </w:p>
        </w:tc>
        <w:tc>
          <w:tcPr>
            <w:tcW w:w="1039" w:type="dxa"/>
            <w:tcBorders>
              <w:top w:val="nil"/>
              <w:left w:val="nil"/>
              <w:bottom w:val="nil"/>
              <w:right w:val="nil"/>
            </w:tcBorders>
            <w:shd w:val="clear" w:color="auto" w:fill="auto"/>
            <w:noWrap w:val="0"/>
            <w:vAlign w:val="top"/>
          </w:tcPr>
          <w:p w14:paraId="656725B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615</w:t>
            </w:r>
          </w:p>
        </w:tc>
        <w:tc>
          <w:tcPr>
            <w:tcW w:w="1099" w:type="dxa"/>
            <w:tcBorders>
              <w:top w:val="nil"/>
              <w:left w:val="nil"/>
              <w:bottom w:val="nil"/>
              <w:right w:val="nil"/>
            </w:tcBorders>
            <w:shd w:val="clear" w:color="auto" w:fill="auto"/>
            <w:noWrap w:val="0"/>
            <w:vAlign w:val="top"/>
          </w:tcPr>
          <w:p w14:paraId="35F1F0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615</w:t>
            </w:r>
          </w:p>
        </w:tc>
        <w:tc>
          <w:tcPr>
            <w:tcW w:w="990" w:type="dxa"/>
            <w:tcBorders>
              <w:top w:val="nil"/>
              <w:left w:val="nil"/>
              <w:bottom w:val="nil"/>
              <w:right w:val="nil"/>
            </w:tcBorders>
            <w:shd w:val="clear" w:color="auto" w:fill="auto"/>
            <w:noWrap w:val="0"/>
            <w:vAlign w:val="top"/>
          </w:tcPr>
          <w:p w14:paraId="2F3FDB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615</w:t>
            </w:r>
          </w:p>
        </w:tc>
        <w:tc>
          <w:tcPr>
            <w:tcW w:w="1198" w:type="dxa"/>
            <w:tcBorders>
              <w:top w:val="nil"/>
              <w:left w:val="nil"/>
              <w:bottom w:val="nil"/>
              <w:right w:val="nil"/>
            </w:tcBorders>
            <w:shd w:val="clear" w:color="auto" w:fill="auto"/>
            <w:noWrap w:val="0"/>
            <w:vAlign w:val="top"/>
          </w:tcPr>
          <w:p w14:paraId="263D606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615</w:t>
            </w:r>
          </w:p>
        </w:tc>
      </w:tr>
      <w:tr w14:paraId="1EBE3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 w:hRule="atLeast"/>
        </w:trPr>
        <w:tc>
          <w:tcPr>
            <w:tcW w:w="1188" w:type="dxa"/>
            <w:tcBorders>
              <w:top w:val="nil"/>
              <w:left w:val="nil"/>
              <w:bottom w:val="single" w:color="auto" w:sz="12" w:space="0"/>
              <w:right w:val="nil"/>
            </w:tcBorders>
            <w:noWrap w:val="0"/>
            <w:vAlign w:val="top"/>
          </w:tcPr>
          <w:p w14:paraId="024ECA4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组内R²</w:t>
            </w:r>
          </w:p>
        </w:tc>
        <w:tc>
          <w:tcPr>
            <w:tcW w:w="980" w:type="dxa"/>
            <w:tcBorders>
              <w:top w:val="nil"/>
              <w:left w:val="nil"/>
              <w:bottom w:val="single" w:color="auto" w:sz="12" w:space="0"/>
              <w:right w:val="nil"/>
            </w:tcBorders>
            <w:noWrap w:val="0"/>
            <w:vAlign w:val="top"/>
          </w:tcPr>
          <w:p w14:paraId="4159CA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0.7110</w:t>
            </w:r>
          </w:p>
        </w:tc>
        <w:tc>
          <w:tcPr>
            <w:tcW w:w="1158" w:type="dxa"/>
            <w:tcBorders>
              <w:top w:val="nil"/>
              <w:left w:val="nil"/>
              <w:bottom w:val="single" w:color="auto" w:sz="12" w:space="0"/>
              <w:right w:val="nil"/>
            </w:tcBorders>
            <w:noWrap w:val="0"/>
            <w:vAlign w:val="top"/>
          </w:tcPr>
          <w:p w14:paraId="709178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0.7933</w:t>
            </w:r>
          </w:p>
        </w:tc>
        <w:tc>
          <w:tcPr>
            <w:tcW w:w="981" w:type="dxa"/>
            <w:tcBorders>
              <w:top w:val="nil"/>
              <w:left w:val="nil"/>
              <w:bottom w:val="single" w:color="auto" w:sz="12" w:space="0"/>
              <w:right w:val="nil"/>
            </w:tcBorders>
            <w:shd w:val="clear" w:color="auto" w:fill="auto"/>
            <w:noWrap w:val="0"/>
            <w:vAlign w:val="top"/>
          </w:tcPr>
          <w:p w14:paraId="54F317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0.5526</w:t>
            </w:r>
          </w:p>
        </w:tc>
        <w:tc>
          <w:tcPr>
            <w:tcW w:w="1039" w:type="dxa"/>
            <w:tcBorders>
              <w:top w:val="nil"/>
              <w:left w:val="nil"/>
              <w:bottom w:val="single" w:color="auto" w:sz="12" w:space="0"/>
              <w:right w:val="nil"/>
            </w:tcBorders>
            <w:shd w:val="clear" w:color="auto" w:fill="auto"/>
            <w:noWrap w:val="0"/>
            <w:vAlign w:val="top"/>
          </w:tcPr>
          <w:p w14:paraId="534E794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0.4735</w:t>
            </w:r>
          </w:p>
        </w:tc>
        <w:tc>
          <w:tcPr>
            <w:tcW w:w="1099" w:type="dxa"/>
            <w:tcBorders>
              <w:top w:val="nil"/>
              <w:left w:val="nil"/>
              <w:bottom w:val="single" w:color="auto" w:sz="12" w:space="0"/>
              <w:right w:val="nil"/>
            </w:tcBorders>
            <w:shd w:val="clear" w:color="auto" w:fill="auto"/>
            <w:noWrap w:val="0"/>
            <w:vAlign w:val="top"/>
          </w:tcPr>
          <w:p w14:paraId="033BE3F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0.5625</w:t>
            </w:r>
          </w:p>
        </w:tc>
        <w:tc>
          <w:tcPr>
            <w:tcW w:w="990" w:type="dxa"/>
            <w:tcBorders>
              <w:top w:val="nil"/>
              <w:left w:val="nil"/>
              <w:bottom w:val="single" w:color="auto" w:sz="12" w:space="0"/>
              <w:right w:val="nil"/>
            </w:tcBorders>
            <w:shd w:val="clear" w:color="auto" w:fill="auto"/>
            <w:noWrap w:val="0"/>
            <w:vAlign w:val="top"/>
          </w:tcPr>
          <w:p w14:paraId="52732DC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0.8097</w:t>
            </w:r>
          </w:p>
        </w:tc>
        <w:tc>
          <w:tcPr>
            <w:tcW w:w="1198" w:type="dxa"/>
            <w:tcBorders>
              <w:top w:val="nil"/>
              <w:left w:val="nil"/>
              <w:bottom w:val="single" w:color="auto" w:sz="12" w:space="0"/>
              <w:right w:val="nil"/>
            </w:tcBorders>
            <w:shd w:val="clear" w:color="auto" w:fill="auto"/>
            <w:noWrap w:val="0"/>
            <w:vAlign w:val="top"/>
          </w:tcPr>
          <w:p w14:paraId="42A2B8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0.7406</w:t>
            </w:r>
          </w:p>
        </w:tc>
      </w:tr>
    </w:tbl>
    <w:p w14:paraId="730560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b w:val="0"/>
          <w:sz w:val="21"/>
          <w:szCs w:val="21"/>
          <w:highlight w:val="none"/>
          <w:lang w:val="en-US" w:eastAsia="zh-CN"/>
        </w:rPr>
      </w:pPr>
      <w:r>
        <w:rPr>
          <w:rFonts w:hint="eastAsia" w:ascii="楷体" w:hAnsi="楷体" w:eastAsia="楷体" w:cs="楷体"/>
          <w:sz w:val="28"/>
          <w:szCs w:val="28"/>
          <w:highlight w:val="none"/>
          <w:lang w:eastAsia="zh-CN"/>
        </w:rPr>
        <w:t>五、</w:t>
      </w:r>
      <w:r>
        <w:rPr>
          <w:rFonts w:hint="eastAsia" w:ascii="楷体" w:hAnsi="楷体" w:eastAsia="楷体" w:cs="楷体"/>
          <w:sz w:val="28"/>
          <w:szCs w:val="28"/>
          <w:highlight w:val="none"/>
          <w:lang w:val="en-US" w:eastAsia="zh-CN"/>
        </w:rPr>
        <w:t>进一步分析</w:t>
      </w:r>
    </w:p>
    <w:p w14:paraId="740AC810">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（一）中介机制检验</w:t>
      </w:r>
    </w:p>
    <w:p w14:paraId="329C62CC">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为揭示政府引导基金影响区域创新生态的传导机制，本文采用逐步回归法，从研发投入强度和数字普惠金融两个维度进行实证检验，回归结果如表６所示。</w:t>
      </w:r>
    </w:p>
    <w:p w14:paraId="15E0F9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b/>
          <w:bCs w:val="0"/>
          <w:sz w:val="15"/>
          <w:szCs w:val="15"/>
          <w:highlight w:val="none"/>
          <w:lang w:val="en-US" w:eastAsia="zh-CN"/>
        </w:rPr>
      </w:pPr>
      <w:r>
        <w:rPr>
          <w:rFonts w:hint="eastAsia" w:ascii="黑体" w:hAnsi="黑体" w:eastAsia="黑体" w:cs="黑体"/>
          <w:b/>
          <w:bCs w:val="0"/>
          <w:sz w:val="15"/>
          <w:szCs w:val="15"/>
          <w:highlight w:val="none"/>
          <w:lang w:val="en-US" w:eastAsia="zh-CN"/>
        </w:rPr>
        <w:t>表6  中介机制检验结果</w:t>
      </w:r>
    </w:p>
    <w:tbl>
      <w:tblPr>
        <w:tblStyle w:val="2"/>
        <w:tblW w:w="8577" w:type="dxa"/>
        <w:tblInd w:w="1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9"/>
        <w:gridCol w:w="1545"/>
        <w:gridCol w:w="1940"/>
        <w:gridCol w:w="1634"/>
        <w:gridCol w:w="2099"/>
      </w:tblGrid>
      <w:tr w14:paraId="6E64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trPr>
        <w:tc>
          <w:tcPr>
            <w:tcW w:w="1359" w:type="dxa"/>
            <w:tcBorders>
              <w:top w:val="single" w:color="auto" w:sz="12" w:space="0"/>
              <w:left w:val="nil"/>
              <w:bottom w:val="nil"/>
              <w:right w:val="nil"/>
            </w:tcBorders>
            <w:shd w:val="clear" w:color="auto" w:fill="auto"/>
            <w:noWrap w:val="0"/>
            <w:vAlign w:val="top"/>
          </w:tcPr>
          <w:p w14:paraId="59C305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en-US"/>
              </w:rPr>
            </w:pPr>
          </w:p>
        </w:tc>
        <w:tc>
          <w:tcPr>
            <w:tcW w:w="1545" w:type="dxa"/>
            <w:tcBorders>
              <w:top w:val="single" w:color="auto" w:sz="12" w:space="0"/>
              <w:left w:val="nil"/>
              <w:bottom w:val="nil"/>
              <w:right w:val="nil"/>
            </w:tcBorders>
            <w:shd w:val="clear" w:color="auto" w:fill="auto"/>
            <w:noWrap w:val="0"/>
            <w:vAlign w:val="top"/>
          </w:tcPr>
          <w:p w14:paraId="7AE2A5E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en-US"/>
              </w:rPr>
            </w:pPr>
            <w:r>
              <w:rPr>
                <w:rFonts w:hint="default" w:ascii="宋体" w:hAnsi="宋体" w:eastAsia="宋体" w:cs="宋体"/>
                <w:sz w:val="15"/>
                <w:szCs w:val="15"/>
                <w:highlight w:val="none"/>
              </w:rPr>
              <w:t>(1)</w:t>
            </w:r>
          </w:p>
        </w:tc>
        <w:tc>
          <w:tcPr>
            <w:tcW w:w="1940" w:type="dxa"/>
            <w:tcBorders>
              <w:top w:val="single" w:color="auto" w:sz="12" w:space="0"/>
              <w:left w:val="nil"/>
              <w:bottom w:val="nil"/>
              <w:right w:val="nil"/>
            </w:tcBorders>
            <w:shd w:val="clear" w:color="auto" w:fill="auto"/>
            <w:noWrap w:val="0"/>
            <w:vAlign w:val="top"/>
          </w:tcPr>
          <w:p w14:paraId="68E5919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en-US"/>
              </w:rPr>
            </w:pPr>
            <w:r>
              <w:rPr>
                <w:rFonts w:hint="default" w:ascii="宋体" w:hAnsi="宋体" w:eastAsia="宋体" w:cs="宋体"/>
                <w:sz w:val="15"/>
                <w:szCs w:val="15"/>
                <w:highlight w:val="none"/>
              </w:rPr>
              <w:t>(2)</w:t>
            </w:r>
          </w:p>
        </w:tc>
        <w:tc>
          <w:tcPr>
            <w:tcW w:w="1634" w:type="dxa"/>
            <w:tcBorders>
              <w:top w:val="single" w:color="auto" w:sz="12" w:space="0"/>
              <w:left w:val="nil"/>
              <w:bottom w:val="nil"/>
              <w:right w:val="nil"/>
            </w:tcBorders>
            <w:shd w:val="clear" w:color="auto" w:fill="auto"/>
            <w:noWrap w:val="0"/>
            <w:vAlign w:val="top"/>
          </w:tcPr>
          <w:p w14:paraId="472157C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en-US"/>
              </w:rPr>
            </w:pPr>
            <w:r>
              <w:rPr>
                <w:rFonts w:hint="default" w:ascii="宋体" w:hAnsi="宋体" w:eastAsia="宋体" w:cs="宋体"/>
                <w:sz w:val="15"/>
                <w:szCs w:val="15"/>
                <w:highlight w:val="none"/>
              </w:rPr>
              <w:t>(3)</w:t>
            </w:r>
          </w:p>
        </w:tc>
        <w:tc>
          <w:tcPr>
            <w:tcW w:w="2099" w:type="dxa"/>
            <w:tcBorders>
              <w:top w:val="single" w:color="auto" w:sz="12" w:space="0"/>
              <w:left w:val="nil"/>
              <w:bottom w:val="nil"/>
              <w:right w:val="nil"/>
            </w:tcBorders>
            <w:shd w:val="clear" w:color="auto" w:fill="auto"/>
            <w:noWrap w:val="0"/>
            <w:vAlign w:val="top"/>
          </w:tcPr>
          <w:p w14:paraId="09B2CA9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default" w:ascii="宋体" w:hAnsi="宋体" w:eastAsia="宋体" w:cs="宋体"/>
                <w:sz w:val="15"/>
                <w:szCs w:val="15"/>
                <w:highlight w:val="none"/>
              </w:rPr>
              <w:t>(4)</w:t>
            </w:r>
          </w:p>
        </w:tc>
      </w:tr>
      <w:tr w14:paraId="7AD16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1359" w:type="dxa"/>
            <w:tcBorders>
              <w:top w:val="nil"/>
              <w:left w:val="nil"/>
              <w:bottom w:val="single" w:color="auto" w:sz="6" w:space="0"/>
              <w:right w:val="nil"/>
            </w:tcBorders>
            <w:shd w:val="clear" w:color="auto" w:fill="auto"/>
            <w:noWrap w:val="0"/>
            <w:vAlign w:val="top"/>
          </w:tcPr>
          <w:p w14:paraId="657BC04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en-US"/>
              </w:rPr>
            </w:pPr>
          </w:p>
        </w:tc>
        <w:tc>
          <w:tcPr>
            <w:tcW w:w="1545" w:type="dxa"/>
            <w:tcBorders>
              <w:top w:val="nil"/>
              <w:left w:val="nil"/>
              <w:bottom w:val="single" w:color="auto" w:sz="6" w:space="0"/>
              <w:right w:val="nil"/>
            </w:tcBorders>
            <w:shd w:val="clear" w:color="auto" w:fill="auto"/>
            <w:noWrap w:val="0"/>
            <w:vAlign w:val="top"/>
          </w:tcPr>
          <w:p w14:paraId="6D73DC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Times New Roman" w:hAnsi="Times New Roman" w:eastAsia="宋体" w:cs="Times New Roman"/>
                <w:i/>
                <w:iCs/>
                <w:sz w:val="15"/>
                <w:szCs w:val="15"/>
                <w:highlight w:val="none"/>
                <w:lang w:val="en-US" w:eastAsia="zh-CN"/>
              </w:rPr>
              <w:t>Did_cont</w:t>
            </w:r>
            <w:r>
              <w:rPr>
                <w:rFonts w:hint="eastAsia" w:ascii="Cambria Math" w:hAnsi="Cambria Math" w:eastAsia="宋体" w:cs="宋体"/>
                <w:i w:val="0"/>
                <w:iCs w:val="0"/>
                <w:sz w:val="15"/>
                <w:szCs w:val="15"/>
                <w:highlight w:val="none"/>
              </w:rPr>
              <w:t>→</w:t>
            </w:r>
            <w:r>
              <w:rPr>
                <w:rFonts w:hint="eastAsia" w:ascii="Times New Roman" w:hAnsi="Times New Roman" w:eastAsia="宋体" w:cs="Times New Roman"/>
                <w:i/>
                <w:iCs/>
                <w:sz w:val="15"/>
                <w:szCs w:val="15"/>
                <w:highlight w:val="none"/>
                <w:lang w:val="en-US" w:eastAsia="zh-CN"/>
              </w:rPr>
              <w:t>R</w:t>
            </w:r>
            <w:r>
              <w:rPr>
                <w:rFonts w:hint="default" w:ascii="Times New Roman" w:hAnsi="Times New Roman" w:eastAsia="宋体" w:cs="Times New Roman"/>
                <w:i/>
                <w:iCs/>
                <w:sz w:val="15"/>
                <w:szCs w:val="15"/>
                <w:highlight w:val="none"/>
              </w:rPr>
              <w:t>d</w:t>
            </w:r>
          </w:p>
        </w:tc>
        <w:tc>
          <w:tcPr>
            <w:tcW w:w="1940" w:type="dxa"/>
            <w:tcBorders>
              <w:top w:val="nil"/>
              <w:left w:val="nil"/>
              <w:bottom w:val="single" w:color="auto" w:sz="6" w:space="0"/>
              <w:right w:val="nil"/>
            </w:tcBorders>
            <w:shd w:val="clear" w:color="auto" w:fill="auto"/>
            <w:noWrap w:val="0"/>
            <w:vAlign w:val="top"/>
          </w:tcPr>
          <w:p w14:paraId="1CECFB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Times New Roman" w:hAnsi="Times New Roman" w:eastAsia="宋体" w:cs="Times New Roman"/>
                <w:i/>
                <w:iCs/>
                <w:sz w:val="15"/>
                <w:szCs w:val="15"/>
                <w:highlight w:val="none"/>
                <w:lang w:val="en-US" w:eastAsia="zh-CN"/>
              </w:rPr>
              <w:t>Did_cont</w:t>
            </w:r>
            <w:r>
              <w:rPr>
                <w:rFonts w:hint="eastAsia" w:ascii="宋体" w:hAnsi="宋体" w:eastAsia="宋体" w:cs="宋体"/>
                <w:sz w:val="15"/>
                <w:szCs w:val="15"/>
                <w:highlight w:val="none"/>
                <w:lang w:val="en-US" w:eastAsia="zh-CN"/>
              </w:rPr>
              <w:t>+</w:t>
            </w:r>
            <w:r>
              <w:rPr>
                <w:rFonts w:hint="eastAsia" w:ascii="Times New Roman" w:hAnsi="Times New Roman" w:eastAsia="宋体" w:cs="Times New Roman"/>
                <w:i/>
                <w:iCs/>
                <w:sz w:val="15"/>
                <w:szCs w:val="15"/>
                <w:highlight w:val="none"/>
                <w:lang w:val="en-US" w:eastAsia="zh-CN"/>
              </w:rPr>
              <w:t>R</w:t>
            </w:r>
            <w:r>
              <w:rPr>
                <w:rFonts w:hint="default" w:ascii="Times New Roman" w:hAnsi="Times New Roman" w:eastAsia="宋体" w:cs="Times New Roman"/>
                <w:i/>
                <w:iCs/>
                <w:sz w:val="15"/>
                <w:szCs w:val="15"/>
                <w:highlight w:val="none"/>
              </w:rPr>
              <w:t>d</w:t>
            </w:r>
            <w:r>
              <w:rPr>
                <w:rFonts w:hint="eastAsia" w:ascii="Cambria Math" w:hAnsi="Cambria Math" w:eastAsia="宋体" w:cs="宋体"/>
                <w:i w:val="0"/>
                <w:iCs w:val="0"/>
                <w:sz w:val="15"/>
                <w:szCs w:val="15"/>
                <w:highlight w:val="none"/>
              </w:rPr>
              <w:t>→</w:t>
            </w:r>
            <m:oMath>
              <m:r>
                <m:rPr>
                  <m:nor/>
                </m:rPr>
                <w:rPr>
                  <w:rFonts w:hint="default" w:ascii="Times New Roman" w:hAnsi="Times New Roman" w:eastAsia="宋体" w:cs="Times New Roman"/>
                  <w:i/>
                  <w:iCs/>
                  <w:sz w:val="15"/>
                  <w:szCs w:val="15"/>
                  <w:highlight w:val="none"/>
                </w:rPr>
                <m:t>Inn</m:t>
              </m:r>
            </m:oMath>
          </w:p>
        </w:tc>
        <w:tc>
          <w:tcPr>
            <w:tcW w:w="1634" w:type="dxa"/>
            <w:tcBorders>
              <w:top w:val="nil"/>
              <w:left w:val="nil"/>
              <w:bottom w:val="single" w:color="auto" w:sz="6" w:space="0"/>
              <w:right w:val="nil"/>
            </w:tcBorders>
            <w:shd w:val="clear" w:color="auto" w:fill="auto"/>
            <w:noWrap w:val="0"/>
            <w:vAlign w:val="top"/>
          </w:tcPr>
          <w:p w14:paraId="7279ED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Times New Roman" w:hAnsi="Times New Roman" w:eastAsia="宋体" w:cs="Times New Roman"/>
                <w:i/>
                <w:iCs/>
                <w:sz w:val="15"/>
                <w:szCs w:val="15"/>
                <w:highlight w:val="none"/>
                <w:lang w:val="en-US" w:eastAsia="zh-CN"/>
              </w:rPr>
              <w:t>Did_cont</w:t>
            </w:r>
            <w:r>
              <w:rPr>
                <w:rFonts w:hint="eastAsia" w:ascii="Cambria Math" w:hAnsi="Cambria Math" w:eastAsia="宋体" w:cs="宋体"/>
                <w:i w:val="0"/>
                <w:iCs w:val="0"/>
                <w:sz w:val="15"/>
                <w:szCs w:val="15"/>
                <w:highlight w:val="none"/>
              </w:rPr>
              <w:t>→</w:t>
            </w:r>
            <w:r>
              <w:rPr>
                <w:rFonts w:hint="eastAsia" w:ascii="Times New Roman" w:hAnsi="Times New Roman" w:eastAsia="宋体" w:cs="Times New Roman"/>
                <w:i/>
                <w:iCs/>
                <w:sz w:val="15"/>
                <w:szCs w:val="15"/>
                <w:highlight w:val="none"/>
                <w:lang w:val="en-US" w:eastAsia="zh-CN"/>
              </w:rPr>
              <w:t>D</w:t>
            </w:r>
            <w:r>
              <w:rPr>
                <w:rFonts w:hint="default" w:ascii="Times New Roman" w:hAnsi="Times New Roman" w:eastAsia="宋体" w:cs="Times New Roman"/>
                <w:i/>
                <w:iCs/>
                <w:sz w:val="15"/>
                <w:szCs w:val="15"/>
                <w:highlight w:val="none"/>
              </w:rPr>
              <w:t>igital</w:t>
            </w:r>
          </w:p>
        </w:tc>
        <w:tc>
          <w:tcPr>
            <w:tcW w:w="2099" w:type="dxa"/>
            <w:tcBorders>
              <w:top w:val="nil"/>
              <w:left w:val="nil"/>
              <w:bottom w:val="single" w:color="auto" w:sz="6" w:space="0"/>
              <w:right w:val="nil"/>
            </w:tcBorders>
            <w:shd w:val="clear" w:color="auto" w:fill="auto"/>
            <w:noWrap w:val="0"/>
            <w:vAlign w:val="top"/>
          </w:tcPr>
          <w:p w14:paraId="47CD39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rPr>
            </w:pPr>
            <w:r>
              <w:rPr>
                <w:rFonts w:hint="default" w:ascii="Times New Roman" w:hAnsi="Times New Roman" w:eastAsia="宋体" w:cs="Times New Roman"/>
                <w:i/>
                <w:iCs/>
                <w:sz w:val="15"/>
                <w:szCs w:val="15"/>
                <w:highlight w:val="none"/>
                <w:lang w:val="en-US" w:eastAsia="zh-CN"/>
              </w:rPr>
              <w:t>Did_cont</w:t>
            </w:r>
            <w:r>
              <w:rPr>
                <w:rFonts w:hint="eastAsia" w:ascii="宋体" w:hAnsi="宋体" w:eastAsia="宋体" w:cs="宋体"/>
                <w:sz w:val="15"/>
                <w:szCs w:val="15"/>
                <w:highlight w:val="none"/>
                <w:lang w:val="en-US" w:eastAsia="zh-CN"/>
              </w:rPr>
              <w:t>+</w:t>
            </w:r>
            <w:r>
              <w:rPr>
                <w:rFonts w:hint="eastAsia" w:ascii="Times New Roman" w:hAnsi="Times New Roman" w:eastAsia="宋体" w:cs="Times New Roman"/>
                <w:i/>
                <w:iCs/>
                <w:sz w:val="15"/>
                <w:szCs w:val="15"/>
                <w:highlight w:val="none"/>
                <w:lang w:val="en-US" w:eastAsia="zh-CN"/>
              </w:rPr>
              <w:t>D</w:t>
            </w:r>
            <w:r>
              <w:rPr>
                <w:rFonts w:hint="default" w:ascii="Times New Roman" w:hAnsi="Times New Roman" w:eastAsia="宋体" w:cs="Times New Roman"/>
                <w:i/>
                <w:iCs/>
                <w:sz w:val="15"/>
                <w:szCs w:val="15"/>
                <w:highlight w:val="none"/>
              </w:rPr>
              <w:t>igital</w:t>
            </w:r>
            <w:r>
              <w:rPr>
                <w:rFonts w:hint="eastAsia" w:ascii="Cambria Math" w:hAnsi="Cambria Math" w:eastAsia="宋体" w:cs="宋体"/>
                <w:i w:val="0"/>
                <w:iCs w:val="0"/>
                <w:sz w:val="15"/>
                <w:szCs w:val="15"/>
                <w:highlight w:val="none"/>
              </w:rPr>
              <w:t>→</w:t>
            </w:r>
            <m:oMath>
              <m:r>
                <m:rPr>
                  <m:nor/>
                </m:rPr>
                <w:rPr>
                  <w:rFonts w:hint="default" w:ascii="Times New Roman" w:hAnsi="Times New Roman" w:eastAsia="宋体" w:cs="Times New Roman"/>
                  <w:i/>
                  <w:iCs/>
                  <w:sz w:val="15"/>
                  <w:szCs w:val="15"/>
                  <w:highlight w:val="none"/>
                </w:rPr>
                <m:t>Inn</m:t>
              </m:r>
            </m:oMath>
          </w:p>
        </w:tc>
      </w:tr>
      <w:tr w14:paraId="7328F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left w:val="nil"/>
              <w:bottom w:val="nil"/>
              <w:right w:val="nil"/>
            </w:tcBorders>
            <w:shd w:val="clear" w:color="auto" w:fill="auto"/>
            <w:noWrap w:val="0"/>
            <w:vAlign w:val="top"/>
          </w:tcPr>
          <w:p w14:paraId="447160F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val="0"/>
                <w:iCs/>
                <w:sz w:val="15"/>
                <w:szCs w:val="15"/>
                <w:highlight w:val="none"/>
                <w:lang w:val="en-US" w:eastAsia="en-US"/>
                <w:oMath/>
              </w:rPr>
            </w:pPr>
            <w:r>
              <w:rPr>
                <w:rFonts w:hint="default" w:ascii="Times New Roman" w:hAnsi="Times New Roman" w:eastAsia="宋体" w:cs="Times New Roman"/>
                <w:i/>
                <w:iCs/>
                <w:sz w:val="15"/>
                <w:szCs w:val="15"/>
                <w:highlight w:val="none"/>
                <w:lang w:val="en-US" w:eastAsia="zh-CN"/>
              </w:rPr>
              <w:t>Did_cont</w:t>
            </w:r>
          </w:p>
        </w:tc>
        <w:tc>
          <w:tcPr>
            <w:tcW w:w="1545" w:type="dxa"/>
            <w:tcBorders>
              <w:top w:val="nil"/>
              <w:left w:val="nil"/>
              <w:bottom w:val="nil"/>
              <w:right w:val="nil"/>
            </w:tcBorders>
            <w:shd w:val="clear" w:color="auto" w:fill="auto"/>
            <w:noWrap w:val="0"/>
            <w:vAlign w:val="top"/>
          </w:tcPr>
          <w:p w14:paraId="42001EC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r>
              <w:rPr>
                <w:rFonts w:hint="default" w:ascii="宋体" w:hAnsi="宋体" w:eastAsia="宋体" w:cs="宋体"/>
                <w:i w:val="0"/>
                <w:iCs w:val="0"/>
                <w:sz w:val="15"/>
                <w:szCs w:val="15"/>
                <w:highlight w:val="none"/>
              </w:rPr>
              <w:t>0.0097***</w:t>
            </w:r>
          </w:p>
        </w:tc>
        <w:tc>
          <w:tcPr>
            <w:tcW w:w="1940" w:type="dxa"/>
            <w:tcBorders>
              <w:top w:val="nil"/>
              <w:left w:val="nil"/>
              <w:bottom w:val="nil"/>
              <w:right w:val="nil"/>
            </w:tcBorders>
            <w:shd w:val="clear" w:color="auto" w:fill="auto"/>
            <w:noWrap w:val="0"/>
            <w:vAlign w:val="top"/>
          </w:tcPr>
          <w:p w14:paraId="7A0720B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r>
              <w:rPr>
                <w:rFonts w:hint="default" w:ascii="宋体" w:hAnsi="宋体" w:eastAsia="宋体" w:cs="宋体"/>
                <w:i w:val="0"/>
                <w:iCs w:val="0"/>
                <w:sz w:val="15"/>
                <w:szCs w:val="15"/>
                <w:highlight w:val="none"/>
              </w:rPr>
              <w:t>0.0034**</w:t>
            </w:r>
          </w:p>
        </w:tc>
        <w:tc>
          <w:tcPr>
            <w:tcW w:w="1634" w:type="dxa"/>
            <w:tcBorders>
              <w:top w:val="nil"/>
              <w:left w:val="nil"/>
              <w:bottom w:val="nil"/>
              <w:right w:val="nil"/>
            </w:tcBorders>
            <w:shd w:val="clear" w:color="auto" w:fill="auto"/>
            <w:noWrap w:val="0"/>
            <w:vAlign w:val="top"/>
          </w:tcPr>
          <w:p w14:paraId="54664D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r>
              <w:rPr>
                <w:rFonts w:hint="default" w:ascii="宋体" w:hAnsi="宋体" w:eastAsia="宋体" w:cs="宋体"/>
                <w:i w:val="0"/>
                <w:iCs w:val="0"/>
                <w:sz w:val="15"/>
                <w:szCs w:val="15"/>
                <w:highlight w:val="none"/>
              </w:rPr>
              <w:t>0.9182***</w:t>
            </w:r>
          </w:p>
        </w:tc>
        <w:tc>
          <w:tcPr>
            <w:tcW w:w="2099" w:type="dxa"/>
            <w:tcBorders>
              <w:top w:val="nil"/>
              <w:left w:val="nil"/>
              <w:bottom w:val="nil"/>
              <w:right w:val="nil"/>
            </w:tcBorders>
            <w:shd w:val="clear" w:color="auto" w:fill="auto"/>
            <w:noWrap w:val="0"/>
            <w:vAlign w:val="top"/>
          </w:tcPr>
          <w:p w14:paraId="0B08E44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default" w:ascii="宋体" w:hAnsi="宋体" w:eastAsia="宋体" w:cs="宋体"/>
                <w:i w:val="0"/>
                <w:iCs w:val="0"/>
                <w:sz w:val="15"/>
                <w:szCs w:val="15"/>
                <w:highlight w:val="none"/>
              </w:rPr>
              <w:t>0.0033**</w:t>
            </w:r>
          </w:p>
        </w:tc>
      </w:tr>
      <w:tr w14:paraId="3AE72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left w:val="nil"/>
              <w:bottom w:val="nil"/>
              <w:right w:val="nil"/>
            </w:tcBorders>
            <w:shd w:val="clear" w:color="auto" w:fill="auto"/>
            <w:noWrap w:val="0"/>
            <w:vAlign w:val="top"/>
          </w:tcPr>
          <w:p w14:paraId="06E7D9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en-US"/>
              </w:rPr>
            </w:pPr>
          </w:p>
        </w:tc>
        <w:tc>
          <w:tcPr>
            <w:tcW w:w="1545" w:type="dxa"/>
            <w:tcBorders>
              <w:top w:val="nil"/>
              <w:left w:val="nil"/>
              <w:bottom w:val="nil"/>
              <w:right w:val="nil"/>
            </w:tcBorders>
            <w:shd w:val="clear" w:color="auto" w:fill="auto"/>
            <w:noWrap w:val="0"/>
            <w:vAlign w:val="top"/>
          </w:tcPr>
          <w:p w14:paraId="6D198FC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(0.0032)</w:t>
            </w:r>
          </w:p>
        </w:tc>
        <w:tc>
          <w:tcPr>
            <w:tcW w:w="1940" w:type="dxa"/>
            <w:tcBorders>
              <w:top w:val="nil"/>
              <w:left w:val="nil"/>
              <w:bottom w:val="nil"/>
              <w:right w:val="nil"/>
            </w:tcBorders>
            <w:shd w:val="clear" w:color="auto" w:fill="auto"/>
            <w:noWrap w:val="0"/>
            <w:vAlign w:val="top"/>
          </w:tcPr>
          <w:p w14:paraId="4A5A34B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(0.0014)</w:t>
            </w:r>
          </w:p>
        </w:tc>
        <w:tc>
          <w:tcPr>
            <w:tcW w:w="1634" w:type="dxa"/>
            <w:tcBorders>
              <w:top w:val="nil"/>
              <w:left w:val="nil"/>
              <w:bottom w:val="nil"/>
              <w:right w:val="nil"/>
            </w:tcBorders>
            <w:shd w:val="clear" w:color="auto" w:fill="auto"/>
            <w:noWrap w:val="0"/>
            <w:vAlign w:val="top"/>
          </w:tcPr>
          <w:p w14:paraId="0D2DB1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(0.2114)</w:t>
            </w:r>
          </w:p>
        </w:tc>
        <w:tc>
          <w:tcPr>
            <w:tcW w:w="2099" w:type="dxa"/>
            <w:tcBorders>
              <w:top w:val="nil"/>
              <w:left w:val="nil"/>
              <w:bottom w:val="nil"/>
              <w:right w:val="nil"/>
            </w:tcBorders>
            <w:shd w:val="clear" w:color="auto" w:fill="auto"/>
            <w:noWrap w:val="0"/>
            <w:vAlign w:val="top"/>
          </w:tcPr>
          <w:p w14:paraId="76B2D16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default" w:ascii="宋体" w:hAnsi="宋体" w:eastAsia="宋体" w:cs="宋体"/>
                <w:i w:val="0"/>
                <w:iCs w:val="0"/>
                <w:sz w:val="15"/>
                <w:szCs w:val="15"/>
                <w:highlight w:val="none"/>
              </w:rPr>
              <w:t>(0.0012)</w:t>
            </w:r>
          </w:p>
        </w:tc>
      </w:tr>
      <w:tr w14:paraId="7C480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left w:val="nil"/>
              <w:bottom w:val="nil"/>
              <w:right w:val="nil"/>
            </w:tcBorders>
            <w:shd w:val="clear" w:color="auto" w:fill="auto"/>
            <w:noWrap w:val="0"/>
            <w:vAlign w:val="top"/>
          </w:tcPr>
          <w:p w14:paraId="66BF10A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val="0"/>
                <w:iCs/>
                <w:sz w:val="15"/>
                <w:szCs w:val="15"/>
                <w:highlight w:val="none"/>
                <w:lang w:val="en-US" w:eastAsia="en-US"/>
                <w:oMath/>
              </w:rPr>
            </w:pPr>
            <w:r>
              <w:rPr>
                <w:rFonts w:hint="eastAsia" w:ascii="Times New Roman" w:hAnsi="Times New Roman" w:eastAsia="宋体" w:cs="Times New Roman"/>
                <w:i/>
                <w:iCs/>
                <w:sz w:val="15"/>
                <w:szCs w:val="15"/>
                <w:highlight w:val="none"/>
                <w:lang w:val="en-US" w:eastAsia="zh-CN"/>
              </w:rPr>
              <w:t>R</w:t>
            </w:r>
            <w:r>
              <w:rPr>
                <w:rFonts w:hint="default" w:ascii="Times New Roman" w:hAnsi="Times New Roman" w:eastAsia="宋体" w:cs="Times New Roman"/>
                <w:i/>
                <w:iCs/>
                <w:sz w:val="15"/>
                <w:szCs w:val="15"/>
                <w:highlight w:val="none"/>
              </w:rPr>
              <w:t>d</w:t>
            </w:r>
          </w:p>
        </w:tc>
        <w:tc>
          <w:tcPr>
            <w:tcW w:w="1545" w:type="dxa"/>
            <w:tcBorders>
              <w:top w:val="nil"/>
              <w:left w:val="nil"/>
              <w:bottom w:val="nil"/>
              <w:right w:val="nil"/>
            </w:tcBorders>
            <w:shd w:val="clear" w:color="auto" w:fill="auto"/>
            <w:noWrap w:val="0"/>
            <w:vAlign w:val="top"/>
          </w:tcPr>
          <w:p w14:paraId="3E73FA7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p>
        </w:tc>
        <w:tc>
          <w:tcPr>
            <w:tcW w:w="1940" w:type="dxa"/>
            <w:tcBorders>
              <w:top w:val="nil"/>
              <w:left w:val="nil"/>
              <w:bottom w:val="nil"/>
              <w:right w:val="nil"/>
            </w:tcBorders>
            <w:shd w:val="clear" w:color="auto" w:fill="auto"/>
            <w:noWrap w:val="0"/>
            <w:vAlign w:val="top"/>
          </w:tcPr>
          <w:p w14:paraId="48DBF2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r>
              <w:rPr>
                <w:rFonts w:hint="default" w:ascii="宋体" w:hAnsi="宋体" w:eastAsia="宋体" w:cs="宋体"/>
                <w:i w:val="0"/>
                <w:iCs w:val="0"/>
                <w:sz w:val="15"/>
                <w:szCs w:val="15"/>
                <w:highlight w:val="none"/>
              </w:rPr>
              <w:t>0.1145***</w:t>
            </w:r>
          </w:p>
        </w:tc>
        <w:tc>
          <w:tcPr>
            <w:tcW w:w="1634" w:type="dxa"/>
            <w:tcBorders>
              <w:top w:val="nil"/>
              <w:left w:val="nil"/>
              <w:bottom w:val="nil"/>
              <w:right w:val="nil"/>
            </w:tcBorders>
            <w:shd w:val="clear" w:color="auto" w:fill="auto"/>
            <w:noWrap w:val="0"/>
            <w:vAlign w:val="top"/>
          </w:tcPr>
          <w:p w14:paraId="7463044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p>
        </w:tc>
        <w:tc>
          <w:tcPr>
            <w:tcW w:w="2099" w:type="dxa"/>
            <w:tcBorders>
              <w:top w:val="nil"/>
              <w:left w:val="nil"/>
              <w:bottom w:val="nil"/>
              <w:right w:val="nil"/>
            </w:tcBorders>
            <w:shd w:val="clear" w:color="auto" w:fill="auto"/>
            <w:noWrap w:val="0"/>
            <w:vAlign w:val="top"/>
          </w:tcPr>
          <w:p w14:paraId="3B62CD1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p>
        </w:tc>
      </w:tr>
      <w:tr w14:paraId="0528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left w:val="nil"/>
              <w:bottom w:val="nil"/>
              <w:right w:val="nil"/>
            </w:tcBorders>
            <w:shd w:val="clear" w:color="auto" w:fill="auto"/>
            <w:noWrap w:val="0"/>
            <w:vAlign w:val="top"/>
          </w:tcPr>
          <w:p w14:paraId="4582864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en-US"/>
              </w:rPr>
            </w:pPr>
          </w:p>
        </w:tc>
        <w:tc>
          <w:tcPr>
            <w:tcW w:w="1545" w:type="dxa"/>
            <w:tcBorders>
              <w:top w:val="nil"/>
              <w:left w:val="nil"/>
              <w:bottom w:val="nil"/>
              <w:right w:val="nil"/>
            </w:tcBorders>
            <w:shd w:val="clear" w:color="auto" w:fill="auto"/>
            <w:noWrap w:val="0"/>
            <w:vAlign w:val="top"/>
          </w:tcPr>
          <w:p w14:paraId="14DD81D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p>
        </w:tc>
        <w:tc>
          <w:tcPr>
            <w:tcW w:w="1940" w:type="dxa"/>
            <w:tcBorders>
              <w:top w:val="nil"/>
              <w:left w:val="nil"/>
              <w:bottom w:val="nil"/>
              <w:right w:val="nil"/>
            </w:tcBorders>
            <w:shd w:val="clear" w:color="auto" w:fill="auto"/>
            <w:noWrap w:val="0"/>
            <w:vAlign w:val="top"/>
          </w:tcPr>
          <w:p w14:paraId="7694CE0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(0.0278)</w:t>
            </w:r>
          </w:p>
        </w:tc>
        <w:tc>
          <w:tcPr>
            <w:tcW w:w="1634" w:type="dxa"/>
            <w:tcBorders>
              <w:top w:val="nil"/>
              <w:left w:val="nil"/>
              <w:bottom w:val="nil"/>
              <w:right w:val="nil"/>
            </w:tcBorders>
            <w:shd w:val="clear" w:color="auto" w:fill="auto"/>
            <w:noWrap w:val="0"/>
            <w:vAlign w:val="top"/>
          </w:tcPr>
          <w:p w14:paraId="5062735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p>
        </w:tc>
        <w:tc>
          <w:tcPr>
            <w:tcW w:w="2099" w:type="dxa"/>
            <w:tcBorders>
              <w:top w:val="nil"/>
              <w:left w:val="nil"/>
              <w:bottom w:val="nil"/>
              <w:right w:val="nil"/>
            </w:tcBorders>
            <w:shd w:val="clear" w:color="auto" w:fill="auto"/>
            <w:noWrap w:val="0"/>
            <w:vAlign w:val="top"/>
          </w:tcPr>
          <w:p w14:paraId="5201F48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p>
        </w:tc>
      </w:tr>
      <w:tr w14:paraId="3B8A1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left w:val="nil"/>
              <w:bottom w:val="nil"/>
              <w:right w:val="nil"/>
            </w:tcBorders>
            <w:shd w:val="clear" w:color="auto" w:fill="auto"/>
            <w:noWrap w:val="0"/>
            <w:vAlign w:val="top"/>
          </w:tcPr>
          <w:p w14:paraId="160224D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val="0"/>
                <w:iCs/>
                <w:sz w:val="15"/>
                <w:szCs w:val="15"/>
                <w:highlight w:val="none"/>
                <w:lang w:val="en-US" w:eastAsia="en-US"/>
                <w:oMath/>
              </w:rPr>
            </w:pPr>
            <w:r>
              <w:rPr>
                <w:rFonts w:hint="eastAsia" w:ascii="Times New Roman" w:hAnsi="Times New Roman" w:eastAsia="宋体" w:cs="Times New Roman"/>
                <w:i/>
                <w:iCs/>
                <w:sz w:val="15"/>
                <w:szCs w:val="15"/>
                <w:highlight w:val="none"/>
                <w:lang w:val="en-US" w:eastAsia="zh-CN"/>
              </w:rPr>
              <w:t>D</w:t>
            </w:r>
            <w:r>
              <w:rPr>
                <w:rFonts w:hint="default" w:ascii="Times New Roman" w:hAnsi="Times New Roman" w:eastAsia="宋体" w:cs="Times New Roman"/>
                <w:i/>
                <w:iCs/>
                <w:sz w:val="15"/>
                <w:szCs w:val="15"/>
                <w:highlight w:val="none"/>
              </w:rPr>
              <w:t>igital</w:t>
            </w:r>
          </w:p>
        </w:tc>
        <w:tc>
          <w:tcPr>
            <w:tcW w:w="1545" w:type="dxa"/>
            <w:tcBorders>
              <w:top w:val="nil"/>
              <w:left w:val="nil"/>
              <w:bottom w:val="nil"/>
              <w:right w:val="nil"/>
            </w:tcBorders>
            <w:shd w:val="clear" w:color="auto" w:fill="auto"/>
            <w:noWrap w:val="0"/>
            <w:vAlign w:val="top"/>
          </w:tcPr>
          <w:p w14:paraId="1083871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p>
        </w:tc>
        <w:tc>
          <w:tcPr>
            <w:tcW w:w="1940" w:type="dxa"/>
            <w:tcBorders>
              <w:top w:val="nil"/>
              <w:left w:val="nil"/>
              <w:bottom w:val="nil"/>
              <w:right w:val="nil"/>
            </w:tcBorders>
            <w:shd w:val="clear" w:color="auto" w:fill="auto"/>
            <w:noWrap w:val="0"/>
            <w:vAlign w:val="top"/>
          </w:tcPr>
          <w:p w14:paraId="5CA09E1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p>
        </w:tc>
        <w:tc>
          <w:tcPr>
            <w:tcW w:w="1634" w:type="dxa"/>
            <w:tcBorders>
              <w:top w:val="nil"/>
              <w:left w:val="nil"/>
              <w:bottom w:val="nil"/>
              <w:right w:val="nil"/>
            </w:tcBorders>
            <w:shd w:val="clear" w:color="auto" w:fill="auto"/>
            <w:noWrap w:val="0"/>
            <w:vAlign w:val="top"/>
          </w:tcPr>
          <w:p w14:paraId="17ACCB0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val="0"/>
                <w:iCs w:val="0"/>
                <w:sz w:val="15"/>
                <w:szCs w:val="15"/>
                <w:highlight w:val="none"/>
                <w:lang w:val="en-US" w:eastAsia="en-US"/>
                <w:oMath/>
              </w:rPr>
            </w:pPr>
          </w:p>
        </w:tc>
        <w:tc>
          <w:tcPr>
            <w:tcW w:w="2099" w:type="dxa"/>
            <w:tcBorders>
              <w:top w:val="nil"/>
              <w:left w:val="nil"/>
              <w:bottom w:val="nil"/>
              <w:right w:val="nil"/>
            </w:tcBorders>
            <w:shd w:val="clear" w:color="auto" w:fill="auto"/>
            <w:noWrap w:val="0"/>
            <w:vAlign w:val="top"/>
          </w:tcPr>
          <w:p w14:paraId="20A022F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0.0013***</w:t>
            </w:r>
          </w:p>
        </w:tc>
      </w:tr>
      <w:tr w14:paraId="4558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bottom w:val="nil"/>
            </w:tcBorders>
            <w:shd w:val="clear" w:color="auto" w:fill="auto"/>
            <w:vAlign w:val="top"/>
          </w:tcPr>
          <w:p w14:paraId="4AB44E8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en-US"/>
              </w:rPr>
            </w:pPr>
          </w:p>
        </w:tc>
        <w:tc>
          <w:tcPr>
            <w:tcW w:w="1545" w:type="dxa"/>
            <w:tcBorders>
              <w:top w:val="nil"/>
              <w:bottom w:val="nil"/>
            </w:tcBorders>
            <w:shd w:val="clear" w:color="auto" w:fill="auto"/>
            <w:vAlign w:val="top"/>
          </w:tcPr>
          <w:p w14:paraId="4759F2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p>
        </w:tc>
        <w:tc>
          <w:tcPr>
            <w:tcW w:w="1940" w:type="dxa"/>
            <w:tcBorders>
              <w:top w:val="nil"/>
              <w:bottom w:val="nil"/>
            </w:tcBorders>
            <w:shd w:val="clear" w:color="auto" w:fill="auto"/>
            <w:vAlign w:val="top"/>
          </w:tcPr>
          <w:p w14:paraId="4DC2C6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p>
        </w:tc>
        <w:tc>
          <w:tcPr>
            <w:tcW w:w="1634" w:type="dxa"/>
            <w:tcBorders>
              <w:top w:val="nil"/>
              <w:bottom w:val="nil"/>
            </w:tcBorders>
            <w:shd w:val="clear" w:color="auto" w:fill="auto"/>
            <w:vAlign w:val="top"/>
          </w:tcPr>
          <w:p w14:paraId="225FFBE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p>
        </w:tc>
        <w:tc>
          <w:tcPr>
            <w:tcW w:w="2099" w:type="dxa"/>
            <w:tcBorders>
              <w:top w:val="nil"/>
              <w:bottom w:val="nil"/>
            </w:tcBorders>
            <w:shd w:val="clear" w:color="auto" w:fill="auto"/>
            <w:vAlign w:val="top"/>
          </w:tcPr>
          <w:p w14:paraId="6B9066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(0.0003)</w:t>
            </w:r>
          </w:p>
        </w:tc>
      </w:tr>
      <w:tr w14:paraId="323B0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bottom w:val="nil"/>
            </w:tcBorders>
            <w:shd w:val="clear" w:color="auto" w:fill="auto"/>
            <w:vAlign w:val="top"/>
          </w:tcPr>
          <w:p w14:paraId="69D294B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en-US" w:bidi="ar-SA"/>
              </w:rPr>
            </w:pPr>
            <w:r>
              <w:rPr>
                <w:rFonts w:hint="eastAsia" w:ascii="Times New Roman" w:hAnsi="Times New Roman" w:eastAsia="宋体" w:cs="Times New Roman"/>
                <w:i w:val="0"/>
                <w:iCs w:val="0"/>
                <w:sz w:val="15"/>
                <w:szCs w:val="15"/>
                <w:highlight w:val="none"/>
                <w:lang w:val="en-US" w:eastAsia="zh-CN"/>
              </w:rPr>
              <w:t>控制变量</w:t>
            </w:r>
          </w:p>
        </w:tc>
        <w:tc>
          <w:tcPr>
            <w:tcW w:w="1545" w:type="dxa"/>
            <w:tcBorders>
              <w:top w:val="nil"/>
              <w:bottom w:val="nil"/>
            </w:tcBorders>
            <w:shd w:val="clear" w:color="auto" w:fill="auto"/>
            <w:vAlign w:val="top"/>
          </w:tcPr>
          <w:p w14:paraId="02BC413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bidi="ar-SA"/>
              </w:rPr>
            </w:pPr>
            <w:r>
              <w:rPr>
                <w:rFonts w:hint="eastAsia" w:ascii="宋体" w:hAnsi="宋体" w:eastAsia="宋体" w:cs="宋体"/>
                <w:sz w:val="15"/>
                <w:szCs w:val="15"/>
                <w:highlight w:val="none"/>
                <w:lang w:val="en-US" w:eastAsia="zh-CN"/>
              </w:rPr>
              <w:t>是</w:t>
            </w:r>
          </w:p>
        </w:tc>
        <w:tc>
          <w:tcPr>
            <w:tcW w:w="1940" w:type="dxa"/>
            <w:tcBorders>
              <w:top w:val="nil"/>
              <w:bottom w:val="nil"/>
            </w:tcBorders>
            <w:shd w:val="clear" w:color="auto" w:fill="auto"/>
            <w:vAlign w:val="top"/>
          </w:tcPr>
          <w:p w14:paraId="6CECE4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bidi="ar-SA"/>
              </w:rPr>
            </w:pPr>
            <w:r>
              <w:rPr>
                <w:rFonts w:hint="eastAsia" w:ascii="宋体" w:hAnsi="宋体" w:eastAsia="宋体" w:cs="宋体"/>
                <w:sz w:val="15"/>
                <w:szCs w:val="15"/>
                <w:highlight w:val="none"/>
                <w:lang w:val="en-US" w:eastAsia="zh-CN"/>
              </w:rPr>
              <w:t>是</w:t>
            </w:r>
          </w:p>
        </w:tc>
        <w:tc>
          <w:tcPr>
            <w:tcW w:w="1634" w:type="dxa"/>
            <w:tcBorders>
              <w:top w:val="nil"/>
              <w:bottom w:val="nil"/>
            </w:tcBorders>
            <w:shd w:val="clear" w:color="auto" w:fill="auto"/>
            <w:vAlign w:val="top"/>
          </w:tcPr>
          <w:p w14:paraId="08B82BF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bidi="ar-SA"/>
              </w:rPr>
            </w:pPr>
            <w:r>
              <w:rPr>
                <w:rFonts w:hint="eastAsia" w:ascii="宋体" w:hAnsi="宋体" w:eastAsia="宋体" w:cs="宋体"/>
                <w:sz w:val="15"/>
                <w:szCs w:val="15"/>
                <w:highlight w:val="none"/>
                <w:lang w:val="en-US" w:eastAsia="zh-CN"/>
              </w:rPr>
              <w:t>是</w:t>
            </w:r>
          </w:p>
        </w:tc>
        <w:tc>
          <w:tcPr>
            <w:tcW w:w="2099" w:type="dxa"/>
            <w:tcBorders>
              <w:top w:val="nil"/>
              <w:bottom w:val="nil"/>
            </w:tcBorders>
            <w:shd w:val="clear" w:color="auto" w:fill="auto"/>
            <w:vAlign w:val="top"/>
          </w:tcPr>
          <w:p w14:paraId="6CC9AC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bidi="ar-SA"/>
              </w:rPr>
            </w:pPr>
            <w:r>
              <w:rPr>
                <w:rFonts w:hint="eastAsia" w:ascii="宋体" w:hAnsi="宋体" w:eastAsia="宋体" w:cs="宋体"/>
                <w:sz w:val="15"/>
                <w:szCs w:val="15"/>
                <w:highlight w:val="none"/>
                <w:lang w:val="en-US" w:eastAsia="zh-CN"/>
              </w:rPr>
              <w:t>是</w:t>
            </w:r>
          </w:p>
        </w:tc>
      </w:tr>
      <w:tr w14:paraId="1D006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bottom w:val="nil"/>
            </w:tcBorders>
            <w:shd w:val="clear" w:color="auto" w:fill="auto"/>
            <w:vAlign w:val="top"/>
          </w:tcPr>
          <w:p w14:paraId="190B99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城市固定效应</w:t>
            </w:r>
          </w:p>
        </w:tc>
        <w:tc>
          <w:tcPr>
            <w:tcW w:w="1545" w:type="dxa"/>
            <w:tcBorders>
              <w:top w:val="nil"/>
              <w:bottom w:val="nil"/>
            </w:tcBorders>
            <w:shd w:val="clear" w:color="auto" w:fill="auto"/>
            <w:vAlign w:val="top"/>
          </w:tcPr>
          <w:p w14:paraId="3B76759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lang w:val="en-US" w:eastAsia="zh-CN"/>
              </w:rPr>
              <w:t>是</w:t>
            </w:r>
          </w:p>
        </w:tc>
        <w:tc>
          <w:tcPr>
            <w:tcW w:w="1940" w:type="dxa"/>
            <w:tcBorders>
              <w:top w:val="nil"/>
              <w:bottom w:val="nil"/>
            </w:tcBorders>
            <w:shd w:val="clear" w:color="auto" w:fill="auto"/>
            <w:vAlign w:val="top"/>
          </w:tcPr>
          <w:p w14:paraId="5B8D8F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634" w:type="dxa"/>
            <w:tcBorders>
              <w:top w:val="nil"/>
              <w:bottom w:val="nil"/>
            </w:tcBorders>
            <w:shd w:val="clear" w:color="auto" w:fill="auto"/>
            <w:vAlign w:val="top"/>
          </w:tcPr>
          <w:p w14:paraId="66C2909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2099" w:type="dxa"/>
            <w:tcBorders>
              <w:top w:val="nil"/>
              <w:bottom w:val="nil"/>
            </w:tcBorders>
            <w:shd w:val="clear" w:color="auto" w:fill="auto"/>
            <w:vAlign w:val="top"/>
          </w:tcPr>
          <w:p w14:paraId="4D6D72B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bidi="ar-SA"/>
              </w:rPr>
            </w:pPr>
            <w:r>
              <w:rPr>
                <w:rFonts w:hint="eastAsia" w:ascii="宋体" w:hAnsi="宋体" w:eastAsia="宋体" w:cs="宋体"/>
                <w:i w:val="0"/>
                <w:iCs w:val="0"/>
                <w:sz w:val="15"/>
                <w:szCs w:val="15"/>
                <w:highlight w:val="none"/>
                <w:lang w:val="en-US" w:eastAsia="zh-CN"/>
              </w:rPr>
              <w:t>是</w:t>
            </w:r>
          </w:p>
        </w:tc>
      </w:tr>
      <w:tr w14:paraId="2ABA6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bottom w:val="nil"/>
            </w:tcBorders>
            <w:shd w:val="clear" w:color="auto" w:fill="auto"/>
            <w:vAlign w:val="top"/>
          </w:tcPr>
          <w:p w14:paraId="1F8A31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年份固定效应</w:t>
            </w:r>
          </w:p>
        </w:tc>
        <w:tc>
          <w:tcPr>
            <w:tcW w:w="1545" w:type="dxa"/>
            <w:tcBorders>
              <w:top w:val="nil"/>
              <w:bottom w:val="nil"/>
            </w:tcBorders>
            <w:shd w:val="clear" w:color="auto" w:fill="auto"/>
            <w:vAlign w:val="top"/>
          </w:tcPr>
          <w:p w14:paraId="282885A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lang w:val="en-US" w:eastAsia="zh-CN"/>
              </w:rPr>
              <w:t>是</w:t>
            </w:r>
          </w:p>
        </w:tc>
        <w:tc>
          <w:tcPr>
            <w:tcW w:w="1940" w:type="dxa"/>
            <w:tcBorders>
              <w:top w:val="nil"/>
              <w:bottom w:val="nil"/>
            </w:tcBorders>
            <w:shd w:val="clear" w:color="auto" w:fill="auto"/>
            <w:vAlign w:val="top"/>
          </w:tcPr>
          <w:p w14:paraId="5F62E4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634" w:type="dxa"/>
            <w:tcBorders>
              <w:top w:val="nil"/>
              <w:bottom w:val="nil"/>
            </w:tcBorders>
            <w:shd w:val="clear" w:color="auto" w:fill="auto"/>
            <w:vAlign w:val="top"/>
          </w:tcPr>
          <w:p w14:paraId="0E2FC66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2099" w:type="dxa"/>
            <w:tcBorders>
              <w:top w:val="nil"/>
              <w:bottom w:val="nil"/>
            </w:tcBorders>
            <w:shd w:val="clear" w:color="auto" w:fill="auto"/>
            <w:vAlign w:val="top"/>
          </w:tcPr>
          <w:p w14:paraId="6A4068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bidi="ar-SA"/>
              </w:rPr>
            </w:pPr>
            <w:r>
              <w:rPr>
                <w:rFonts w:hint="eastAsia" w:ascii="宋体" w:hAnsi="宋体" w:eastAsia="宋体" w:cs="宋体"/>
                <w:i w:val="0"/>
                <w:iCs w:val="0"/>
                <w:sz w:val="15"/>
                <w:szCs w:val="15"/>
                <w:highlight w:val="none"/>
                <w:lang w:val="en-US" w:eastAsia="zh-CN"/>
              </w:rPr>
              <w:t>是</w:t>
            </w:r>
          </w:p>
        </w:tc>
      </w:tr>
      <w:tr w14:paraId="79E33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359" w:type="dxa"/>
            <w:tcBorders>
              <w:top w:val="nil"/>
              <w:bottom w:val="nil"/>
            </w:tcBorders>
            <w:shd w:val="clear" w:color="auto" w:fill="auto"/>
            <w:vAlign w:val="top"/>
          </w:tcPr>
          <w:p w14:paraId="6F7AF6B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en-US"/>
              </w:rPr>
            </w:pPr>
            <w:r>
              <w:rPr>
                <w:rFonts w:hint="default" w:ascii="Times New Roman" w:hAnsi="Times New Roman" w:eastAsia="宋体" w:cs="Times New Roman"/>
                <w:i/>
                <w:iCs/>
                <w:sz w:val="15"/>
                <w:szCs w:val="15"/>
                <w:highlight w:val="none"/>
              </w:rPr>
              <w:t>N</w:t>
            </w:r>
          </w:p>
        </w:tc>
        <w:tc>
          <w:tcPr>
            <w:tcW w:w="1545" w:type="dxa"/>
            <w:tcBorders>
              <w:top w:val="nil"/>
              <w:bottom w:val="nil"/>
            </w:tcBorders>
            <w:shd w:val="clear" w:color="auto" w:fill="auto"/>
            <w:vAlign w:val="top"/>
          </w:tcPr>
          <w:p w14:paraId="774A9CF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492</w:t>
            </w:r>
          </w:p>
        </w:tc>
        <w:tc>
          <w:tcPr>
            <w:tcW w:w="1940" w:type="dxa"/>
            <w:tcBorders>
              <w:top w:val="nil"/>
              <w:bottom w:val="nil"/>
            </w:tcBorders>
            <w:shd w:val="clear" w:color="auto" w:fill="auto"/>
            <w:vAlign w:val="top"/>
          </w:tcPr>
          <w:p w14:paraId="56071E3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492</w:t>
            </w:r>
          </w:p>
        </w:tc>
        <w:tc>
          <w:tcPr>
            <w:tcW w:w="1634" w:type="dxa"/>
            <w:tcBorders>
              <w:top w:val="nil"/>
              <w:bottom w:val="nil"/>
            </w:tcBorders>
            <w:shd w:val="clear" w:color="auto" w:fill="auto"/>
            <w:vAlign w:val="top"/>
          </w:tcPr>
          <w:p w14:paraId="73B2328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492</w:t>
            </w:r>
          </w:p>
        </w:tc>
        <w:tc>
          <w:tcPr>
            <w:tcW w:w="2099" w:type="dxa"/>
            <w:tcBorders>
              <w:top w:val="nil"/>
              <w:bottom w:val="nil"/>
            </w:tcBorders>
            <w:shd w:val="clear" w:color="auto" w:fill="auto"/>
            <w:vAlign w:val="top"/>
          </w:tcPr>
          <w:p w14:paraId="150577C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r>
      <w:tr w14:paraId="5A62F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3" w:hRule="atLeast"/>
        </w:trPr>
        <w:tc>
          <w:tcPr>
            <w:tcW w:w="1359" w:type="dxa"/>
            <w:tcBorders>
              <w:top w:val="nil"/>
              <w:bottom w:val="single" w:color="auto" w:sz="12" w:space="0"/>
            </w:tcBorders>
            <w:shd w:val="clear" w:color="auto" w:fill="auto"/>
            <w:vAlign w:val="top"/>
          </w:tcPr>
          <w:p w14:paraId="41C8E65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en-US"/>
              </w:rPr>
            </w:pPr>
            <m:oMathPara>
              <m:oMath>
                <m:r>
                  <m:rPr>
                    <m:sty m:val="p"/>
                  </m:rPr>
                  <w:rPr>
                    <w:rFonts w:hint="eastAsia" w:ascii="Times New Roman" w:hAnsi="Times New Roman" w:eastAsia="宋体" w:cs="Times New Roman"/>
                    <w:sz w:val="15"/>
                    <w:szCs w:val="15"/>
                    <w:highlight w:val="none"/>
                    <w:lang w:val="en-US" w:eastAsia="zh-CN"/>
                  </w:rPr>
                  <m:t>组内</m:t>
                </m:r>
                <m:sSup>
                  <m:sSupPr>
                    <m:ctrlPr>
                      <w:rPr>
                        <w:rFonts w:hint="default" w:ascii="Cambria Math" w:hAnsi="Cambria Math" w:eastAsia="宋体" w:cs="Times New Roman"/>
                        <w:i/>
                        <w:iCs/>
                        <w:sz w:val="15"/>
                        <w:szCs w:val="15"/>
                        <w:highlight w:val="none"/>
                      </w:rPr>
                    </m:ctrlPr>
                  </m:sSupPr>
                  <m:e>
                    <m:r>
                      <m:rPr>
                        <m:nor/>
                      </m:rPr>
                      <w:rPr>
                        <w:rFonts w:hint="default" w:ascii="Times New Roman" w:hAnsi="Times New Roman" w:eastAsia="宋体" w:cs="Times New Roman"/>
                        <w:i/>
                        <w:iCs/>
                        <w:sz w:val="15"/>
                        <w:szCs w:val="15"/>
                        <w:highlight w:val="none"/>
                      </w:rPr>
                      <m:t>R</m:t>
                    </m:r>
                    <m:ctrlPr>
                      <w:rPr>
                        <w:rFonts w:hint="default" w:ascii="Cambria Math" w:hAnsi="Cambria Math" w:eastAsia="宋体" w:cs="Times New Roman"/>
                        <w:i/>
                        <w:iCs/>
                        <w:sz w:val="15"/>
                        <w:szCs w:val="15"/>
                        <w:highlight w:val="none"/>
                      </w:rPr>
                    </m:ctrlPr>
                  </m:e>
                  <m:sup>
                    <m:r>
                      <m:rPr>
                        <m:nor/>
                        <m:sty m:val="p"/>
                      </m:rPr>
                      <w:rPr>
                        <w:rFonts w:hint="default" w:ascii="Times New Roman" w:hAnsi="Times New Roman" w:eastAsia="宋体" w:cs="Times New Roman"/>
                        <w:b w:val="0"/>
                        <w:i w:val="0"/>
                        <w:iCs/>
                        <w:sz w:val="15"/>
                        <w:szCs w:val="15"/>
                        <w:highlight w:val="none"/>
                      </w:rPr>
                      <m:t>2</m:t>
                    </m:r>
                    <m:ctrlPr>
                      <w:rPr>
                        <w:rFonts w:hint="default" w:ascii="Cambria Math" w:hAnsi="Cambria Math" w:eastAsia="宋体" w:cs="Times New Roman"/>
                        <w:i/>
                        <w:iCs/>
                        <w:sz w:val="15"/>
                        <w:szCs w:val="15"/>
                        <w:highlight w:val="none"/>
                      </w:rPr>
                    </m:ctrlPr>
                  </m:sup>
                </m:sSup>
              </m:oMath>
            </m:oMathPara>
          </w:p>
        </w:tc>
        <w:tc>
          <w:tcPr>
            <w:tcW w:w="1545" w:type="dxa"/>
            <w:tcBorders>
              <w:top w:val="nil"/>
              <w:bottom w:val="single" w:color="auto" w:sz="12" w:space="0"/>
            </w:tcBorders>
            <w:shd w:val="clear" w:color="auto" w:fill="auto"/>
            <w:vAlign w:val="top"/>
          </w:tcPr>
          <w:p w14:paraId="5630BD0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0.1619</w:t>
            </w:r>
          </w:p>
        </w:tc>
        <w:tc>
          <w:tcPr>
            <w:tcW w:w="1940" w:type="dxa"/>
            <w:tcBorders>
              <w:top w:val="nil"/>
              <w:bottom w:val="single" w:color="auto" w:sz="12" w:space="0"/>
            </w:tcBorders>
            <w:shd w:val="clear" w:color="auto" w:fill="auto"/>
            <w:vAlign w:val="top"/>
          </w:tcPr>
          <w:p w14:paraId="7D5A99E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0.7457</w:t>
            </w:r>
          </w:p>
        </w:tc>
        <w:tc>
          <w:tcPr>
            <w:tcW w:w="1634" w:type="dxa"/>
            <w:tcBorders>
              <w:top w:val="nil"/>
              <w:bottom w:val="single" w:color="auto" w:sz="12" w:space="0"/>
            </w:tcBorders>
            <w:shd w:val="clear" w:color="auto" w:fill="auto"/>
            <w:vAlign w:val="top"/>
          </w:tcPr>
          <w:p w14:paraId="05887F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rPr>
              <w:t>0.9978</w:t>
            </w:r>
          </w:p>
        </w:tc>
        <w:tc>
          <w:tcPr>
            <w:tcW w:w="2099" w:type="dxa"/>
            <w:tcBorders>
              <w:top w:val="nil"/>
              <w:bottom w:val="single" w:color="auto" w:sz="12" w:space="0"/>
            </w:tcBorders>
            <w:shd w:val="clear" w:color="auto" w:fill="auto"/>
            <w:vAlign w:val="top"/>
          </w:tcPr>
          <w:p w14:paraId="26FF39C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default" w:ascii="宋体" w:hAnsi="宋体" w:eastAsia="宋体" w:cs="宋体"/>
                <w:i w:val="0"/>
                <w:iCs w:val="0"/>
                <w:sz w:val="15"/>
                <w:szCs w:val="15"/>
                <w:highlight w:val="none"/>
              </w:rPr>
              <w:t>0.7393</w:t>
            </w:r>
          </w:p>
        </w:tc>
      </w:tr>
    </w:tbl>
    <w:p w14:paraId="2E9A8840">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表6列（1）和列（2）是研发投入强度的检验结果。列（1）是耐心资本对研发投入强度的估计结果。结果显示，</w:t>
      </w:r>
      <w:r>
        <w:rPr>
          <w:rFonts w:hint="eastAsia" w:ascii="宋体" w:hAnsi="宋体" w:eastAsia="宋体" w:cs="宋体"/>
          <w:b w:val="0"/>
          <w:i/>
          <w:iCs/>
          <w:sz w:val="21"/>
          <w:szCs w:val="21"/>
          <w:highlight w:val="none"/>
          <w:lang w:val="en-US" w:eastAsia="zh-CN"/>
        </w:rPr>
        <w:t>Did_cont</w:t>
      </w:r>
      <w:r>
        <w:rPr>
          <w:rFonts w:hint="eastAsia" w:ascii="宋体" w:hAnsi="宋体" w:eastAsia="宋体" w:cs="宋体"/>
          <w:b w:val="0"/>
          <w:sz w:val="21"/>
          <w:szCs w:val="21"/>
          <w:highlight w:val="none"/>
          <w:lang w:val="en-US" w:eastAsia="zh-CN"/>
        </w:rPr>
        <w:t>系数在1%水平上显著为正，说明耐心资本显著提升了区域研发投入强度。这一结果符合理论预期：政府引导基金通过杠杆效应撬动社会资本，为企业研发活动提供资金支持，有效缓解了企业的融资约束问题。列（2）是将耐心资本与研发投入强度同时纳入回归模型，检验二者对区域创新生态的共同影响。结果显示，研发投入强度（</w:t>
      </w:r>
      <w:r>
        <w:rPr>
          <w:rFonts w:hint="eastAsia" w:ascii="宋体" w:hAnsi="宋体" w:eastAsia="宋体" w:cs="宋体"/>
          <w:b w:val="0"/>
          <w:i/>
          <w:iCs/>
          <w:sz w:val="21"/>
          <w:szCs w:val="21"/>
          <w:highlight w:val="none"/>
          <w:lang w:val="en-US" w:eastAsia="zh-CN"/>
        </w:rPr>
        <w:t>Rd</w:t>
      </w:r>
      <w:r>
        <w:rPr>
          <w:rFonts w:hint="eastAsia" w:ascii="宋体" w:hAnsi="宋体" w:eastAsia="宋体" w:cs="宋体"/>
          <w:b w:val="0"/>
          <w:sz w:val="21"/>
          <w:szCs w:val="21"/>
          <w:highlight w:val="none"/>
          <w:lang w:val="en-US" w:eastAsia="zh-CN"/>
        </w:rPr>
        <w:t>）系数在1%水平上显著为正，说明研发投入强度显著促进了区域创新生态发展。本文假说2a得证。</w:t>
      </w:r>
    </w:p>
    <w:p w14:paraId="020F9356">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表6列（3）和列（4）报告了数字普惠金融的检验结果。列（3）是耐心资本对数字普惠金融的估计结果。结果显示，</w:t>
      </w:r>
      <w:r>
        <w:rPr>
          <w:rFonts w:hint="eastAsia" w:ascii="宋体" w:hAnsi="宋体" w:eastAsia="宋体" w:cs="宋体"/>
          <w:b w:val="0"/>
          <w:i/>
          <w:iCs/>
          <w:sz w:val="21"/>
          <w:szCs w:val="21"/>
          <w:highlight w:val="none"/>
          <w:lang w:val="en-US" w:eastAsia="zh-CN"/>
        </w:rPr>
        <w:t>Did_cont</w:t>
      </w:r>
      <w:r>
        <w:rPr>
          <w:rFonts w:hint="eastAsia" w:ascii="宋体" w:hAnsi="宋体" w:eastAsia="宋体" w:cs="宋体"/>
          <w:b w:val="0"/>
          <w:sz w:val="21"/>
          <w:szCs w:val="21"/>
          <w:highlight w:val="none"/>
          <w:lang w:val="en-US" w:eastAsia="zh-CN"/>
        </w:rPr>
        <w:t>系数在1%水平上显著为正，说明耐心资本显著促进了区域数字普惠金融发展。这一结果表明，政府引导基金通过投资数字经济领域的企业和项目，推动了区域数字基础设施的建设和数字技术的应用，进而促进了数字普惠金融的发展。本文假说2b得证。</w:t>
      </w:r>
    </w:p>
    <w:p w14:paraId="24A32604">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（二）调节效应</w:t>
      </w:r>
    </w:p>
    <w:p w14:paraId="1EA707D5">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为考察政府引导基金影响区域创新生态的边界条件，本文从产学研合作和技术市场发展两个维度进行调节效应检验。</w:t>
      </w:r>
    </w:p>
    <w:p w14:paraId="3CF750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b/>
          <w:bCs w:val="0"/>
          <w:sz w:val="15"/>
          <w:szCs w:val="15"/>
          <w:highlight w:val="none"/>
          <w:lang w:val="en-US" w:eastAsia="zh-CN"/>
        </w:rPr>
      </w:pPr>
      <w:r>
        <w:rPr>
          <w:rFonts w:hint="eastAsia" w:ascii="黑体" w:hAnsi="黑体" w:eastAsia="黑体" w:cs="黑体"/>
          <w:b/>
          <w:bCs w:val="0"/>
          <w:sz w:val="15"/>
          <w:szCs w:val="15"/>
          <w:highlight w:val="none"/>
        </w:rPr>
        <w:t>表</w:t>
      </w:r>
      <w:r>
        <w:rPr>
          <w:rFonts w:hint="eastAsia" w:ascii="黑体" w:hAnsi="黑体" w:eastAsia="黑体" w:cs="黑体"/>
          <w:b/>
          <w:bCs w:val="0"/>
          <w:sz w:val="15"/>
          <w:szCs w:val="15"/>
          <w:highlight w:val="none"/>
          <w:lang w:val="en-US" w:eastAsia="zh-CN"/>
        </w:rPr>
        <w:t xml:space="preserve">7  </w:t>
      </w:r>
      <w:r>
        <w:rPr>
          <w:rFonts w:hint="eastAsia" w:ascii="黑体" w:hAnsi="黑体" w:eastAsia="黑体" w:cs="黑体"/>
          <w:b/>
          <w:bCs w:val="0"/>
          <w:sz w:val="15"/>
          <w:szCs w:val="15"/>
          <w:highlight w:val="none"/>
        </w:rPr>
        <w:t>调节效应检验</w:t>
      </w:r>
      <w:r>
        <w:rPr>
          <w:rFonts w:hint="eastAsia" w:ascii="黑体" w:hAnsi="黑体" w:eastAsia="黑体" w:cs="黑体"/>
          <w:b/>
          <w:bCs w:val="0"/>
          <w:sz w:val="15"/>
          <w:szCs w:val="15"/>
          <w:highlight w:val="none"/>
          <w:lang w:val="en-US" w:eastAsia="zh-CN"/>
        </w:rPr>
        <w:t>结果</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2797"/>
        <w:gridCol w:w="2880"/>
      </w:tblGrid>
      <w:tr w14:paraId="39AB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2881" w:type="dxa"/>
            <w:tcBorders>
              <w:top w:val="single" w:color="auto" w:sz="12" w:space="0"/>
              <w:left w:val="nil"/>
              <w:bottom w:val="nil"/>
              <w:right w:val="nil"/>
            </w:tcBorders>
            <w:vAlign w:val="top"/>
          </w:tcPr>
          <w:p w14:paraId="0AA401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变量</w:t>
            </w:r>
          </w:p>
        </w:tc>
        <w:tc>
          <w:tcPr>
            <w:tcW w:w="2841" w:type="dxa"/>
            <w:tcBorders>
              <w:top w:val="single" w:color="auto" w:sz="12" w:space="0"/>
              <w:left w:val="nil"/>
              <w:bottom w:val="nil"/>
              <w:right w:val="nil"/>
            </w:tcBorders>
            <w:vAlign w:val="top"/>
          </w:tcPr>
          <w:p w14:paraId="6FE31C0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(1)</w:t>
            </w:r>
          </w:p>
        </w:tc>
        <w:tc>
          <w:tcPr>
            <w:tcW w:w="2926" w:type="dxa"/>
            <w:tcBorders>
              <w:top w:val="single" w:color="auto" w:sz="12" w:space="0"/>
              <w:left w:val="nil"/>
              <w:bottom w:val="nil"/>
              <w:right w:val="nil"/>
            </w:tcBorders>
            <w:vAlign w:val="top"/>
          </w:tcPr>
          <w:p w14:paraId="3F206F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(2)</w:t>
            </w:r>
          </w:p>
        </w:tc>
      </w:tr>
      <w:tr w14:paraId="53C0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2881" w:type="dxa"/>
            <w:tcBorders>
              <w:top w:val="nil"/>
              <w:left w:val="nil"/>
              <w:bottom w:val="single" w:color="auto" w:sz="6" w:space="0"/>
              <w:right w:val="nil"/>
            </w:tcBorders>
            <w:vAlign w:val="top"/>
          </w:tcPr>
          <w:p w14:paraId="022677E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p>
        </w:tc>
        <w:tc>
          <w:tcPr>
            <w:tcW w:w="2841" w:type="dxa"/>
            <w:tcBorders>
              <w:top w:val="nil"/>
              <w:left w:val="nil"/>
              <w:bottom w:val="single" w:color="auto" w:sz="6" w:space="0"/>
              <w:right w:val="nil"/>
            </w:tcBorders>
            <w:vAlign w:val="top"/>
          </w:tcPr>
          <w:p w14:paraId="1520283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产学研合作</w:t>
            </w:r>
          </w:p>
        </w:tc>
        <w:tc>
          <w:tcPr>
            <w:tcW w:w="2926" w:type="dxa"/>
            <w:tcBorders>
              <w:top w:val="nil"/>
              <w:left w:val="nil"/>
              <w:bottom w:val="single" w:color="auto" w:sz="6" w:space="0"/>
              <w:right w:val="nil"/>
            </w:tcBorders>
            <w:vAlign w:val="top"/>
          </w:tcPr>
          <w:p w14:paraId="58C9966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技术</w:t>
            </w:r>
            <w:r>
              <w:rPr>
                <w:rFonts w:hint="eastAsia" w:ascii="宋体" w:hAnsi="宋体" w:eastAsia="宋体" w:cs="宋体"/>
                <w:sz w:val="15"/>
                <w:szCs w:val="15"/>
                <w:highlight w:val="none"/>
                <w:lang w:val="en-US" w:eastAsia="zh-CN"/>
              </w:rPr>
              <w:t>市场</w:t>
            </w:r>
          </w:p>
        </w:tc>
      </w:tr>
      <w:tr w14:paraId="7681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single" w:color="auto" w:sz="6" w:space="0"/>
              <w:left w:val="nil"/>
              <w:bottom w:val="nil"/>
              <w:right w:val="nil"/>
            </w:tcBorders>
            <w:vAlign w:val="top"/>
          </w:tcPr>
          <w:p w14:paraId="53680F2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D</m:t>
                </m:r>
                <m:r>
                  <m:rPr>
                    <m:nor/>
                  </m:rPr>
                  <w:rPr>
                    <w:rFonts w:hint="default" w:ascii="Times New Roman" w:hAnsi="Times New Roman" w:eastAsia="宋体" w:cs="Times New Roman"/>
                    <w:i/>
                    <w:iCs/>
                    <w:sz w:val="15"/>
                    <w:szCs w:val="15"/>
                    <w:highlight w:val="none"/>
                  </w:rPr>
                  <m:t>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m:oMathPara>
          </w:p>
        </w:tc>
        <w:tc>
          <w:tcPr>
            <w:tcW w:w="2841" w:type="dxa"/>
            <w:tcBorders>
              <w:top w:val="single" w:color="auto" w:sz="6" w:space="0"/>
              <w:left w:val="nil"/>
              <w:bottom w:val="nil"/>
              <w:right w:val="nil"/>
            </w:tcBorders>
            <w:vAlign w:val="top"/>
          </w:tcPr>
          <w:p w14:paraId="77E7D41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-0.0139***</w:t>
            </w:r>
          </w:p>
        </w:tc>
        <w:tc>
          <w:tcPr>
            <w:tcW w:w="2926" w:type="dxa"/>
            <w:tcBorders>
              <w:top w:val="single" w:color="auto" w:sz="6" w:space="0"/>
              <w:left w:val="nil"/>
              <w:bottom w:val="nil"/>
              <w:right w:val="nil"/>
            </w:tcBorders>
            <w:vAlign w:val="top"/>
          </w:tcPr>
          <w:p w14:paraId="4134797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-0.0479***</w:t>
            </w:r>
          </w:p>
        </w:tc>
      </w:tr>
      <w:tr w14:paraId="661B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vAlign w:val="top"/>
          </w:tcPr>
          <w:p w14:paraId="29064B3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p>
        </w:tc>
        <w:tc>
          <w:tcPr>
            <w:tcW w:w="2841" w:type="dxa"/>
            <w:tcBorders>
              <w:top w:val="nil"/>
              <w:left w:val="nil"/>
              <w:bottom w:val="nil"/>
              <w:right w:val="nil"/>
            </w:tcBorders>
            <w:vAlign w:val="top"/>
          </w:tcPr>
          <w:p w14:paraId="760A6AB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(0.0023)</w:t>
            </w:r>
          </w:p>
        </w:tc>
        <w:tc>
          <w:tcPr>
            <w:tcW w:w="2926" w:type="dxa"/>
            <w:tcBorders>
              <w:top w:val="nil"/>
              <w:left w:val="nil"/>
              <w:bottom w:val="nil"/>
              <w:right w:val="nil"/>
            </w:tcBorders>
            <w:vAlign w:val="top"/>
          </w:tcPr>
          <w:p w14:paraId="5BC9BFD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(0.0053)</w:t>
            </w:r>
          </w:p>
        </w:tc>
      </w:tr>
      <w:tr w14:paraId="6632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vAlign w:val="top"/>
          </w:tcPr>
          <w:p w14:paraId="6E43AB1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w:rPr>
                    <w:rFonts w:hint="default" w:ascii="Times New Roman" w:hAnsi="Times New Roman" w:eastAsia="宋体" w:cs="Times New Roman"/>
                    <w:sz w:val="15"/>
                    <w:szCs w:val="15"/>
                    <w:highlight w:val="none"/>
                    <w:lang w:val="en-US" w:eastAsia="zh-CN"/>
                  </w:rPr>
                  <m:t>Ln_Coop</m:t>
                </m:r>
              </m:oMath>
            </m:oMathPara>
          </w:p>
        </w:tc>
        <w:tc>
          <w:tcPr>
            <w:tcW w:w="2841" w:type="dxa"/>
            <w:tcBorders>
              <w:top w:val="nil"/>
              <w:left w:val="nil"/>
              <w:bottom w:val="nil"/>
              <w:right w:val="nil"/>
            </w:tcBorders>
            <w:shd w:val="clear" w:color="auto" w:fill="auto"/>
            <w:vAlign w:val="top"/>
          </w:tcPr>
          <w:p w14:paraId="26FCEC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-0.0090***</w:t>
            </w:r>
          </w:p>
        </w:tc>
        <w:tc>
          <w:tcPr>
            <w:tcW w:w="2926" w:type="dxa"/>
            <w:tcBorders>
              <w:top w:val="nil"/>
              <w:left w:val="nil"/>
              <w:bottom w:val="nil"/>
              <w:right w:val="nil"/>
            </w:tcBorders>
            <w:vAlign w:val="top"/>
          </w:tcPr>
          <w:p w14:paraId="098FB6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50F3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vAlign w:val="top"/>
          </w:tcPr>
          <w:p w14:paraId="47DF8D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p>
        </w:tc>
        <w:tc>
          <w:tcPr>
            <w:tcW w:w="2841" w:type="dxa"/>
            <w:tcBorders>
              <w:top w:val="nil"/>
              <w:left w:val="nil"/>
              <w:bottom w:val="nil"/>
              <w:right w:val="nil"/>
            </w:tcBorders>
            <w:shd w:val="clear" w:color="auto" w:fill="auto"/>
            <w:vAlign w:val="top"/>
          </w:tcPr>
          <w:p w14:paraId="232C874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(0.0023)</w:t>
            </w:r>
          </w:p>
        </w:tc>
        <w:tc>
          <w:tcPr>
            <w:tcW w:w="2926" w:type="dxa"/>
            <w:tcBorders>
              <w:top w:val="nil"/>
              <w:left w:val="nil"/>
              <w:bottom w:val="nil"/>
              <w:right w:val="nil"/>
            </w:tcBorders>
            <w:vAlign w:val="top"/>
          </w:tcPr>
          <w:p w14:paraId="1C12F5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342D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shd w:val="clear" w:color="auto" w:fill="auto"/>
            <w:vAlign w:val="top"/>
          </w:tcPr>
          <w:p w14:paraId="343362A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zh-CN"/>
              </w:rPr>
            </w:pPr>
            <m:oMath>
              <m:r>
                <m:rPr>
                  <m:nor/>
                </m:rPr>
                <w:rPr>
                  <w:rFonts w:hint="default" w:ascii="Times New Roman" w:hAnsi="Times New Roman" w:eastAsia="宋体" w:cs="Times New Roman"/>
                  <w:i/>
                  <w:iCs/>
                  <w:sz w:val="15"/>
                  <w:szCs w:val="15"/>
                  <w:highlight w:val="none"/>
                  <w:lang w:val="en-US" w:eastAsia="zh-CN"/>
                </w:rPr>
                <m:t>D</m:t>
              </m:r>
              <m:r>
                <m:rPr>
                  <m:nor/>
                </m:rPr>
                <w:rPr>
                  <w:rFonts w:hint="default" w:ascii="Times New Roman" w:hAnsi="Times New Roman" w:eastAsia="宋体" w:cs="Times New Roman"/>
                  <w:i/>
                  <w:iCs/>
                  <w:sz w:val="15"/>
                  <w:szCs w:val="15"/>
                  <w:highlight w:val="none"/>
                </w:rPr>
                <m:t>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r>
                <m:rPr>
                  <m:nor/>
                  <m:sty m:val="p"/>
                </m:rPr>
                <w:rPr>
                  <w:rFonts w:hint="default" w:ascii="Times New Roman" w:hAnsi="Times New Roman" w:eastAsia="宋体" w:cs="Times New Roman"/>
                  <w:b w:val="0"/>
                  <w:i w:val="0"/>
                  <w:iCs/>
                  <w:sz w:val="15"/>
                  <w:szCs w:val="15"/>
                  <w:highlight w:val="none"/>
                </w:rPr>
                <m:t>×</m:t>
              </m:r>
            </m:oMath>
            <w:r>
              <w:rPr>
                <w:rFonts w:hint="eastAsia" w:hAnsi="Times New Roman" w:eastAsia="宋体" w:cs="Times New Roman"/>
                <w:b w:val="0"/>
                <w:i/>
                <w:iCs/>
                <w:sz w:val="15"/>
                <w:szCs w:val="15"/>
                <w:highlight w:val="none"/>
                <w:lang w:val="en-US" w:eastAsia="zh-CN"/>
              </w:rPr>
              <w:t>Ln_Coop</w:t>
            </w:r>
          </w:p>
        </w:tc>
        <w:tc>
          <w:tcPr>
            <w:tcW w:w="2841" w:type="dxa"/>
            <w:tcBorders>
              <w:top w:val="nil"/>
              <w:left w:val="nil"/>
              <w:bottom w:val="nil"/>
              <w:right w:val="nil"/>
            </w:tcBorders>
            <w:vAlign w:val="top"/>
          </w:tcPr>
          <w:p w14:paraId="295F585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0.0022***</w:t>
            </w:r>
          </w:p>
        </w:tc>
        <w:tc>
          <w:tcPr>
            <w:tcW w:w="2926" w:type="dxa"/>
            <w:tcBorders>
              <w:top w:val="nil"/>
              <w:left w:val="nil"/>
              <w:bottom w:val="nil"/>
              <w:right w:val="nil"/>
            </w:tcBorders>
            <w:vAlign w:val="top"/>
          </w:tcPr>
          <w:p w14:paraId="668E93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48EF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vAlign w:val="top"/>
          </w:tcPr>
          <w:p w14:paraId="6EED221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p>
        </w:tc>
        <w:tc>
          <w:tcPr>
            <w:tcW w:w="2841" w:type="dxa"/>
            <w:tcBorders>
              <w:top w:val="nil"/>
              <w:left w:val="nil"/>
              <w:bottom w:val="nil"/>
              <w:right w:val="nil"/>
            </w:tcBorders>
            <w:vAlign w:val="top"/>
          </w:tcPr>
          <w:p w14:paraId="1428BB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(0.0003)</w:t>
            </w:r>
          </w:p>
        </w:tc>
        <w:tc>
          <w:tcPr>
            <w:tcW w:w="2926" w:type="dxa"/>
            <w:tcBorders>
              <w:top w:val="nil"/>
              <w:left w:val="nil"/>
              <w:bottom w:val="nil"/>
              <w:right w:val="nil"/>
            </w:tcBorders>
            <w:vAlign w:val="top"/>
          </w:tcPr>
          <w:p w14:paraId="11B4C03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61F1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shd w:val="clear" w:color="auto" w:fill="auto"/>
            <w:vAlign w:val="top"/>
          </w:tcPr>
          <w:p w14:paraId="3820F6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hint="eastAsia" w:ascii="Times New Roman" w:hAnsi="Times New Roman" w:eastAsia="宋体" w:cs="Times New Roman"/>
                <w:i/>
                <w:iCs/>
                <w:sz w:val="15"/>
                <w:szCs w:val="15"/>
                <w:highlight w:val="none"/>
                <w:lang w:val="en-US" w:eastAsia="zh-CN" w:bidi="ar-SA"/>
              </w:rPr>
              <w:t>L</w:t>
            </w:r>
            <w:r>
              <w:rPr>
                <w:rFonts w:hint="default" w:ascii="Times New Roman" w:hAnsi="Times New Roman" w:eastAsia="宋体" w:cs="Times New Roman"/>
                <w:i/>
                <w:iCs/>
                <w:sz w:val="15"/>
                <w:szCs w:val="15"/>
                <w:highlight w:val="none"/>
                <w:lang w:val="en-US" w:eastAsia="en-US" w:bidi="ar-SA"/>
              </w:rPr>
              <w:t>n_tech</w:t>
            </w:r>
          </w:p>
        </w:tc>
        <w:tc>
          <w:tcPr>
            <w:tcW w:w="2841" w:type="dxa"/>
            <w:tcBorders>
              <w:top w:val="nil"/>
              <w:left w:val="nil"/>
              <w:bottom w:val="nil"/>
              <w:right w:val="nil"/>
            </w:tcBorders>
            <w:shd w:val="clear" w:color="auto" w:fill="auto"/>
            <w:vAlign w:val="top"/>
          </w:tcPr>
          <w:p w14:paraId="1351B29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2926" w:type="dxa"/>
            <w:tcBorders>
              <w:top w:val="nil"/>
              <w:left w:val="nil"/>
              <w:bottom w:val="nil"/>
              <w:right w:val="nil"/>
            </w:tcBorders>
            <w:shd w:val="clear" w:color="auto" w:fill="auto"/>
            <w:vAlign w:val="top"/>
          </w:tcPr>
          <w:p w14:paraId="0895038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-0.1410**</w:t>
            </w:r>
          </w:p>
        </w:tc>
      </w:tr>
      <w:tr w14:paraId="668B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shd w:val="clear" w:color="auto" w:fill="auto"/>
            <w:vAlign w:val="top"/>
          </w:tcPr>
          <w:p w14:paraId="7ECAE55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p>
        </w:tc>
        <w:tc>
          <w:tcPr>
            <w:tcW w:w="2841" w:type="dxa"/>
            <w:tcBorders>
              <w:top w:val="nil"/>
              <w:left w:val="nil"/>
              <w:bottom w:val="nil"/>
              <w:right w:val="nil"/>
            </w:tcBorders>
            <w:shd w:val="clear" w:color="auto" w:fill="auto"/>
            <w:vAlign w:val="top"/>
          </w:tcPr>
          <w:p w14:paraId="4EC833A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2926" w:type="dxa"/>
            <w:tcBorders>
              <w:top w:val="nil"/>
              <w:left w:val="nil"/>
              <w:bottom w:val="nil"/>
              <w:right w:val="nil"/>
            </w:tcBorders>
            <w:shd w:val="clear" w:color="auto" w:fill="auto"/>
            <w:vAlign w:val="top"/>
          </w:tcPr>
          <w:p w14:paraId="5590285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(0.0686)</w:t>
            </w:r>
          </w:p>
        </w:tc>
      </w:tr>
      <w:tr w14:paraId="4041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shd w:val="clear" w:color="auto" w:fill="auto"/>
            <w:vAlign w:val="top"/>
          </w:tcPr>
          <w:p w14:paraId="20EDC1C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m:oMath>
              <m:r>
                <m:rPr>
                  <m:nor/>
                </m:rPr>
                <w:rPr>
                  <w:rFonts w:hint="default" w:ascii="Times New Roman" w:hAnsi="Times New Roman" w:eastAsia="宋体" w:cs="Times New Roman"/>
                  <w:i/>
                  <w:iCs/>
                  <w:sz w:val="15"/>
                  <w:szCs w:val="15"/>
                  <w:highlight w:val="none"/>
                  <w:lang w:val="en-US" w:eastAsia="zh-CN"/>
                </w:rPr>
                <m:t>D</m:t>
              </m:r>
              <m:r>
                <m:rPr>
                  <m:nor/>
                </m:rPr>
                <w:rPr>
                  <w:rFonts w:hint="default" w:ascii="Times New Roman" w:hAnsi="Times New Roman" w:eastAsia="宋体" w:cs="Times New Roman"/>
                  <w:i/>
                  <w:iCs/>
                  <w:sz w:val="15"/>
                  <w:szCs w:val="15"/>
                  <w:highlight w:val="none"/>
                </w:rPr>
                <m:t>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r>
                <m:rPr>
                  <m:nor/>
                  <m:sty m:val="p"/>
                </m:rPr>
                <w:rPr>
                  <w:rFonts w:hint="default" w:ascii="Times New Roman" w:hAnsi="Times New Roman" w:eastAsia="宋体" w:cs="Times New Roman"/>
                  <w:b w:val="0"/>
                  <w:i w:val="0"/>
                  <w:iCs/>
                  <w:sz w:val="15"/>
                  <w:szCs w:val="15"/>
                  <w:highlight w:val="none"/>
                </w:rPr>
                <m:t>×</m:t>
              </m:r>
            </m:oMath>
            <w:r>
              <w:rPr>
                <w:rFonts w:hint="eastAsia" w:hAnsi="Times New Roman" w:eastAsia="宋体" w:cs="Times New Roman"/>
                <w:b w:val="0"/>
                <w:i/>
                <w:iCs/>
                <w:sz w:val="15"/>
                <w:szCs w:val="15"/>
                <w:highlight w:val="none"/>
                <w:lang w:val="en-US" w:eastAsia="zh-CN"/>
              </w:rPr>
              <w:t>L</w:t>
            </w:r>
            <w:r>
              <w:rPr>
                <w:rFonts w:hint="default" w:ascii="Times New Roman" w:hAnsi="Times New Roman" w:eastAsia="宋体" w:cs="Times New Roman"/>
                <w:i/>
                <w:iCs/>
                <w:sz w:val="15"/>
                <w:szCs w:val="15"/>
                <w:highlight w:val="none"/>
                <w:lang w:val="en-US" w:eastAsia="en-US" w:bidi="ar-SA"/>
              </w:rPr>
              <w:t>n_tech</w:t>
            </w:r>
          </w:p>
        </w:tc>
        <w:tc>
          <w:tcPr>
            <w:tcW w:w="2841" w:type="dxa"/>
            <w:tcBorders>
              <w:top w:val="nil"/>
              <w:left w:val="nil"/>
              <w:bottom w:val="nil"/>
              <w:right w:val="nil"/>
            </w:tcBorders>
            <w:shd w:val="clear" w:color="auto" w:fill="auto"/>
            <w:vAlign w:val="top"/>
          </w:tcPr>
          <w:p w14:paraId="48A631F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2926" w:type="dxa"/>
            <w:tcBorders>
              <w:top w:val="nil"/>
              <w:left w:val="nil"/>
              <w:bottom w:val="nil"/>
              <w:right w:val="nil"/>
            </w:tcBorders>
            <w:shd w:val="clear" w:color="auto" w:fill="auto"/>
            <w:vAlign w:val="top"/>
          </w:tcPr>
          <w:p w14:paraId="656BA7E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0.0033***</w:t>
            </w:r>
          </w:p>
        </w:tc>
      </w:tr>
      <w:tr w14:paraId="65E0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2881" w:type="dxa"/>
            <w:tcBorders>
              <w:top w:val="nil"/>
              <w:left w:val="nil"/>
              <w:bottom w:val="nil"/>
              <w:right w:val="nil"/>
            </w:tcBorders>
            <w:shd w:val="clear" w:color="auto" w:fill="auto"/>
            <w:vAlign w:val="top"/>
          </w:tcPr>
          <w:p w14:paraId="700235C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p>
        </w:tc>
        <w:tc>
          <w:tcPr>
            <w:tcW w:w="2841" w:type="dxa"/>
            <w:tcBorders>
              <w:top w:val="nil"/>
              <w:left w:val="nil"/>
              <w:bottom w:val="nil"/>
              <w:right w:val="nil"/>
            </w:tcBorders>
            <w:shd w:val="clear" w:color="auto" w:fill="auto"/>
            <w:vAlign w:val="top"/>
          </w:tcPr>
          <w:p w14:paraId="70A7104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2926" w:type="dxa"/>
            <w:tcBorders>
              <w:top w:val="nil"/>
              <w:left w:val="nil"/>
              <w:bottom w:val="nil"/>
              <w:right w:val="nil"/>
            </w:tcBorders>
            <w:shd w:val="clear" w:color="auto" w:fill="auto"/>
            <w:vAlign w:val="top"/>
          </w:tcPr>
          <w:p w14:paraId="08396F9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en-US"/>
              </w:rPr>
            </w:pPr>
            <w:r>
              <w:rPr>
                <w:rFonts w:hint="default" w:ascii="宋体" w:hAnsi="宋体" w:eastAsia="宋体" w:cs="宋体"/>
                <w:sz w:val="15"/>
                <w:szCs w:val="15"/>
                <w:highlight w:val="none"/>
                <w:lang w:val="en-US" w:eastAsia="zh-CN"/>
              </w:rPr>
              <w:t>(0.0003)</w:t>
            </w:r>
          </w:p>
        </w:tc>
      </w:tr>
      <w:tr w14:paraId="3A8C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shd w:val="clear" w:color="auto" w:fill="auto"/>
            <w:vAlign w:val="top"/>
          </w:tcPr>
          <w:p w14:paraId="3CA397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zh-CN" w:bidi="ar-SA"/>
              </w:rPr>
            </w:pPr>
            <w:r>
              <w:rPr>
                <w:rFonts w:hint="eastAsia" w:ascii="宋体" w:hAnsi="宋体" w:eastAsia="宋体" w:cs="宋体"/>
                <w:i w:val="0"/>
                <w:iCs w:val="0"/>
                <w:sz w:val="15"/>
                <w:szCs w:val="15"/>
                <w:highlight w:val="none"/>
                <w:lang w:val="en-US" w:eastAsia="zh-CN" w:bidi="ar-SA"/>
              </w:rPr>
              <w:t>控制变量</w:t>
            </w:r>
          </w:p>
        </w:tc>
        <w:tc>
          <w:tcPr>
            <w:tcW w:w="2841" w:type="dxa"/>
            <w:tcBorders>
              <w:top w:val="nil"/>
              <w:left w:val="nil"/>
              <w:bottom w:val="nil"/>
              <w:right w:val="nil"/>
            </w:tcBorders>
            <w:shd w:val="clear" w:color="auto" w:fill="auto"/>
            <w:vAlign w:val="top"/>
          </w:tcPr>
          <w:p w14:paraId="67420B9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2926" w:type="dxa"/>
            <w:tcBorders>
              <w:top w:val="nil"/>
              <w:left w:val="nil"/>
              <w:bottom w:val="nil"/>
              <w:right w:val="nil"/>
            </w:tcBorders>
            <w:shd w:val="clear" w:color="auto" w:fill="auto"/>
            <w:vAlign w:val="top"/>
          </w:tcPr>
          <w:p w14:paraId="675F91D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5010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shd w:val="clear" w:color="auto" w:fill="auto"/>
            <w:vAlign w:val="top"/>
          </w:tcPr>
          <w:p w14:paraId="4D7615A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城市固定效应</w:t>
            </w:r>
          </w:p>
        </w:tc>
        <w:tc>
          <w:tcPr>
            <w:tcW w:w="2841" w:type="dxa"/>
            <w:tcBorders>
              <w:top w:val="nil"/>
              <w:left w:val="nil"/>
              <w:bottom w:val="nil"/>
              <w:right w:val="nil"/>
            </w:tcBorders>
            <w:shd w:val="clear" w:color="auto" w:fill="auto"/>
            <w:vAlign w:val="top"/>
          </w:tcPr>
          <w:p w14:paraId="6D45355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2926" w:type="dxa"/>
            <w:tcBorders>
              <w:top w:val="nil"/>
              <w:left w:val="nil"/>
              <w:bottom w:val="nil"/>
              <w:right w:val="nil"/>
            </w:tcBorders>
            <w:shd w:val="clear" w:color="auto" w:fill="auto"/>
            <w:vAlign w:val="top"/>
          </w:tcPr>
          <w:p w14:paraId="632BE3B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5D39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shd w:val="clear" w:color="auto" w:fill="auto"/>
            <w:vAlign w:val="top"/>
          </w:tcPr>
          <w:p w14:paraId="75A1E4E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年份固定效应</w:t>
            </w:r>
          </w:p>
        </w:tc>
        <w:tc>
          <w:tcPr>
            <w:tcW w:w="2841" w:type="dxa"/>
            <w:tcBorders>
              <w:top w:val="nil"/>
              <w:left w:val="nil"/>
              <w:bottom w:val="nil"/>
              <w:right w:val="nil"/>
            </w:tcBorders>
            <w:shd w:val="clear" w:color="auto" w:fill="auto"/>
            <w:vAlign w:val="top"/>
          </w:tcPr>
          <w:p w14:paraId="37DE50A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2926" w:type="dxa"/>
            <w:tcBorders>
              <w:top w:val="nil"/>
              <w:left w:val="nil"/>
              <w:bottom w:val="nil"/>
              <w:right w:val="nil"/>
            </w:tcBorders>
            <w:shd w:val="clear" w:color="auto" w:fill="auto"/>
            <w:vAlign w:val="top"/>
          </w:tcPr>
          <w:p w14:paraId="46D7A8C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192F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nil"/>
              <w:right w:val="nil"/>
            </w:tcBorders>
            <w:vAlign w:val="top"/>
          </w:tcPr>
          <w:p w14:paraId="2965D79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lang w:val="en-US" w:eastAsia="zh-CN"/>
                  </w:rPr>
                  <m:t>N</m:t>
                </m:r>
              </m:oMath>
            </m:oMathPara>
          </w:p>
        </w:tc>
        <w:tc>
          <w:tcPr>
            <w:tcW w:w="2841" w:type="dxa"/>
            <w:tcBorders>
              <w:top w:val="nil"/>
              <w:left w:val="nil"/>
              <w:bottom w:val="nil"/>
              <w:right w:val="nil"/>
            </w:tcBorders>
            <w:vAlign w:val="top"/>
          </w:tcPr>
          <w:p w14:paraId="1525DD3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615</w:t>
            </w:r>
          </w:p>
        </w:tc>
        <w:tc>
          <w:tcPr>
            <w:tcW w:w="2926" w:type="dxa"/>
            <w:tcBorders>
              <w:top w:val="nil"/>
              <w:left w:val="nil"/>
              <w:bottom w:val="nil"/>
              <w:right w:val="nil"/>
            </w:tcBorders>
            <w:vAlign w:val="top"/>
          </w:tcPr>
          <w:p w14:paraId="5F0C2B6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615</w:t>
            </w:r>
          </w:p>
        </w:tc>
      </w:tr>
      <w:tr w14:paraId="0D85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1" w:type="dxa"/>
            <w:tcBorders>
              <w:top w:val="nil"/>
              <w:left w:val="nil"/>
              <w:bottom w:val="single" w:color="auto" w:sz="12" w:space="0"/>
              <w:right w:val="nil"/>
            </w:tcBorders>
            <w:vAlign w:val="top"/>
          </w:tcPr>
          <w:p w14:paraId="3FA05D8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sty m:val="p"/>
                  </m:rPr>
                  <w:rPr>
                    <w:rFonts w:hint="eastAsia" w:ascii="Cambria Math" w:hAnsi="Cambria Math" w:eastAsia="宋体" w:cs="Times New Roman"/>
                    <w:sz w:val="15"/>
                    <w:szCs w:val="15"/>
                    <w:highlight w:val="none"/>
                    <w:lang w:val="en-US" w:eastAsia="zh-CN"/>
                  </w:rPr>
                  <m:t>组内</m:t>
                </m:r>
                <m:sSup>
                  <m:sSupPr>
                    <m:ctrlPr>
                      <w:rPr>
                        <w:rFonts w:hint="default" w:ascii="Cambria Math" w:hAnsi="Cambria Math" w:eastAsia="宋体" w:cs="Times New Roman"/>
                        <w:i/>
                        <w:iCs/>
                        <w:sz w:val="15"/>
                        <w:szCs w:val="15"/>
                        <w:highlight w:val="none"/>
                      </w:rPr>
                    </m:ctrlPr>
                  </m:sSupPr>
                  <m:e>
                    <m:r>
                      <m:rPr>
                        <m:nor/>
                      </m:rPr>
                      <w:rPr>
                        <w:rFonts w:hint="default" w:ascii="Times New Roman" w:hAnsi="Times New Roman" w:eastAsia="宋体" w:cs="Times New Roman"/>
                        <w:i/>
                        <w:iCs/>
                        <w:sz w:val="15"/>
                        <w:szCs w:val="15"/>
                        <w:highlight w:val="none"/>
                      </w:rPr>
                      <m:t>R</m:t>
                    </m:r>
                    <m:ctrlPr>
                      <w:rPr>
                        <w:rFonts w:hint="default" w:ascii="Cambria Math" w:hAnsi="Cambria Math" w:eastAsia="宋体" w:cs="Times New Roman"/>
                        <w:i/>
                        <w:iCs/>
                        <w:sz w:val="15"/>
                        <w:szCs w:val="15"/>
                        <w:highlight w:val="none"/>
                      </w:rPr>
                    </m:ctrlPr>
                  </m:e>
                  <m:sup>
                    <m:r>
                      <m:rPr>
                        <m:nor/>
                        <m:sty m:val="p"/>
                      </m:rPr>
                      <w:rPr>
                        <w:rFonts w:hint="default" w:ascii="Times New Roman" w:hAnsi="Times New Roman" w:eastAsia="宋体" w:cs="Times New Roman"/>
                        <w:b w:val="0"/>
                        <w:i w:val="0"/>
                        <w:iCs/>
                        <w:sz w:val="15"/>
                        <w:szCs w:val="15"/>
                        <w:highlight w:val="none"/>
                      </w:rPr>
                      <m:t>2</m:t>
                    </m:r>
                    <m:ctrlPr>
                      <w:rPr>
                        <w:rFonts w:hint="default" w:ascii="Cambria Math" w:hAnsi="Cambria Math" w:eastAsia="宋体" w:cs="Times New Roman"/>
                        <w:i/>
                        <w:iCs/>
                        <w:sz w:val="15"/>
                        <w:szCs w:val="15"/>
                        <w:highlight w:val="none"/>
                      </w:rPr>
                    </m:ctrlPr>
                  </m:sup>
                </m:sSup>
              </m:oMath>
            </m:oMathPara>
          </w:p>
        </w:tc>
        <w:tc>
          <w:tcPr>
            <w:tcW w:w="2841" w:type="dxa"/>
            <w:tcBorders>
              <w:top w:val="nil"/>
              <w:left w:val="nil"/>
              <w:bottom w:val="single" w:color="auto" w:sz="12" w:space="0"/>
              <w:right w:val="nil"/>
            </w:tcBorders>
            <w:vAlign w:val="top"/>
          </w:tcPr>
          <w:p w14:paraId="0248919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0.8247</w:t>
            </w:r>
          </w:p>
        </w:tc>
        <w:tc>
          <w:tcPr>
            <w:tcW w:w="2926" w:type="dxa"/>
            <w:tcBorders>
              <w:top w:val="nil"/>
              <w:left w:val="nil"/>
              <w:bottom w:val="single" w:color="auto" w:sz="12" w:space="0"/>
              <w:right w:val="nil"/>
            </w:tcBorders>
            <w:vAlign w:val="top"/>
          </w:tcPr>
          <w:p w14:paraId="218E06E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0.8277</w:t>
            </w:r>
          </w:p>
        </w:tc>
      </w:tr>
    </w:tbl>
    <w:p w14:paraId="38CD5446">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表7报告了调节效应的回归结果。耐心资本与产学研合作的交互项（</w:t>
      </w:r>
      <w:r>
        <w:rPr>
          <w:rFonts w:hint="eastAsia" w:ascii="宋体" w:hAnsi="宋体" w:eastAsia="宋体" w:cs="宋体"/>
          <w:b w:val="0"/>
          <w:i/>
          <w:iCs/>
          <w:sz w:val="21"/>
          <w:szCs w:val="21"/>
          <w:highlight w:val="none"/>
          <w:lang w:val="en-US" w:eastAsia="zh-CN"/>
        </w:rPr>
        <w:t>Did_cont×Ln_Coop</w:t>
      </w:r>
      <w:r>
        <w:rPr>
          <w:rFonts w:hint="eastAsia" w:ascii="宋体" w:hAnsi="宋体" w:eastAsia="宋体" w:cs="宋体"/>
          <w:b w:val="0"/>
          <w:i w:val="0"/>
          <w:iCs w:val="0"/>
          <w:sz w:val="21"/>
          <w:szCs w:val="21"/>
          <w:highlight w:val="none"/>
          <w:lang w:val="en-US" w:eastAsia="zh-CN"/>
        </w:rPr>
        <w:t>）</w:t>
      </w:r>
      <w:r>
        <w:rPr>
          <w:rFonts w:hint="eastAsia" w:ascii="宋体" w:hAnsi="宋体" w:eastAsia="宋体" w:cs="宋体"/>
          <w:b w:val="0"/>
          <w:sz w:val="21"/>
          <w:szCs w:val="21"/>
          <w:highlight w:val="none"/>
          <w:lang w:val="en-US" w:eastAsia="zh-CN"/>
        </w:rPr>
        <w:t>通过了显著性检验。这说明产学研合作增强了耐心资本对区域创新生态的促进效应。这是因为完善的产学研协同体系能够加速知识流动和技术转移，放大耐心资本的赋能效果。假说3a得证。耐心资本与技术市场的交互项（</w:t>
      </w:r>
      <w:r>
        <w:rPr>
          <w:rFonts w:hint="eastAsia" w:ascii="宋体" w:hAnsi="宋体" w:eastAsia="宋体" w:cs="宋体"/>
          <w:b w:val="0"/>
          <w:i/>
          <w:iCs/>
          <w:sz w:val="21"/>
          <w:szCs w:val="21"/>
          <w:highlight w:val="none"/>
          <w:lang w:val="en-US" w:eastAsia="zh-CN"/>
        </w:rPr>
        <w:t>Did_cont×Ln_tech</w:t>
      </w:r>
      <w:r>
        <w:rPr>
          <w:rFonts w:hint="eastAsia" w:ascii="宋体" w:hAnsi="宋体" w:eastAsia="宋体" w:cs="宋体"/>
          <w:b w:val="0"/>
          <w:i w:val="0"/>
          <w:iCs w:val="0"/>
          <w:sz w:val="21"/>
          <w:szCs w:val="21"/>
          <w:highlight w:val="none"/>
          <w:lang w:val="en-US" w:eastAsia="zh-CN"/>
        </w:rPr>
        <w:t>）</w:t>
      </w:r>
      <w:r>
        <w:rPr>
          <w:rFonts w:hint="eastAsia" w:ascii="宋体" w:hAnsi="宋体" w:eastAsia="宋体" w:cs="宋体"/>
          <w:b w:val="0"/>
          <w:sz w:val="21"/>
          <w:szCs w:val="21"/>
          <w:highlight w:val="none"/>
          <w:lang w:val="en-US" w:eastAsia="zh-CN"/>
        </w:rPr>
        <w:t>系数显著为正。这说明技术市场越发达，耐心资本的促进作用越强。完善的技术市场体系是耐心资本发挥作用的重要配套条件，能够加速创新成果的转化和应用。假说3b得证。</w:t>
      </w:r>
    </w:p>
    <w:p w14:paraId="6B37F924">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（三）多期滞后动态效应检验</w:t>
      </w:r>
    </w:p>
    <w:p w14:paraId="4AF8EFD3">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ascii="黑体" w:hAnsi="黑体" w:eastAsia="黑体"/>
          <w:b/>
          <w:sz w:val="21"/>
          <w:highlight w:val="none"/>
        </w:rPr>
      </w:pPr>
      <w:r>
        <w:rPr>
          <w:rFonts w:hint="eastAsia" w:ascii="宋体" w:hAnsi="宋体" w:eastAsia="宋体" w:cs="宋体"/>
          <w:b w:val="0"/>
          <w:sz w:val="21"/>
          <w:szCs w:val="21"/>
          <w:highlight w:val="none"/>
          <w:lang w:val="en-US" w:eastAsia="zh-CN"/>
        </w:rPr>
        <w:t>为考察政府引导基金对区域创新生态影响的持续性，进一步检验多期滞后效应。</w:t>
      </w:r>
    </w:p>
    <w:p w14:paraId="31622B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黑体" w:hAnsi="黑体" w:eastAsia="黑体" w:cs="黑体"/>
          <w:b/>
          <w:bCs w:val="0"/>
          <w:sz w:val="15"/>
          <w:szCs w:val="15"/>
          <w:highlight w:val="none"/>
        </w:rPr>
      </w:pPr>
      <w:r>
        <w:rPr>
          <w:rFonts w:hint="eastAsia" w:ascii="黑体" w:hAnsi="黑体" w:eastAsia="黑体" w:cs="黑体"/>
          <w:b/>
          <w:bCs w:val="0"/>
          <w:sz w:val="15"/>
          <w:szCs w:val="15"/>
          <w:highlight w:val="none"/>
        </w:rPr>
        <w:t>表</w:t>
      </w:r>
      <w:r>
        <w:rPr>
          <w:rFonts w:hint="eastAsia" w:ascii="黑体" w:hAnsi="黑体" w:eastAsia="黑体" w:cs="黑体"/>
          <w:b/>
          <w:bCs w:val="0"/>
          <w:sz w:val="15"/>
          <w:szCs w:val="15"/>
          <w:highlight w:val="none"/>
          <w:lang w:val="en-US" w:eastAsia="zh-CN"/>
        </w:rPr>
        <w:t xml:space="preserve">8  </w:t>
      </w:r>
      <w:r>
        <w:rPr>
          <w:rFonts w:hint="eastAsia" w:ascii="黑体" w:hAnsi="黑体" w:eastAsia="黑体" w:cs="黑体"/>
          <w:b/>
          <w:bCs w:val="0"/>
          <w:sz w:val="15"/>
          <w:szCs w:val="15"/>
          <w:highlight w:val="none"/>
        </w:rPr>
        <w:t>多期滞后动态效应检验</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6"/>
        <w:gridCol w:w="2063"/>
        <w:gridCol w:w="1883"/>
        <w:gridCol w:w="1988"/>
      </w:tblGrid>
      <w:tr w14:paraId="5333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single" w:color="auto" w:sz="12" w:space="0"/>
              <w:left w:val="nil"/>
              <w:bottom w:val="single" w:color="auto" w:sz="6" w:space="0"/>
              <w:right w:val="nil"/>
            </w:tcBorders>
            <w:vAlign w:val="top"/>
          </w:tcPr>
          <w:p w14:paraId="525151B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eastAsia" w:ascii="宋体" w:hAnsi="宋体" w:eastAsia="宋体" w:cs="宋体"/>
                <w:sz w:val="15"/>
                <w:szCs w:val="15"/>
                <w:highlight w:val="none"/>
              </w:rPr>
              <w:t>变量</w:t>
            </w:r>
          </w:p>
        </w:tc>
        <w:tc>
          <w:tcPr>
            <w:tcW w:w="2063" w:type="dxa"/>
            <w:tcBorders>
              <w:top w:val="single" w:color="auto" w:sz="12" w:space="0"/>
              <w:left w:val="nil"/>
              <w:bottom w:val="single" w:color="auto" w:sz="6" w:space="0"/>
              <w:right w:val="nil"/>
            </w:tcBorders>
            <w:vAlign w:val="top"/>
          </w:tcPr>
          <w:p w14:paraId="36A22DE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default" w:ascii="宋体" w:hAnsi="宋体" w:eastAsia="宋体" w:cs="宋体"/>
                <w:sz w:val="15"/>
                <w:szCs w:val="15"/>
                <w:highlight w:val="none"/>
              </w:rPr>
              <w:t>(1)</w:t>
            </w:r>
            <w:r>
              <w:rPr>
                <w:rFonts w:hint="eastAsia" w:ascii="宋体" w:hAnsi="宋体" w:eastAsia="宋体" w:cs="宋体"/>
                <w:sz w:val="15"/>
                <w:szCs w:val="15"/>
                <w:highlight w:val="none"/>
              </w:rPr>
              <w:t>滞后</w:t>
            </w:r>
            <w:r>
              <w:rPr>
                <w:rFonts w:hint="default" w:ascii="宋体" w:hAnsi="宋体" w:eastAsia="宋体" w:cs="宋体"/>
                <w:sz w:val="15"/>
                <w:szCs w:val="15"/>
                <w:highlight w:val="none"/>
              </w:rPr>
              <w:t>1</w:t>
            </w:r>
            <w:r>
              <w:rPr>
                <w:rFonts w:hint="eastAsia" w:ascii="宋体" w:hAnsi="宋体" w:eastAsia="宋体" w:cs="宋体"/>
                <w:sz w:val="15"/>
                <w:szCs w:val="15"/>
                <w:highlight w:val="none"/>
              </w:rPr>
              <w:t>期</w:t>
            </w:r>
          </w:p>
        </w:tc>
        <w:tc>
          <w:tcPr>
            <w:tcW w:w="1883" w:type="dxa"/>
            <w:tcBorders>
              <w:top w:val="single" w:color="auto" w:sz="12" w:space="0"/>
              <w:left w:val="nil"/>
              <w:bottom w:val="single" w:color="auto" w:sz="6" w:space="0"/>
              <w:right w:val="nil"/>
            </w:tcBorders>
            <w:vAlign w:val="top"/>
          </w:tcPr>
          <w:p w14:paraId="5739269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default" w:ascii="宋体" w:hAnsi="宋体" w:eastAsia="宋体" w:cs="宋体"/>
                <w:sz w:val="15"/>
                <w:szCs w:val="15"/>
                <w:highlight w:val="none"/>
              </w:rPr>
              <w:t>(2)</w:t>
            </w:r>
            <w:r>
              <w:rPr>
                <w:rFonts w:hint="eastAsia" w:ascii="宋体" w:hAnsi="宋体" w:eastAsia="宋体" w:cs="宋体"/>
                <w:sz w:val="15"/>
                <w:szCs w:val="15"/>
                <w:highlight w:val="none"/>
              </w:rPr>
              <w:t>滞后</w:t>
            </w:r>
            <w:r>
              <w:rPr>
                <w:rFonts w:hint="default" w:ascii="宋体" w:hAnsi="宋体" w:eastAsia="宋体" w:cs="宋体"/>
                <w:sz w:val="15"/>
                <w:szCs w:val="15"/>
                <w:highlight w:val="none"/>
              </w:rPr>
              <w:t>2</w:t>
            </w:r>
            <w:r>
              <w:rPr>
                <w:rFonts w:hint="eastAsia" w:ascii="宋体" w:hAnsi="宋体" w:eastAsia="宋体" w:cs="宋体"/>
                <w:sz w:val="15"/>
                <w:szCs w:val="15"/>
                <w:highlight w:val="none"/>
              </w:rPr>
              <w:t>期</w:t>
            </w:r>
          </w:p>
        </w:tc>
        <w:tc>
          <w:tcPr>
            <w:tcW w:w="1988" w:type="dxa"/>
            <w:tcBorders>
              <w:top w:val="single" w:color="auto" w:sz="12" w:space="0"/>
              <w:left w:val="nil"/>
              <w:bottom w:val="single" w:color="auto" w:sz="6" w:space="0"/>
              <w:right w:val="nil"/>
            </w:tcBorders>
            <w:vAlign w:val="top"/>
          </w:tcPr>
          <w:p w14:paraId="7990F54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rPr>
            </w:pPr>
            <w:r>
              <w:rPr>
                <w:rFonts w:hint="default" w:ascii="宋体" w:hAnsi="宋体" w:eastAsia="宋体" w:cs="宋体"/>
                <w:sz w:val="15"/>
                <w:szCs w:val="15"/>
                <w:highlight w:val="none"/>
              </w:rPr>
              <w:t>(3)</w:t>
            </w:r>
            <w:r>
              <w:rPr>
                <w:rFonts w:hint="eastAsia" w:ascii="宋体" w:hAnsi="宋体" w:eastAsia="宋体" w:cs="宋体"/>
                <w:sz w:val="15"/>
                <w:szCs w:val="15"/>
                <w:highlight w:val="none"/>
              </w:rPr>
              <w:t>滞后</w:t>
            </w:r>
            <w:r>
              <w:rPr>
                <w:rFonts w:hint="default" w:ascii="宋体" w:hAnsi="宋体" w:eastAsia="宋体" w:cs="宋体"/>
                <w:sz w:val="15"/>
                <w:szCs w:val="15"/>
                <w:highlight w:val="none"/>
              </w:rPr>
              <w:t>3</w:t>
            </w:r>
            <w:r>
              <w:rPr>
                <w:rFonts w:hint="eastAsia" w:ascii="宋体" w:hAnsi="宋体" w:eastAsia="宋体" w:cs="宋体"/>
                <w:sz w:val="15"/>
                <w:szCs w:val="15"/>
                <w:highlight w:val="none"/>
              </w:rPr>
              <w:t>期</w:t>
            </w:r>
          </w:p>
        </w:tc>
      </w:tr>
      <w:tr w14:paraId="2CA2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single" w:color="auto" w:sz="6" w:space="0"/>
              <w:left w:val="nil"/>
              <w:bottom w:val="nil"/>
              <w:right w:val="nil"/>
            </w:tcBorders>
            <w:vAlign w:val="top"/>
          </w:tcPr>
          <w:p w14:paraId="45DA7C5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rPr>
                  <m:t>L</m:t>
                </m:r>
                <m:r>
                  <m:rPr>
                    <m:nor/>
                    <m:sty m:val="p"/>
                  </m:rPr>
                  <w:rPr>
                    <w:rFonts w:hint="default" w:ascii="Times New Roman" w:hAnsi="Times New Roman" w:eastAsia="宋体" w:cs="Times New Roman"/>
                    <w:b w:val="0"/>
                    <w:i w:val="0"/>
                    <w:iCs/>
                    <w:sz w:val="15"/>
                    <w:szCs w:val="15"/>
                    <w:highlight w:val="none"/>
                    <w:lang w:val="en-US" w:eastAsia="zh-CN"/>
                  </w:rPr>
                  <m:t>1</m:t>
                </m:r>
                <m:r>
                  <m:rPr>
                    <m:nor/>
                    <m:sty m:val="p"/>
                  </m:rPr>
                  <w:rPr>
                    <w:rFonts w:hint="default" w:ascii="Times New Roman" w:hAnsi="Times New Roman" w:eastAsia="宋体" w:cs="Times New Roman"/>
                    <w:b w:val="0"/>
                    <w:i w:val="0"/>
                    <w:iCs/>
                    <w:sz w:val="15"/>
                    <w:szCs w:val="15"/>
                    <w:highlight w:val="none"/>
                  </w:rPr>
                  <m:t>.</m:t>
                </m:r>
                <m:r>
                  <m:rPr>
                    <m:nor/>
                  </m:rPr>
                  <w:rPr>
                    <w:rFonts w:hint="default" w:ascii="Times New Roman" w:hAnsi="Times New Roman" w:eastAsia="宋体" w:cs="Times New Roman"/>
                    <w:i/>
                    <w:iCs/>
                    <w:sz w:val="15"/>
                    <w:szCs w:val="15"/>
                    <w:highlight w:val="none"/>
                  </w:rPr>
                  <m:t>did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m:oMathPara>
          </w:p>
        </w:tc>
        <w:tc>
          <w:tcPr>
            <w:tcW w:w="2063" w:type="dxa"/>
            <w:tcBorders>
              <w:top w:val="single" w:color="auto" w:sz="6" w:space="0"/>
              <w:left w:val="nil"/>
              <w:bottom w:val="nil"/>
              <w:right w:val="nil"/>
            </w:tcBorders>
            <w:vAlign w:val="top"/>
          </w:tcPr>
          <w:p w14:paraId="582B4F6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0.0045***</w:t>
            </w:r>
          </w:p>
        </w:tc>
        <w:tc>
          <w:tcPr>
            <w:tcW w:w="1883" w:type="dxa"/>
            <w:tcBorders>
              <w:top w:val="single" w:color="auto" w:sz="6" w:space="0"/>
              <w:left w:val="nil"/>
              <w:bottom w:val="nil"/>
              <w:right w:val="nil"/>
            </w:tcBorders>
            <w:vAlign w:val="top"/>
          </w:tcPr>
          <w:p w14:paraId="26E800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988" w:type="dxa"/>
            <w:tcBorders>
              <w:top w:val="single" w:color="auto" w:sz="6" w:space="0"/>
              <w:left w:val="nil"/>
              <w:bottom w:val="nil"/>
              <w:right w:val="nil"/>
            </w:tcBorders>
            <w:vAlign w:val="top"/>
          </w:tcPr>
          <w:p w14:paraId="52FA548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6D97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vAlign w:val="top"/>
          </w:tcPr>
          <w:p w14:paraId="7BD3356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p>
        </w:tc>
        <w:tc>
          <w:tcPr>
            <w:tcW w:w="2063" w:type="dxa"/>
            <w:tcBorders>
              <w:top w:val="nil"/>
              <w:left w:val="nil"/>
              <w:bottom w:val="nil"/>
              <w:right w:val="nil"/>
            </w:tcBorders>
            <w:vAlign w:val="top"/>
          </w:tcPr>
          <w:p w14:paraId="2335D41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(0.0012)</w:t>
            </w:r>
          </w:p>
        </w:tc>
        <w:tc>
          <w:tcPr>
            <w:tcW w:w="1883" w:type="dxa"/>
            <w:tcBorders>
              <w:top w:val="nil"/>
              <w:left w:val="nil"/>
              <w:bottom w:val="nil"/>
              <w:right w:val="nil"/>
            </w:tcBorders>
            <w:vAlign w:val="top"/>
          </w:tcPr>
          <w:p w14:paraId="2262D20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988" w:type="dxa"/>
            <w:tcBorders>
              <w:top w:val="nil"/>
              <w:left w:val="nil"/>
              <w:bottom w:val="nil"/>
              <w:right w:val="nil"/>
            </w:tcBorders>
            <w:vAlign w:val="top"/>
          </w:tcPr>
          <w:p w14:paraId="413E4C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59EF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vAlign w:val="top"/>
          </w:tcPr>
          <w:p w14:paraId="6EC0E8B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rPr>
                  <m:t>L</m:t>
                </m:r>
                <m:r>
                  <m:rPr>
                    <m:nor/>
                    <m:sty m:val="p"/>
                  </m:rPr>
                  <w:rPr>
                    <w:rFonts w:hint="default" w:ascii="Times New Roman" w:hAnsi="Times New Roman" w:eastAsia="宋体" w:cs="Times New Roman"/>
                    <w:b w:val="0"/>
                    <w:i w:val="0"/>
                    <w:iCs/>
                    <w:sz w:val="15"/>
                    <w:szCs w:val="15"/>
                    <w:highlight w:val="none"/>
                  </w:rPr>
                  <m:t>2.</m:t>
                </m:r>
                <m:r>
                  <m:rPr>
                    <m:nor/>
                  </m:rPr>
                  <w:rPr>
                    <w:rFonts w:hint="default" w:ascii="Times New Roman" w:hAnsi="Times New Roman" w:eastAsia="宋体" w:cs="Times New Roman"/>
                    <w:i/>
                    <w:iCs/>
                    <w:sz w:val="15"/>
                    <w:szCs w:val="15"/>
                    <w:highlight w:val="none"/>
                  </w:rPr>
                  <m:t>did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m:oMathPara>
          </w:p>
        </w:tc>
        <w:tc>
          <w:tcPr>
            <w:tcW w:w="2063" w:type="dxa"/>
            <w:tcBorders>
              <w:top w:val="nil"/>
              <w:left w:val="nil"/>
              <w:bottom w:val="nil"/>
              <w:right w:val="nil"/>
            </w:tcBorders>
            <w:vAlign w:val="top"/>
          </w:tcPr>
          <w:p w14:paraId="5A3B50D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883" w:type="dxa"/>
            <w:tcBorders>
              <w:top w:val="nil"/>
              <w:left w:val="nil"/>
              <w:bottom w:val="nil"/>
              <w:right w:val="nil"/>
            </w:tcBorders>
            <w:vAlign w:val="top"/>
          </w:tcPr>
          <w:p w14:paraId="28C8D4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0.0042***</w:t>
            </w:r>
          </w:p>
        </w:tc>
        <w:tc>
          <w:tcPr>
            <w:tcW w:w="1988" w:type="dxa"/>
            <w:tcBorders>
              <w:top w:val="nil"/>
              <w:left w:val="nil"/>
              <w:bottom w:val="nil"/>
              <w:right w:val="nil"/>
            </w:tcBorders>
            <w:vAlign w:val="top"/>
          </w:tcPr>
          <w:p w14:paraId="0DB332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125D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86" w:type="dxa"/>
            <w:tcBorders>
              <w:top w:val="nil"/>
              <w:left w:val="nil"/>
              <w:bottom w:val="nil"/>
              <w:right w:val="nil"/>
            </w:tcBorders>
            <w:vAlign w:val="top"/>
          </w:tcPr>
          <w:p w14:paraId="376B05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p>
        </w:tc>
        <w:tc>
          <w:tcPr>
            <w:tcW w:w="2063" w:type="dxa"/>
            <w:tcBorders>
              <w:top w:val="nil"/>
              <w:left w:val="nil"/>
              <w:bottom w:val="nil"/>
              <w:right w:val="nil"/>
            </w:tcBorders>
            <w:vAlign w:val="top"/>
          </w:tcPr>
          <w:p w14:paraId="695B84A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883" w:type="dxa"/>
            <w:tcBorders>
              <w:top w:val="nil"/>
              <w:left w:val="nil"/>
              <w:bottom w:val="nil"/>
              <w:right w:val="nil"/>
            </w:tcBorders>
            <w:vAlign w:val="top"/>
          </w:tcPr>
          <w:p w14:paraId="407B46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(0.0011)</w:t>
            </w:r>
          </w:p>
        </w:tc>
        <w:tc>
          <w:tcPr>
            <w:tcW w:w="1988" w:type="dxa"/>
            <w:tcBorders>
              <w:top w:val="nil"/>
              <w:left w:val="nil"/>
              <w:bottom w:val="nil"/>
              <w:right w:val="nil"/>
            </w:tcBorders>
            <w:vAlign w:val="top"/>
          </w:tcPr>
          <w:p w14:paraId="5348D14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r>
      <w:tr w14:paraId="6384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vAlign w:val="top"/>
          </w:tcPr>
          <w:p w14:paraId="253638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rPr>
                  <m:t>L</m:t>
                </m:r>
                <m:r>
                  <m:rPr>
                    <m:nor/>
                    <m:sty m:val="p"/>
                  </m:rPr>
                  <w:rPr>
                    <w:rFonts w:hint="default" w:ascii="Times New Roman" w:hAnsi="Times New Roman" w:eastAsia="宋体" w:cs="Times New Roman"/>
                    <w:b w:val="0"/>
                    <w:i w:val="0"/>
                    <w:iCs/>
                    <w:sz w:val="15"/>
                    <w:szCs w:val="15"/>
                    <w:highlight w:val="none"/>
                  </w:rPr>
                  <m:t>3.</m:t>
                </m:r>
                <m:r>
                  <m:rPr>
                    <m:nor/>
                  </m:rPr>
                  <w:rPr>
                    <w:rFonts w:hint="default" w:ascii="Times New Roman" w:hAnsi="Times New Roman" w:eastAsia="宋体" w:cs="Times New Roman"/>
                    <w:i/>
                    <w:iCs/>
                    <w:sz w:val="15"/>
                    <w:szCs w:val="15"/>
                    <w:highlight w:val="none"/>
                  </w:rPr>
                  <m:t>did</m:t>
                </m:r>
                <m:r>
                  <m:rPr>
                    <m:nor/>
                    <m:sty m:val="p"/>
                  </m:rPr>
                  <w:rPr>
                    <w:rFonts w:hint="default" w:ascii="Times New Roman" w:hAnsi="Times New Roman" w:eastAsia="宋体" w:cs="Times New Roman"/>
                    <w:b w:val="0"/>
                    <w:i w:val="0"/>
                    <w:iCs/>
                    <w:sz w:val="15"/>
                    <w:szCs w:val="15"/>
                    <w:highlight w:val="none"/>
                  </w:rPr>
                  <m:t>_</m:t>
                </m:r>
                <m:r>
                  <m:rPr>
                    <m:nor/>
                  </m:rPr>
                  <w:rPr>
                    <w:rFonts w:hint="default" w:ascii="Times New Roman" w:hAnsi="Times New Roman" w:eastAsia="宋体" w:cs="Times New Roman"/>
                    <w:i/>
                    <w:iCs/>
                    <w:sz w:val="15"/>
                    <w:szCs w:val="15"/>
                    <w:highlight w:val="none"/>
                  </w:rPr>
                  <m:t>cont</m:t>
                </m:r>
              </m:oMath>
            </m:oMathPara>
          </w:p>
        </w:tc>
        <w:tc>
          <w:tcPr>
            <w:tcW w:w="2063" w:type="dxa"/>
            <w:tcBorders>
              <w:top w:val="nil"/>
              <w:left w:val="nil"/>
              <w:bottom w:val="nil"/>
              <w:right w:val="nil"/>
            </w:tcBorders>
            <w:vAlign w:val="top"/>
          </w:tcPr>
          <w:p w14:paraId="07F9CA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883" w:type="dxa"/>
            <w:tcBorders>
              <w:top w:val="nil"/>
              <w:left w:val="nil"/>
              <w:bottom w:val="nil"/>
              <w:right w:val="nil"/>
            </w:tcBorders>
            <w:vAlign w:val="top"/>
          </w:tcPr>
          <w:p w14:paraId="52B0B5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988" w:type="dxa"/>
            <w:tcBorders>
              <w:top w:val="nil"/>
              <w:left w:val="nil"/>
              <w:bottom w:val="nil"/>
              <w:right w:val="nil"/>
            </w:tcBorders>
            <w:vAlign w:val="top"/>
          </w:tcPr>
          <w:p w14:paraId="4F5B65E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0.0047***</w:t>
            </w:r>
          </w:p>
        </w:tc>
      </w:tr>
      <w:tr w14:paraId="12FB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vAlign w:val="top"/>
          </w:tcPr>
          <w:p w14:paraId="68B4AFD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p>
        </w:tc>
        <w:tc>
          <w:tcPr>
            <w:tcW w:w="2063" w:type="dxa"/>
            <w:tcBorders>
              <w:top w:val="nil"/>
              <w:left w:val="nil"/>
              <w:bottom w:val="nil"/>
              <w:right w:val="nil"/>
            </w:tcBorders>
            <w:vAlign w:val="top"/>
          </w:tcPr>
          <w:p w14:paraId="0D03143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883" w:type="dxa"/>
            <w:tcBorders>
              <w:top w:val="nil"/>
              <w:left w:val="nil"/>
              <w:bottom w:val="nil"/>
              <w:right w:val="nil"/>
            </w:tcBorders>
            <w:vAlign w:val="top"/>
          </w:tcPr>
          <w:p w14:paraId="3DF890D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p>
        </w:tc>
        <w:tc>
          <w:tcPr>
            <w:tcW w:w="1988" w:type="dxa"/>
            <w:tcBorders>
              <w:top w:val="nil"/>
              <w:left w:val="nil"/>
              <w:bottom w:val="nil"/>
              <w:right w:val="nil"/>
            </w:tcBorders>
            <w:vAlign w:val="top"/>
          </w:tcPr>
          <w:p w14:paraId="0667805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(0.0010)</w:t>
            </w:r>
          </w:p>
        </w:tc>
      </w:tr>
      <w:tr w14:paraId="44EB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shd w:val="clear" w:color="auto" w:fill="auto"/>
            <w:vAlign w:val="top"/>
          </w:tcPr>
          <w:p w14:paraId="451E2F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zh-CN" w:bidi="ar-SA"/>
              </w:rPr>
            </w:pPr>
            <w:r>
              <w:rPr>
                <w:rFonts w:hint="eastAsia" w:ascii="宋体" w:hAnsi="宋体" w:eastAsia="宋体" w:cs="宋体"/>
                <w:i w:val="0"/>
                <w:iCs w:val="0"/>
                <w:sz w:val="15"/>
                <w:szCs w:val="15"/>
                <w:highlight w:val="none"/>
                <w:lang w:val="en-US" w:eastAsia="zh-CN" w:bidi="ar-SA"/>
              </w:rPr>
              <w:t>控制变量</w:t>
            </w:r>
          </w:p>
        </w:tc>
        <w:tc>
          <w:tcPr>
            <w:tcW w:w="2063" w:type="dxa"/>
            <w:tcBorders>
              <w:top w:val="nil"/>
              <w:left w:val="nil"/>
              <w:bottom w:val="nil"/>
              <w:right w:val="nil"/>
            </w:tcBorders>
            <w:shd w:val="clear" w:color="auto" w:fill="auto"/>
            <w:vAlign w:val="top"/>
          </w:tcPr>
          <w:p w14:paraId="6DBFF7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883" w:type="dxa"/>
            <w:tcBorders>
              <w:top w:val="nil"/>
              <w:left w:val="nil"/>
              <w:bottom w:val="nil"/>
              <w:right w:val="nil"/>
            </w:tcBorders>
            <w:shd w:val="clear" w:color="auto" w:fill="auto"/>
            <w:vAlign w:val="top"/>
          </w:tcPr>
          <w:p w14:paraId="509C163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988" w:type="dxa"/>
            <w:tcBorders>
              <w:top w:val="nil"/>
              <w:left w:val="nil"/>
              <w:bottom w:val="nil"/>
              <w:right w:val="nil"/>
            </w:tcBorders>
            <w:shd w:val="clear" w:color="auto" w:fill="auto"/>
            <w:vAlign w:val="top"/>
          </w:tcPr>
          <w:p w14:paraId="28F382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245D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shd w:val="clear" w:color="auto" w:fill="auto"/>
            <w:vAlign w:val="top"/>
          </w:tcPr>
          <w:p w14:paraId="11B92BB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城市固定效应</w:t>
            </w:r>
          </w:p>
        </w:tc>
        <w:tc>
          <w:tcPr>
            <w:tcW w:w="2063" w:type="dxa"/>
            <w:tcBorders>
              <w:top w:val="nil"/>
              <w:left w:val="nil"/>
              <w:bottom w:val="nil"/>
              <w:right w:val="nil"/>
            </w:tcBorders>
            <w:vAlign w:val="top"/>
          </w:tcPr>
          <w:p w14:paraId="2D6A495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883" w:type="dxa"/>
            <w:tcBorders>
              <w:top w:val="nil"/>
              <w:left w:val="nil"/>
              <w:bottom w:val="nil"/>
              <w:right w:val="nil"/>
            </w:tcBorders>
            <w:vAlign w:val="top"/>
          </w:tcPr>
          <w:p w14:paraId="3B5B0D6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988" w:type="dxa"/>
            <w:tcBorders>
              <w:top w:val="nil"/>
              <w:left w:val="nil"/>
              <w:bottom w:val="nil"/>
              <w:right w:val="nil"/>
            </w:tcBorders>
            <w:vAlign w:val="top"/>
          </w:tcPr>
          <w:p w14:paraId="33FA0EF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1211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shd w:val="clear" w:color="auto" w:fill="auto"/>
            <w:vAlign w:val="top"/>
          </w:tcPr>
          <w:p w14:paraId="4F1A7E0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年份固定效应</w:t>
            </w:r>
          </w:p>
        </w:tc>
        <w:tc>
          <w:tcPr>
            <w:tcW w:w="2063" w:type="dxa"/>
            <w:tcBorders>
              <w:top w:val="nil"/>
              <w:left w:val="nil"/>
              <w:bottom w:val="nil"/>
              <w:right w:val="nil"/>
            </w:tcBorders>
            <w:vAlign w:val="top"/>
          </w:tcPr>
          <w:p w14:paraId="40BFB3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883" w:type="dxa"/>
            <w:tcBorders>
              <w:top w:val="nil"/>
              <w:left w:val="nil"/>
              <w:bottom w:val="nil"/>
              <w:right w:val="nil"/>
            </w:tcBorders>
            <w:vAlign w:val="top"/>
          </w:tcPr>
          <w:p w14:paraId="26EF5E8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c>
          <w:tcPr>
            <w:tcW w:w="1988" w:type="dxa"/>
            <w:tcBorders>
              <w:top w:val="nil"/>
              <w:left w:val="nil"/>
              <w:bottom w:val="nil"/>
              <w:right w:val="nil"/>
            </w:tcBorders>
            <w:vAlign w:val="top"/>
          </w:tcPr>
          <w:p w14:paraId="0F7802E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eastAsia" w:ascii="宋体" w:hAnsi="宋体" w:eastAsia="宋体" w:cs="宋体"/>
                <w:sz w:val="15"/>
                <w:szCs w:val="15"/>
                <w:highlight w:val="none"/>
                <w:lang w:val="en-US" w:eastAsia="zh-CN"/>
              </w:rPr>
              <w:t>是</w:t>
            </w:r>
          </w:p>
        </w:tc>
      </w:tr>
      <w:tr w14:paraId="1E9B1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nil"/>
              <w:right w:val="nil"/>
            </w:tcBorders>
            <w:vAlign w:val="top"/>
          </w:tcPr>
          <w:p w14:paraId="6AD0D7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nor/>
                  </m:rPr>
                  <w:rPr>
                    <w:rFonts w:hint="default" w:ascii="Times New Roman" w:hAnsi="Times New Roman" w:eastAsia="宋体" w:cs="Times New Roman"/>
                    <w:i/>
                    <w:iCs/>
                    <w:sz w:val="15"/>
                    <w:szCs w:val="15"/>
                    <w:highlight w:val="none"/>
                  </w:rPr>
                  <m:t>N</m:t>
                </m:r>
              </m:oMath>
            </m:oMathPara>
          </w:p>
        </w:tc>
        <w:tc>
          <w:tcPr>
            <w:tcW w:w="2063" w:type="dxa"/>
            <w:tcBorders>
              <w:top w:val="nil"/>
              <w:left w:val="nil"/>
              <w:bottom w:val="nil"/>
              <w:right w:val="nil"/>
            </w:tcBorders>
            <w:vAlign w:val="top"/>
          </w:tcPr>
          <w:p w14:paraId="3A4BCA3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574</w:t>
            </w:r>
          </w:p>
        </w:tc>
        <w:tc>
          <w:tcPr>
            <w:tcW w:w="1883" w:type="dxa"/>
            <w:tcBorders>
              <w:top w:val="nil"/>
              <w:left w:val="nil"/>
              <w:bottom w:val="nil"/>
              <w:right w:val="nil"/>
            </w:tcBorders>
            <w:vAlign w:val="top"/>
          </w:tcPr>
          <w:p w14:paraId="350EFEA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533</w:t>
            </w:r>
          </w:p>
        </w:tc>
        <w:tc>
          <w:tcPr>
            <w:tcW w:w="1988" w:type="dxa"/>
            <w:tcBorders>
              <w:top w:val="nil"/>
              <w:left w:val="nil"/>
              <w:bottom w:val="nil"/>
              <w:right w:val="nil"/>
            </w:tcBorders>
            <w:vAlign w:val="top"/>
          </w:tcPr>
          <w:p w14:paraId="6851BA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492</w:t>
            </w:r>
          </w:p>
        </w:tc>
      </w:tr>
      <w:tr w14:paraId="1D12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tcBorders>
              <w:top w:val="nil"/>
              <w:left w:val="nil"/>
              <w:bottom w:val="single" w:color="auto" w:sz="12" w:space="0"/>
              <w:right w:val="nil"/>
            </w:tcBorders>
            <w:vAlign w:val="top"/>
          </w:tcPr>
          <w:p w14:paraId="3024A6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sty m:val="p"/>
                  </m:rPr>
                  <w:rPr>
                    <w:rFonts w:hint="eastAsia" w:ascii="Cambria Math" w:hAnsi="Cambria Math" w:eastAsia="宋体" w:cs="Times New Roman"/>
                    <w:sz w:val="15"/>
                    <w:szCs w:val="15"/>
                    <w:highlight w:val="none"/>
                    <w:lang w:val="en-US" w:eastAsia="zh-CN"/>
                  </w:rPr>
                  <m:t>组内</m:t>
                </m:r>
                <m:sSup>
                  <m:sSupPr>
                    <m:ctrlPr>
                      <w:rPr>
                        <w:rFonts w:hint="default" w:ascii="Cambria Math" w:hAnsi="Cambria Math" w:eastAsia="宋体" w:cs="Times New Roman"/>
                        <w:i/>
                        <w:iCs/>
                        <w:sz w:val="15"/>
                        <w:szCs w:val="15"/>
                        <w:highlight w:val="none"/>
                      </w:rPr>
                    </m:ctrlPr>
                  </m:sSupPr>
                  <m:e>
                    <m:r>
                      <m:rPr>
                        <m:nor/>
                      </m:rPr>
                      <w:rPr>
                        <w:rFonts w:hint="default" w:ascii="Times New Roman" w:hAnsi="Times New Roman" w:eastAsia="宋体" w:cs="Times New Roman"/>
                        <w:i/>
                        <w:iCs/>
                        <w:sz w:val="15"/>
                        <w:szCs w:val="15"/>
                        <w:highlight w:val="none"/>
                      </w:rPr>
                      <m:t>R</m:t>
                    </m:r>
                    <m:ctrlPr>
                      <w:rPr>
                        <w:rFonts w:hint="default" w:ascii="Cambria Math" w:hAnsi="Cambria Math" w:eastAsia="宋体" w:cs="Times New Roman"/>
                        <w:i/>
                        <w:iCs/>
                        <w:sz w:val="15"/>
                        <w:szCs w:val="15"/>
                        <w:highlight w:val="none"/>
                      </w:rPr>
                    </m:ctrlPr>
                  </m:e>
                  <m:sup>
                    <m:r>
                      <m:rPr>
                        <m:nor/>
                        <m:sty m:val="p"/>
                      </m:rPr>
                      <w:rPr>
                        <w:rFonts w:hint="default" w:ascii="Times New Roman" w:hAnsi="Times New Roman" w:eastAsia="宋体" w:cs="Times New Roman"/>
                        <w:b w:val="0"/>
                        <w:i w:val="0"/>
                        <w:iCs/>
                        <w:sz w:val="15"/>
                        <w:szCs w:val="15"/>
                        <w:highlight w:val="none"/>
                      </w:rPr>
                      <m:t>2</m:t>
                    </m:r>
                    <m:ctrlPr>
                      <w:rPr>
                        <w:rFonts w:hint="default" w:ascii="Cambria Math" w:hAnsi="Cambria Math" w:eastAsia="宋体" w:cs="Times New Roman"/>
                        <w:i/>
                        <w:iCs/>
                        <w:sz w:val="15"/>
                        <w:szCs w:val="15"/>
                        <w:highlight w:val="none"/>
                      </w:rPr>
                    </m:ctrlPr>
                  </m:sup>
                </m:sSup>
              </m:oMath>
            </m:oMathPara>
          </w:p>
        </w:tc>
        <w:tc>
          <w:tcPr>
            <w:tcW w:w="2063" w:type="dxa"/>
            <w:tcBorders>
              <w:top w:val="nil"/>
              <w:left w:val="nil"/>
              <w:bottom w:val="single" w:color="auto" w:sz="12" w:space="0"/>
              <w:right w:val="nil"/>
            </w:tcBorders>
            <w:vAlign w:val="top"/>
          </w:tcPr>
          <w:p w14:paraId="628A5C5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0.7054</w:t>
            </w:r>
          </w:p>
        </w:tc>
        <w:tc>
          <w:tcPr>
            <w:tcW w:w="1883" w:type="dxa"/>
            <w:tcBorders>
              <w:top w:val="nil"/>
              <w:left w:val="nil"/>
              <w:bottom w:val="single" w:color="auto" w:sz="12" w:space="0"/>
              <w:right w:val="nil"/>
            </w:tcBorders>
            <w:vAlign w:val="top"/>
          </w:tcPr>
          <w:p w14:paraId="10F87B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0.6928</w:t>
            </w:r>
          </w:p>
        </w:tc>
        <w:tc>
          <w:tcPr>
            <w:tcW w:w="1988" w:type="dxa"/>
            <w:tcBorders>
              <w:top w:val="nil"/>
              <w:left w:val="nil"/>
              <w:bottom w:val="single" w:color="auto" w:sz="12" w:space="0"/>
              <w:right w:val="nil"/>
            </w:tcBorders>
            <w:vAlign w:val="top"/>
          </w:tcPr>
          <w:p w14:paraId="550BC82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5"/>
                <w:szCs w:val="15"/>
                <w:highlight w:val="none"/>
                <w:lang w:val="en-US" w:eastAsia="zh-CN"/>
              </w:rPr>
            </w:pPr>
            <w:r>
              <w:rPr>
                <w:rFonts w:hint="default" w:ascii="宋体" w:hAnsi="宋体" w:eastAsia="宋体" w:cs="宋体"/>
                <w:sz w:val="15"/>
                <w:szCs w:val="15"/>
                <w:highlight w:val="none"/>
                <w:lang w:val="en-US" w:eastAsia="zh-CN"/>
              </w:rPr>
              <w:t>0.6967</w:t>
            </w:r>
          </w:p>
        </w:tc>
      </w:tr>
    </w:tbl>
    <w:p w14:paraId="56D01EF5">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表8结果显示，滞后1期、滞后2期和滞后3期的连续强度DID系数均在1%水平上显著为正，且系数大小与基准回归较为接近。这表明政府引导基金对区域创新生态的促进效应具有持续性，不仅在当期发挥作用，在后续年份仍能产生显著影响。这一结果进一步验证了基准回归结论的稳健性，这与耐心资本长期投资的特征是一致的。</w:t>
      </w:r>
    </w:p>
    <w:p w14:paraId="35D93DD6">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楷体" w:hAnsi="楷体" w:eastAsia="楷体" w:cs="楷体"/>
          <w:b w:val="0"/>
          <w:sz w:val="21"/>
          <w:szCs w:val="21"/>
          <w:highlight w:val="none"/>
          <w:lang w:val="en-US" w:eastAsia="zh-CN"/>
        </w:rPr>
      </w:pPr>
      <w:r>
        <w:rPr>
          <w:rFonts w:hint="eastAsia" w:ascii="楷体" w:hAnsi="楷体" w:eastAsia="楷体" w:cs="楷体"/>
          <w:b w:val="0"/>
          <w:sz w:val="21"/>
          <w:szCs w:val="21"/>
          <w:highlight w:val="none"/>
          <w:lang w:val="en-US" w:eastAsia="zh-CN"/>
        </w:rPr>
        <w:t>（四）异质性分析</w:t>
      </w:r>
    </w:p>
    <w:p w14:paraId="3E66FB28">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default" w:ascii="宋体" w:hAnsi="宋体" w:eastAsia="宋体" w:cs="宋体"/>
          <w:b w:val="0"/>
          <w:sz w:val="21"/>
          <w:szCs w:val="21"/>
          <w:highlight w:val="none"/>
          <w:lang w:val="en-US" w:eastAsia="zh-CN"/>
        </w:rPr>
        <w:t>为进一步考察政府引导基金对区域创新生态的影响是否因城市发展基础不同而存在异质性，本文分别从</w:t>
      </w:r>
      <w:r>
        <w:rPr>
          <w:rFonts w:hint="eastAsia" w:ascii="宋体" w:hAnsi="宋体" w:eastAsia="宋体" w:cs="宋体"/>
          <w:b w:val="0"/>
          <w:sz w:val="21"/>
          <w:szCs w:val="21"/>
          <w:highlight w:val="none"/>
          <w:lang w:val="en-US" w:eastAsia="zh-CN"/>
        </w:rPr>
        <w:t>市场化水平</w:t>
      </w:r>
      <w:r>
        <w:rPr>
          <w:rFonts w:hint="default" w:ascii="宋体" w:hAnsi="宋体" w:eastAsia="宋体" w:cs="宋体"/>
          <w:b w:val="0"/>
          <w:sz w:val="21"/>
          <w:szCs w:val="21"/>
          <w:highlight w:val="none"/>
          <w:lang w:val="en-US" w:eastAsia="zh-CN"/>
        </w:rPr>
        <w:t>、城市层级</w:t>
      </w:r>
      <w:r>
        <w:rPr>
          <w:rFonts w:hint="eastAsia" w:ascii="宋体" w:hAnsi="宋体" w:eastAsia="宋体" w:cs="宋体"/>
          <w:b w:val="0"/>
          <w:sz w:val="21"/>
          <w:szCs w:val="21"/>
          <w:highlight w:val="none"/>
          <w:lang w:val="en-US" w:eastAsia="zh-CN"/>
        </w:rPr>
        <w:t>两</w:t>
      </w:r>
      <w:r>
        <w:rPr>
          <w:rFonts w:hint="default" w:ascii="宋体" w:hAnsi="宋体" w:eastAsia="宋体" w:cs="宋体"/>
          <w:b w:val="0"/>
          <w:sz w:val="21"/>
          <w:szCs w:val="21"/>
          <w:highlight w:val="none"/>
          <w:lang w:val="en-US" w:eastAsia="zh-CN"/>
        </w:rPr>
        <w:t>个维度进行分组检验。</w:t>
      </w:r>
      <w:r>
        <w:rPr>
          <w:rFonts w:hint="eastAsia" w:ascii="宋体" w:hAnsi="宋体" w:eastAsia="宋体" w:cs="宋体"/>
          <w:b w:val="0"/>
          <w:sz w:val="21"/>
          <w:szCs w:val="21"/>
          <w:highlight w:val="none"/>
          <w:lang w:val="en-US" w:eastAsia="zh-CN"/>
        </w:rPr>
        <w:t>市场化水平参考《中国工业经济》熊凌云等（2025）文中关于市场化水平指标的构建与测算方法</w:t>
      </w:r>
      <w:r>
        <w:rPr>
          <w:rFonts w:hint="eastAsia" w:ascii="宋体" w:hAnsi="宋体" w:eastAsia="宋体" w:cs="宋体"/>
          <w:b w:val="0"/>
          <w:sz w:val="21"/>
          <w:szCs w:val="21"/>
          <w:highlight w:val="none"/>
          <w:vertAlign w:val="superscript"/>
          <w:lang w:val="en-US" w:eastAsia="zh-CN"/>
        </w:rPr>
        <w:fldChar w:fldCharType="begin"/>
      </w:r>
      <w:r>
        <w:instrText xml:space="preserve"> REF _Ref17415 \r \h  \* MERGEFORMAT</w:instrText>
      </w:r>
      <w:r>
        <w:rPr>
          <w:rFonts w:hint="eastAsia" w:ascii="宋体" w:hAnsi="宋体" w:eastAsia="宋体" w:cs="宋体"/>
          <w:b w:val="0"/>
          <w:sz w:val="21"/>
          <w:szCs w:val="21"/>
          <w:highlight w:val="none"/>
          <w:vertAlign w:val="superscript"/>
          <w:lang w:val="en-US" w:eastAsia="zh-CN"/>
        </w:rPr>
        <w:fldChar w:fldCharType="separate"/>
      </w:r>
      <w:r>
        <w:rPr>
          <w:rFonts w:hint="eastAsia" w:ascii="宋体" w:hAnsi="宋体" w:eastAsia="宋体" w:cs="宋体"/>
          <w:b w:val="0"/>
          <w:sz w:val="21"/>
          <w:szCs w:val="21"/>
          <w:highlight w:val="none"/>
          <w:vertAlign w:val="superscript"/>
          <w:lang w:val="en-US" w:eastAsia="zh-CN"/>
        </w:rPr>
        <w:t>[37]</w:t>
      </w:r>
      <w:r>
        <w:rPr>
          <w:rFonts w:hint="eastAsia" w:ascii="宋体" w:hAnsi="宋体" w:eastAsia="宋体" w:cs="宋体"/>
          <w:b w:val="0"/>
          <w:sz w:val="21"/>
          <w:szCs w:val="21"/>
          <w:highlight w:val="none"/>
          <w:vertAlign w:val="superscript"/>
          <w:lang w:val="en-US" w:eastAsia="zh-CN"/>
        </w:rPr>
        <w:fldChar w:fldCharType="end"/>
      </w:r>
      <w:r>
        <w:rPr>
          <w:rFonts w:hint="eastAsia" w:ascii="宋体" w:hAnsi="宋体" w:eastAsia="宋体" w:cs="宋体"/>
          <w:b w:val="0"/>
          <w:sz w:val="21"/>
          <w:szCs w:val="21"/>
          <w:highlight w:val="none"/>
          <w:lang w:val="en-US" w:eastAsia="zh-CN"/>
        </w:rPr>
        <w:t>，测算地级市层面的市场化水平，</w:t>
      </w:r>
      <w:r>
        <w:rPr>
          <w:rFonts w:hint="default" w:ascii="宋体" w:hAnsi="宋体" w:eastAsia="宋体" w:cs="宋体"/>
          <w:b w:val="0"/>
          <w:sz w:val="21"/>
          <w:szCs w:val="21"/>
          <w:highlight w:val="none"/>
          <w:lang w:val="en-US" w:eastAsia="zh-CN"/>
        </w:rPr>
        <w:t>考虑到以政策实施后的指标分组可能存在内生性问题，本文均以2015年政策冲击前各城市相应指标的均值为依据进行分组</w:t>
      </w:r>
      <w:r>
        <w:rPr>
          <w:rFonts w:hint="eastAsia" w:ascii="宋体" w:hAnsi="宋体" w:eastAsia="宋体" w:cs="宋体"/>
          <w:b w:val="0"/>
          <w:sz w:val="21"/>
          <w:szCs w:val="21"/>
          <w:highlight w:val="none"/>
          <w:lang w:val="en-US" w:eastAsia="zh-CN"/>
        </w:rPr>
        <w:t>，将</w:t>
      </w:r>
      <w:r>
        <w:rPr>
          <w:rFonts w:hint="default" w:ascii="宋体" w:hAnsi="宋体" w:eastAsia="宋体" w:cs="宋体"/>
          <w:b w:val="0"/>
          <w:sz w:val="21"/>
          <w:szCs w:val="21"/>
          <w:highlight w:val="none"/>
          <w:lang w:val="en-US" w:eastAsia="zh-CN"/>
        </w:rPr>
        <w:t>样本划分为高、低两组；</w:t>
      </w:r>
      <w:r>
        <w:rPr>
          <w:rFonts w:hint="eastAsia" w:ascii="宋体" w:hAnsi="宋体" w:eastAsia="宋体" w:cs="宋体"/>
          <w:b w:val="0"/>
          <w:sz w:val="21"/>
          <w:szCs w:val="21"/>
          <w:highlight w:val="none"/>
          <w:lang w:val="en-US" w:eastAsia="zh-CN"/>
        </w:rPr>
        <w:t>而</w:t>
      </w:r>
      <w:r>
        <w:rPr>
          <w:rFonts w:hint="default" w:ascii="宋体" w:hAnsi="宋体" w:eastAsia="宋体" w:cs="宋体"/>
          <w:b w:val="0"/>
          <w:sz w:val="21"/>
          <w:szCs w:val="21"/>
          <w:highlight w:val="none"/>
          <w:lang w:val="en-US" w:eastAsia="zh-CN"/>
        </w:rPr>
        <w:t>城市层级维度则将上海、南京、杭州、苏州、宁波五个城市划分为核心城市组，其余36个城市划分为非核心城市组。异质性分析结果如表</w:t>
      </w:r>
      <w:r>
        <w:rPr>
          <w:rFonts w:hint="eastAsia" w:ascii="宋体" w:hAnsi="宋体" w:eastAsia="宋体" w:cs="宋体"/>
          <w:b w:val="0"/>
          <w:sz w:val="21"/>
          <w:szCs w:val="21"/>
          <w:highlight w:val="none"/>
          <w:lang w:val="en-US" w:eastAsia="zh-CN"/>
        </w:rPr>
        <w:t>9</w:t>
      </w:r>
      <w:r>
        <w:rPr>
          <w:rFonts w:hint="default" w:ascii="宋体" w:hAnsi="宋体" w:eastAsia="宋体" w:cs="宋体"/>
          <w:b w:val="0"/>
          <w:sz w:val="21"/>
          <w:szCs w:val="21"/>
          <w:highlight w:val="none"/>
          <w:lang w:val="en-US" w:eastAsia="zh-CN"/>
        </w:rPr>
        <w:t>所示。</w:t>
      </w:r>
    </w:p>
    <w:p w14:paraId="00E134CE">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1.市场化水平异质性</w:t>
      </w:r>
    </w:p>
    <w:p w14:paraId="42C61F38">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default"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市场化水平反映了区域创新资源配置的市场化程度与社会资本的可得性，是影响政府引导基金杠杆效应发挥的重要制度环境。表9列（1）和列（2）的回归结果显示，耐心资本对区域创新生态的促进效应在低市场化水平城市中更为显著。原因在于，市场化水平较高的城市金融市场体系较为完善，社会资本能够较顺畅地流向创新领域，政府引导基金的增量投入面临边际效应递减；而市场化水平较低的城市金融市场发育不足、融资渠道单一，政府引导基金能够有效弥补市场失灵，发挥补位作用。</w:t>
      </w:r>
    </w:p>
    <w:p w14:paraId="4F351E31">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2.城市层级异质性</w:t>
      </w:r>
    </w:p>
    <w:p w14:paraId="4CB458D8">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城市层级反映了城市在区域创新体系中的地位和资源集聚能力，直接影响耐心资本的边际效应。表9列（3）和列（4）的回归结果显示，耐心资本</w:t>
      </w:r>
      <w:r>
        <w:rPr>
          <w:rFonts w:hint="eastAsia" w:ascii="宋体" w:hAnsi="宋体" w:eastAsia="宋体" w:cs="宋体"/>
          <w:sz w:val="21"/>
          <w:szCs w:val="21"/>
          <w:lang w:eastAsia="zh-CN"/>
        </w:rPr>
        <w:t>对区域创新生态的促进效应在非核心城市中更为显著。</w:t>
      </w:r>
      <w:r>
        <w:rPr>
          <w:rFonts w:hint="eastAsia" w:ascii="宋体" w:hAnsi="宋体" w:eastAsia="宋体" w:cs="宋体"/>
          <w:b w:val="0"/>
          <w:sz w:val="21"/>
          <w:szCs w:val="21"/>
          <w:highlight w:val="none"/>
          <w:lang w:val="en-US" w:eastAsia="zh-CN"/>
        </w:rPr>
        <w:t>核心城市作为区域创新中心，本身已拥有丰富的创新资源和较强的内生发展动力，政府引导基金的增量投入面临边际效应递减；而非核心城市创新基础相对薄弱，政府引导基金通过直接填补创新资本缺口，能够产生更大的边际贡献，补位效应更为突出。</w:t>
      </w:r>
    </w:p>
    <w:p w14:paraId="367CE8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黑体" w:hAnsi="黑体" w:eastAsia="黑体" w:cs="黑体"/>
          <w:b/>
          <w:bCs w:val="0"/>
          <w:sz w:val="15"/>
          <w:szCs w:val="15"/>
          <w:highlight w:val="none"/>
          <w:lang w:val="en-US" w:eastAsia="zh-CN"/>
        </w:rPr>
      </w:pPr>
      <w:r>
        <w:rPr>
          <w:rFonts w:hint="eastAsia" w:ascii="黑体" w:hAnsi="黑体" w:eastAsia="黑体" w:cs="黑体"/>
          <w:b/>
          <w:bCs w:val="0"/>
          <w:sz w:val="15"/>
          <w:szCs w:val="15"/>
          <w:highlight w:val="none"/>
          <w:lang w:val="en-US" w:eastAsia="zh-CN"/>
        </w:rPr>
        <w:t xml:space="preserve">表9  </w:t>
      </w:r>
      <w:r>
        <w:rPr>
          <w:rFonts w:hint="default" w:ascii="黑体" w:hAnsi="黑体" w:eastAsia="黑体" w:cs="黑体"/>
          <w:b/>
          <w:bCs w:val="0"/>
          <w:sz w:val="15"/>
          <w:szCs w:val="15"/>
          <w:highlight w:val="none"/>
          <w:lang w:val="en-US" w:eastAsia="zh-CN"/>
        </w:rPr>
        <w:t>异质性</w:t>
      </w:r>
      <w:r>
        <w:rPr>
          <w:rFonts w:hint="eastAsia" w:ascii="黑体" w:hAnsi="黑体" w:eastAsia="黑体" w:cs="黑体"/>
          <w:b/>
          <w:bCs w:val="0"/>
          <w:sz w:val="15"/>
          <w:szCs w:val="15"/>
          <w:highlight w:val="none"/>
          <w:lang w:val="en-US" w:eastAsia="zh-CN"/>
        </w:rPr>
        <w:t>结果</w:t>
      </w:r>
    </w:p>
    <w:tbl>
      <w:tblPr>
        <w:tblStyle w:val="2"/>
        <w:tblW w:w="86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4"/>
        <w:gridCol w:w="1748"/>
        <w:gridCol w:w="1522"/>
        <w:gridCol w:w="1784"/>
        <w:gridCol w:w="1730"/>
      </w:tblGrid>
      <w:tr w14:paraId="68D19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1904" w:type="dxa"/>
            <w:vMerge w:val="restart"/>
            <w:tcBorders>
              <w:top w:val="single" w:color="auto" w:sz="12" w:space="0"/>
              <w:left w:val="nil"/>
              <w:right w:val="nil"/>
            </w:tcBorders>
            <w:noWrap w:val="0"/>
            <w:vAlign w:val="top"/>
          </w:tcPr>
          <w:p w14:paraId="36F9D3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Cambria Math" w:hAnsi="Cambria Math" w:eastAsia="宋体" w:cs="宋体"/>
                <w:i/>
                <w:iCs/>
                <w:sz w:val="15"/>
                <w:szCs w:val="15"/>
                <w:highlight w:val="none"/>
                <w:lang w:val="en-US" w:eastAsia="zh-CN"/>
              </w:rPr>
            </w:pPr>
            <w:r>
              <w:rPr>
                <w:rFonts w:hint="eastAsia" w:ascii="Cambria Math" w:hAnsi="Cambria Math" w:eastAsia="宋体" w:cs="宋体"/>
                <w:i w:val="0"/>
                <w:iCs w:val="0"/>
                <w:sz w:val="15"/>
                <w:szCs w:val="15"/>
                <w:highlight w:val="none"/>
                <w:lang w:val="en-US" w:eastAsia="zh-CN"/>
              </w:rPr>
              <w:t>变量</w:t>
            </w:r>
          </w:p>
        </w:tc>
        <w:tc>
          <w:tcPr>
            <w:tcW w:w="3270" w:type="dxa"/>
            <w:gridSpan w:val="2"/>
            <w:tcBorders>
              <w:top w:val="single" w:color="auto" w:sz="12" w:space="0"/>
              <w:left w:val="nil"/>
              <w:bottom w:val="single" w:color="auto" w:sz="6" w:space="0"/>
              <w:right w:val="nil"/>
            </w:tcBorders>
            <w:noWrap w:val="0"/>
            <w:vAlign w:val="top"/>
          </w:tcPr>
          <w:p w14:paraId="67D7C64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lang w:val="en-US" w:eastAsia="zh-CN"/>
              </w:rPr>
              <w:t>市场化水平</w:t>
            </w:r>
          </w:p>
        </w:tc>
        <w:tc>
          <w:tcPr>
            <w:tcW w:w="3514" w:type="dxa"/>
            <w:gridSpan w:val="2"/>
            <w:tcBorders>
              <w:top w:val="single" w:color="auto" w:sz="12" w:space="0"/>
              <w:left w:val="nil"/>
              <w:bottom w:val="single" w:color="auto" w:sz="6" w:space="0"/>
              <w:right w:val="nil"/>
            </w:tcBorders>
            <w:noWrap w:val="0"/>
            <w:vAlign w:val="top"/>
          </w:tcPr>
          <w:p w14:paraId="09DCEC1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rPr>
              <w:t>城市层级</w:t>
            </w:r>
          </w:p>
        </w:tc>
      </w:tr>
      <w:tr w14:paraId="7F89C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1904" w:type="dxa"/>
            <w:vMerge w:val="continue"/>
            <w:tcBorders>
              <w:left w:val="nil"/>
              <w:bottom w:val="single" w:color="auto" w:sz="6" w:space="0"/>
              <w:right w:val="nil"/>
            </w:tcBorders>
            <w:noWrap w:val="0"/>
            <w:vAlign w:val="top"/>
          </w:tcPr>
          <w:p w14:paraId="0E52BE5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Cambria Math" w:hAnsi="Cambria Math" w:eastAsia="宋体" w:cs="宋体"/>
                <w:i/>
                <w:iCs/>
                <w:sz w:val="15"/>
                <w:szCs w:val="15"/>
                <w:highlight w:val="none"/>
              </w:rPr>
            </w:pPr>
          </w:p>
        </w:tc>
        <w:tc>
          <w:tcPr>
            <w:tcW w:w="1748" w:type="dxa"/>
            <w:tcBorders>
              <w:top w:val="single" w:color="auto" w:sz="6" w:space="0"/>
              <w:left w:val="nil"/>
              <w:bottom w:val="single" w:color="auto" w:sz="6" w:space="0"/>
              <w:right w:val="nil"/>
            </w:tcBorders>
            <w:noWrap w:val="0"/>
            <w:vAlign w:val="top"/>
          </w:tcPr>
          <w:p w14:paraId="256DB3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rPr>
              <w:t>高</w:t>
            </w:r>
            <w:r>
              <w:rPr>
                <w:rFonts w:hint="eastAsia" w:ascii="宋体" w:hAnsi="宋体" w:eastAsia="宋体" w:cs="宋体"/>
                <w:i w:val="0"/>
                <w:iCs w:val="0"/>
                <w:sz w:val="15"/>
                <w:szCs w:val="15"/>
                <w:highlight w:val="none"/>
                <w:lang w:eastAsia="zh-CN"/>
              </w:rPr>
              <w:t>（</w:t>
            </w:r>
            <w:r>
              <w:rPr>
                <w:rFonts w:hint="eastAsia" w:ascii="宋体" w:hAnsi="宋体" w:eastAsia="宋体" w:cs="宋体"/>
                <w:i w:val="0"/>
                <w:iCs w:val="0"/>
                <w:sz w:val="15"/>
                <w:szCs w:val="15"/>
                <w:highlight w:val="none"/>
                <w:lang w:val="en-US" w:eastAsia="zh-CN"/>
              </w:rPr>
              <w:t>1）</w:t>
            </w:r>
          </w:p>
        </w:tc>
        <w:tc>
          <w:tcPr>
            <w:tcW w:w="1522" w:type="dxa"/>
            <w:tcBorders>
              <w:top w:val="single" w:color="auto" w:sz="6" w:space="0"/>
              <w:left w:val="nil"/>
              <w:bottom w:val="single" w:color="auto" w:sz="6" w:space="0"/>
              <w:right w:val="nil"/>
            </w:tcBorders>
            <w:noWrap w:val="0"/>
            <w:vAlign w:val="top"/>
          </w:tcPr>
          <w:p w14:paraId="4893C8B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rPr>
              <w:t>低</w:t>
            </w:r>
            <w:r>
              <w:rPr>
                <w:rFonts w:hint="eastAsia" w:ascii="宋体" w:hAnsi="宋体" w:eastAsia="宋体" w:cs="宋体"/>
                <w:i w:val="0"/>
                <w:iCs w:val="0"/>
                <w:sz w:val="15"/>
                <w:szCs w:val="15"/>
                <w:highlight w:val="none"/>
                <w:lang w:eastAsia="zh-CN"/>
              </w:rPr>
              <w:t>（</w:t>
            </w:r>
            <w:r>
              <w:rPr>
                <w:rFonts w:hint="eastAsia" w:ascii="宋体" w:hAnsi="宋体" w:eastAsia="宋体" w:cs="宋体"/>
                <w:i w:val="0"/>
                <w:iCs w:val="0"/>
                <w:sz w:val="15"/>
                <w:szCs w:val="15"/>
                <w:highlight w:val="none"/>
                <w:lang w:val="en-US" w:eastAsia="zh-CN"/>
              </w:rPr>
              <w:t>2）</w:t>
            </w:r>
          </w:p>
        </w:tc>
        <w:tc>
          <w:tcPr>
            <w:tcW w:w="1784" w:type="dxa"/>
            <w:tcBorders>
              <w:top w:val="single" w:color="auto" w:sz="6" w:space="0"/>
              <w:left w:val="nil"/>
              <w:bottom w:val="single" w:color="auto" w:sz="6" w:space="0"/>
              <w:right w:val="nil"/>
            </w:tcBorders>
            <w:noWrap w:val="0"/>
            <w:vAlign w:val="top"/>
          </w:tcPr>
          <w:p w14:paraId="102D80E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lang w:val="en-US" w:eastAsia="zh-CN"/>
              </w:rPr>
              <w:t>核心(3)</w:t>
            </w:r>
          </w:p>
        </w:tc>
        <w:tc>
          <w:tcPr>
            <w:tcW w:w="1730" w:type="dxa"/>
            <w:tcBorders>
              <w:top w:val="single" w:color="auto" w:sz="6" w:space="0"/>
              <w:left w:val="nil"/>
              <w:bottom w:val="single" w:color="auto" w:sz="6" w:space="0"/>
              <w:right w:val="nil"/>
            </w:tcBorders>
            <w:noWrap w:val="0"/>
            <w:vAlign w:val="top"/>
          </w:tcPr>
          <w:p w14:paraId="1A99CFF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lang w:val="en-US" w:eastAsia="zh-CN"/>
              </w:rPr>
              <w:t>非核心(4)</w:t>
            </w:r>
          </w:p>
        </w:tc>
      </w:tr>
      <w:tr w14:paraId="61F48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single" w:color="auto" w:sz="6" w:space="0"/>
              <w:left w:val="nil"/>
              <w:bottom w:val="nil"/>
              <w:right w:val="nil"/>
            </w:tcBorders>
            <w:noWrap w:val="0"/>
            <w:vAlign w:val="top"/>
          </w:tcPr>
          <w:p w14:paraId="5C609A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r>
              <w:rPr>
                <w:rFonts w:hint="default" w:ascii="Times New Roman" w:hAnsi="Times New Roman" w:eastAsia="宋体" w:cs="Times New Roman"/>
                <w:i/>
                <w:iCs/>
                <w:sz w:val="15"/>
                <w:szCs w:val="15"/>
                <w:highlight w:val="none"/>
                <w:lang w:val="en-US" w:eastAsia="zh-CN"/>
              </w:rPr>
              <w:t>D</w:t>
            </w:r>
            <w:r>
              <w:rPr>
                <w:rFonts w:hint="default" w:ascii="Times New Roman" w:hAnsi="Times New Roman" w:eastAsia="宋体" w:cs="Times New Roman"/>
                <w:i/>
                <w:iCs/>
                <w:sz w:val="15"/>
                <w:szCs w:val="15"/>
                <w:highlight w:val="none"/>
              </w:rPr>
              <w:t>id_cont</w:t>
            </w:r>
          </w:p>
        </w:tc>
        <w:tc>
          <w:tcPr>
            <w:tcW w:w="1748" w:type="dxa"/>
            <w:tcBorders>
              <w:top w:val="single" w:color="auto" w:sz="6" w:space="0"/>
              <w:left w:val="nil"/>
              <w:bottom w:val="nil"/>
              <w:right w:val="nil"/>
            </w:tcBorders>
            <w:noWrap w:val="0"/>
            <w:vAlign w:val="top"/>
          </w:tcPr>
          <w:p w14:paraId="57F7FB8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0.0029*</w:t>
            </w:r>
          </w:p>
        </w:tc>
        <w:tc>
          <w:tcPr>
            <w:tcW w:w="1522" w:type="dxa"/>
            <w:tcBorders>
              <w:top w:val="single" w:color="auto" w:sz="6" w:space="0"/>
              <w:left w:val="nil"/>
              <w:bottom w:val="nil"/>
              <w:right w:val="nil"/>
            </w:tcBorders>
            <w:noWrap w:val="0"/>
            <w:vAlign w:val="top"/>
          </w:tcPr>
          <w:p w14:paraId="222888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0.0042**</w:t>
            </w:r>
          </w:p>
        </w:tc>
        <w:tc>
          <w:tcPr>
            <w:tcW w:w="1784" w:type="dxa"/>
            <w:tcBorders>
              <w:top w:val="single" w:color="auto" w:sz="6" w:space="0"/>
              <w:left w:val="nil"/>
              <w:bottom w:val="nil"/>
              <w:right w:val="nil"/>
            </w:tcBorders>
            <w:shd w:val="clear" w:color="auto" w:fill="auto"/>
            <w:noWrap w:val="0"/>
            <w:vAlign w:val="top"/>
          </w:tcPr>
          <w:p w14:paraId="1B02D4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-0.0011</w:t>
            </w:r>
          </w:p>
        </w:tc>
        <w:tc>
          <w:tcPr>
            <w:tcW w:w="1730" w:type="dxa"/>
            <w:tcBorders>
              <w:top w:val="single" w:color="auto" w:sz="6" w:space="0"/>
              <w:left w:val="nil"/>
              <w:bottom w:val="nil"/>
              <w:right w:val="nil"/>
            </w:tcBorders>
            <w:shd w:val="clear" w:color="auto" w:fill="auto"/>
            <w:noWrap w:val="0"/>
            <w:vAlign w:val="top"/>
          </w:tcPr>
          <w:p w14:paraId="5D8BC7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0.0040***</w:t>
            </w:r>
          </w:p>
        </w:tc>
      </w:tr>
      <w:tr w14:paraId="13A75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nil"/>
              <w:left w:val="nil"/>
              <w:bottom w:val="nil"/>
              <w:right w:val="nil"/>
            </w:tcBorders>
            <w:noWrap w:val="0"/>
            <w:vAlign w:val="top"/>
          </w:tcPr>
          <w:p w14:paraId="7AF4175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p>
        </w:tc>
        <w:tc>
          <w:tcPr>
            <w:tcW w:w="1748" w:type="dxa"/>
            <w:tcBorders>
              <w:top w:val="nil"/>
              <w:left w:val="nil"/>
              <w:bottom w:val="nil"/>
              <w:right w:val="nil"/>
            </w:tcBorders>
            <w:noWrap w:val="0"/>
            <w:vAlign w:val="top"/>
          </w:tcPr>
          <w:p w14:paraId="631369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(0.0015)</w:t>
            </w:r>
          </w:p>
        </w:tc>
        <w:tc>
          <w:tcPr>
            <w:tcW w:w="1522" w:type="dxa"/>
            <w:tcBorders>
              <w:top w:val="nil"/>
              <w:left w:val="nil"/>
              <w:bottom w:val="nil"/>
              <w:right w:val="nil"/>
            </w:tcBorders>
            <w:noWrap w:val="0"/>
            <w:vAlign w:val="top"/>
          </w:tcPr>
          <w:p w14:paraId="1CB18EC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(0.0018)</w:t>
            </w:r>
          </w:p>
        </w:tc>
        <w:tc>
          <w:tcPr>
            <w:tcW w:w="1784" w:type="dxa"/>
            <w:tcBorders>
              <w:top w:val="nil"/>
              <w:left w:val="nil"/>
              <w:bottom w:val="nil"/>
              <w:right w:val="nil"/>
            </w:tcBorders>
            <w:shd w:val="clear" w:color="auto" w:fill="auto"/>
            <w:noWrap w:val="0"/>
            <w:vAlign w:val="top"/>
          </w:tcPr>
          <w:p w14:paraId="5CA8ED8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(0.0014)</w:t>
            </w:r>
          </w:p>
        </w:tc>
        <w:tc>
          <w:tcPr>
            <w:tcW w:w="1730" w:type="dxa"/>
            <w:tcBorders>
              <w:top w:val="nil"/>
              <w:left w:val="nil"/>
              <w:bottom w:val="nil"/>
              <w:right w:val="nil"/>
            </w:tcBorders>
            <w:shd w:val="clear" w:color="auto" w:fill="auto"/>
            <w:noWrap w:val="0"/>
            <w:vAlign w:val="top"/>
          </w:tcPr>
          <w:p w14:paraId="2A15B5F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(0.0010)</w:t>
            </w:r>
          </w:p>
        </w:tc>
      </w:tr>
      <w:tr w14:paraId="605D1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nil"/>
              <w:left w:val="nil"/>
              <w:bottom w:val="nil"/>
              <w:right w:val="nil"/>
            </w:tcBorders>
            <w:shd w:val="clear" w:color="auto" w:fill="auto"/>
            <w:noWrap w:val="0"/>
            <w:vAlign w:val="top"/>
          </w:tcPr>
          <w:p w14:paraId="7DE8518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lang w:val="en-US" w:eastAsia="zh-CN" w:bidi="ar-SA"/>
              </w:rPr>
            </w:pPr>
            <w:r>
              <w:rPr>
                <w:rFonts w:hint="eastAsia" w:ascii="Times New Roman" w:hAnsi="Times New Roman" w:eastAsia="宋体" w:cs="Times New Roman"/>
                <w:i w:val="0"/>
                <w:iCs w:val="0"/>
                <w:sz w:val="15"/>
                <w:szCs w:val="15"/>
                <w:highlight w:val="none"/>
                <w:lang w:val="en-US" w:eastAsia="zh-CN" w:bidi="ar-SA"/>
              </w:rPr>
              <w:t>控制变量</w:t>
            </w:r>
          </w:p>
        </w:tc>
        <w:tc>
          <w:tcPr>
            <w:tcW w:w="1748" w:type="dxa"/>
            <w:tcBorders>
              <w:top w:val="nil"/>
              <w:left w:val="nil"/>
              <w:bottom w:val="nil"/>
              <w:right w:val="nil"/>
            </w:tcBorders>
            <w:shd w:val="clear" w:color="auto" w:fill="auto"/>
            <w:noWrap w:val="0"/>
            <w:vAlign w:val="top"/>
          </w:tcPr>
          <w:p w14:paraId="530E12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lang w:val="en-US" w:eastAsia="zh-CN"/>
              </w:rPr>
              <w:t>是</w:t>
            </w:r>
          </w:p>
        </w:tc>
        <w:tc>
          <w:tcPr>
            <w:tcW w:w="1522" w:type="dxa"/>
            <w:tcBorders>
              <w:top w:val="nil"/>
              <w:left w:val="nil"/>
              <w:bottom w:val="nil"/>
              <w:right w:val="nil"/>
            </w:tcBorders>
            <w:shd w:val="clear" w:color="auto" w:fill="auto"/>
            <w:noWrap w:val="0"/>
            <w:vAlign w:val="top"/>
          </w:tcPr>
          <w:p w14:paraId="409A49B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lang w:val="en-US" w:eastAsia="zh-CN"/>
              </w:rPr>
              <w:t>是</w:t>
            </w:r>
          </w:p>
        </w:tc>
        <w:tc>
          <w:tcPr>
            <w:tcW w:w="1784" w:type="dxa"/>
            <w:tcBorders>
              <w:top w:val="nil"/>
              <w:left w:val="nil"/>
              <w:bottom w:val="nil"/>
              <w:right w:val="nil"/>
            </w:tcBorders>
            <w:shd w:val="clear" w:color="auto" w:fill="auto"/>
            <w:noWrap w:val="0"/>
            <w:vAlign w:val="top"/>
          </w:tcPr>
          <w:p w14:paraId="5B18B3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lang w:val="en-US" w:eastAsia="zh-CN"/>
              </w:rPr>
              <w:t>是</w:t>
            </w:r>
          </w:p>
        </w:tc>
        <w:tc>
          <w:tcPr>
            <w:tcW w:w="1730" w:type="dxa"/>
            <w:tcBorders>
              <w:top w:val="nil"/>
              <w:left w:val="nil"/>
              <w:bottom w:val="nil"/>
              <w:right w:val="nil"/>
            </w:tcBorders>
            <w:shd w:val="clear" w:color="auto" w:fill="auto"/>
            <w:noWrap w:val="0"/>
            <w:vAlign w:val="top"/>
          </w:tcPr>
          <w:p w14:paraId="585FB8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lang w:val="en-US" w:eastAsia="zh-CN"/>
              </w:rPr>
              <w:t>是</w:t>
            </w:r>
          </w:p>
        </w:tc>
      </w:tr>
      <w:tr w14:paraId="2606C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nil"/>
              <w:left w:val="nil"/>
              <w:bottom w:val="nil"/>
              <w:right w:val="nil"/>
            </w:tcBorders>
            <w:shd w:val="clear" w:color="auto" w:fill="auto"/>
            <w:noWrap w:val="0"/>
            <w:vAlign w:val="top"/>
          </w:tcPr>
          <w:p w14:paraId="6A0D503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城市固定效应</w:t>
            </w:r>
          </w:p>
        </w:tc>
        <w:tc>
          <w:tcPr>
            <w:tcW w:w="1748" w:type="dxa"/>
            <w:tcBorders>
              <w:top w:val="nil"/>
              <w:left w:val="nil"/>
              <w:bottom w:val="nil"/>
              <w:right w:val="nil"/>
            </w:tcBorders>
            <w:noWrap w:val="0"/>
            <w:vAlign w:val="top"/>
          </w:tcPr>
          <w:p w14:paraId="082245D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522" w:type="dxa"/>
            <w:tcBorders>
              <w:top w:val="nil"/>
              <w:left w:val="nil"/>
              <w:bottom w:val="nil"/>
              <w:right w:val="nil"/>
            </w:tcBorders>
            <w:noWrap w:val="0"/>
            <w:vAlign w:val="top"/>
          </w:tcPr>
          <w:p w14:paraId="66D74FE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784" w:type="dxa"/>
            <w:tcBorders>
              <w:top w:val="nil"/>
              <w:left w:val="nil"/>
              <w:bottom w:val="nil"/>
              <w:right w:val="nil"/>
            </w:tcBorders>
            <w:shd w:val="clear" w:color="auto" w:fill="auto"/>
            <w:noWrap w:val="0"/>
            <w:vAlign w:val="top"/>
          </w:tcPr>
          <w:p w14:paraId="76079AD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730" w:type="dxa"/>
            <w:tcBorders>
              <w:top w:val="nil"/>
              <w:left w:val="nil"/>
              <w:bottom w:val="nil"/>
              <w:right w:val="nil"/>
            </w:tcBorders>
            <w:shd w:val="clear" w:color="auto" w:fill="auto"/>
            <w:noWrap w:val="0"/>
            <w:vAlign w:val="top"/>
          </w:tcPr>
          <w:p w14:paraId="1480F6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r>
      <w:tr w14:paraId="7E33E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nil"/>
              <w:left w:val="nil"/>
              <w:bottom w:val="nil"/>
              <w:right w:val="nil"/>
            </w:tcBorders>
            <w:shd w:val="clear" w:color="auto" w:fill="auto"/>
            <w:noWrap w:val="0"/>
            <w:vAlign w:val="top"/>
          </w:tcPr>
          <w:p w14:paraId="7E65928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iCs/>
                <w:sz w:val="15"/>
                <w:szCs w:val="15"/>
                <w:highlight w:val="none"/>
                <w:lang w:val="en-US" w:eastAsia="en-US" w:bidi="ar-SA"/>
              </w:rPr>
            </w:pPr>
            <w:r>
              <w:rPr>
                <w:rFonts w:ascii="宋体" w:hAnsi="宋体" w:eastAsia="宋体" w:cs="宋体"/>
                <w:sz w:val="15"/>
                <w:szCs w:val="15"/>
                <w:highlight w:val="none"/>
              </w:rPr>
              <w:t>年份固定效应</w:t>
            </w:r>
          </w:p>
        </w:tc>
        <w:tc>
          <w:tcPr>
            <w:tcW w:w="1748" w:type="dxa"/>
            <w:tcBorders>
              <w:top w:val="nil"/>
              <w:left w:val="nil"/>
              <w:bottom w:val="nil"/>
              <w:right w:val="nil"/>
            </w:tcBorders>
            <w:noWrap w:val="0"/>
            <w:vAlign w:val="top"/>
          </w:tcPr>
          <w:p w14:paraId="3F5252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522" w:type="dxa"/>
            <w:tcBorders>
              <w:top w:val="nil"/>
              <w:left w:val="nil"/>
              <w:bottom w:val="nil"/>
              <w:right w:val="nil"/>
            </w:tcBorders>
            <w:noWrap w:val="0"/>
            <w:vAlign w:val="top"/>
          </w:tcPr>
          <w:p w14:paraId="15B624D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784" w:type="dxa"/>
            <w:tcBorders>
              <w:top w:val="nil"/>
              <w:left w:val="nil"/>
              <w:bottom w:val="nil"/>
              <w:right w:val="nil"/>
            </w:tcBorders>
            <w:shd w:val="clear" w:color="auto" w:fill="auto"/>
            <w:noWrap w:val="0"/>
            <w:vAlign w:val="top"/>
          </w:tcPr>
          <w:p w14:paraId="5B5CE1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c>
          <w:tcPr>
            <w:tcW w:w="1730" w:type="dxa"/>
            <w:tcBorders>
              <w:top w:val="nil"/>
              <w:left w:val="nil"/>
              <w:bottom w:val="nil"/>
              <w:right w:val="nil"/>
            </w:tcBorders>
            <w:shd w:val="clear" w:color="auto" w:fill="auto"/>
            <w:noWrap w:val="0"/>
            <w:vAlign w:val="top"/>
          </w:tcPr>
          <w:p w14:paraId="1CBD5FE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rPr>
            </w:pPr>
            <w:r>
              <w:rPr>
                <w:rFonts w:hint="eastAsia" w:ascii="宋体" w:hAnsi="宋体" w:eastAsia="宋体" w:cs="宋体"/>
                <w:i w:val="0"/>
                <w:iCs w:val="0"/>
                <w:sz w:val="15"/>
                <w:szCs w:val="15"/>
                <w:highlight w:val="none"/>
                <w:lang w:val="en-US" w:eastAsia="zh-CN"/>
              </w:rPr>
              <w:t>是</w:t>
            </w:r>
          </w:p>
        </w:tc>
      </w:tr>
      <w:tr w14:paraId="3002A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nil"/>
              <w:left w:val="nil"/>
              <w:bottom w:val="nil"/>
              <w:right w:val="nil"/>
            </w:tcBorders>
            <w:noWrap w:val="0"/>
            <w:vAlign w:val="top"/>
          </w:tcPr>
          <w:p w14:paraId="79D3554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w:r>
              <w:rPr>
                <w:rFonts w:hint="default" w:ascii="Times New Roman" w:hAnsi="Times New Roman" w:eastAsia="宋体" w:cs="Times New Roman"/>
                <w:i/>
                <w:iCs/>
                <w:sz w:val="15"/>
                <w:szCs w:val="15"/>
                <w:highlight w:val="none"/>
              </w:rPr>
              <w:t>N</w:t>
            </w:r>
          </w:p>
        </w:tc>
        <w:tc>
          <w:tcPr>
            <w:tcW w:w="1748" w:type="dxa"/>
            <w:tcBorders>
              <w:top w:val="nil"/>
              <w:left w:val="nil"/>
              <w:bottom w:val="nil"/>
              <w:right w:val="nil"/>
            </w:tcBorders>
            <w:noWrap w:val="0"/>
            <w:vAlign w:val="top"/>
          </w:tcPr>
          <w:p w14:paraId="67EFD2F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300</w:t>
            </w:r>
          </w:p>
        </w:tc>
        <w:tc>
          <w:tcPr>
            <w:tcW w:w="1522" w:type="dxa"/>
            <w:tcBorders>
              <w:top w:val="nil"/>
              <w:left w:val="nil"/>
              <w:bottom w:val="nil"/>
              <w:right w:val="nil"/>
            </w:tcBorders>
            <w:noWrap w:val="0"/>
            <w:vAlign w:val="top"/>
          </w:tcPr>
          <w:p w14:paraId="040E2D2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315</w:t>
            </w:r>
          </w:p>
        </w:tc>
        <w:tc>
          <w:tcPr>
            <w:tcW w:w="1784" w:type="dxa"/>
            <w:tcBorders>
              <w:top w:val="nil"/>
              <w:left w:val="nil"/>
              <w:bottom w:val="nil"/>
              <w:right w:val="nil"/>
            </w:tcBorders>
            <w:shd w:val="clear" w:color="auto" w:fill="auto"/>
            <w:noWrap w:val="0"/>
            <w:vAlign w:val="top"/>
          </w:tcPr>
          <w:p w14:paraId="4B92B7E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lang w:val="en-US" w:eastAsia="zh-CN"/>
              </w:rPr>
              <w:t>75</w:t>
            </w:r>
          </w:p>
        </w:tc>
        <w:tc>
          <w:tcPr>
            <w:tcW w:w="1730" w:type="dxa"/>
            <w:tcBorders>
              <w:top w:val="nil"/>
              <w:left w:val="nil"/>
              <w:bottom w:val="nil"/>
              <w:right w:val="nil"/>
            </w:tcBorders>
            <w:shd w:val="clear" w:color="auto" w:fill="auto"/>
            <w:noWrap w:val="0"/>
            <w:vAlign w:val="top"/>
          </w:tcPr>
          <w:p w14:paraId="1D6BC55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lang w:val="en-US" w:eastAsia="zh-CN"/>
              </w:rPr>
              <w:t>540</w:t>
            </w:r>
          </w:p>
        </w:tc>
      </w:tr>
      <w:tr w14:paraId="795DE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nil"/>
              <w:left w:val="nil"/>
              <w:bottom w:val="nil"/>
              <w:right w:val="nil"/>
            </w:tcBorders>
            <w:noWrap w:val="0"/>
            <w:vAlign w:val="top"/>
          </w:tcPr>
          <w:p w14:paraId="4ECB689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sty m:val="p"/>
                  </m:rPr>
                  <w:rPr>
                    <w:rFonts w:hint="eastAsia" w:ascii="Times New Roman" w:hAnsi="Times New Roman" w:eastAsia="宋体" w:cs="Times New Roman"/>
                    <w:sz w:val="15"/>
                    <w:szCs w:val="15"/>
                    <w:highlight w:val="none"/>
                    <w:lang w:val="en-US" w:eastAsia="zh-CN"/>
                  </w:rPr>
                  <m:t>组内</m:t>
                </m:r>
                <m:sSup>
                  <m:sSupPr>
                    <m:ctrlPr>
                      <w:rPr>
                        <w:rFonts w:hint="default" w:ascii="Cambria Math" w:hAnsi="Cambria Math" w:eastAsia="宋体" w:cs="Times New Roman"/>
                        <w:i/>
                        <w:iCs/>
                        <w:sz w:val="15"/>
                        <w:szCs w:val="15"/>
                        <w:highlight w:val="none"/>
                      </w:rPr>
                    </m:ctrlPr>
                  </m:sSupPr>
                  <m:e>
                    <m:r>
                      <m:rPr>
                        <m:nor/>
                      </m:rPr>
                      <w:rPr>
                        <w:rFonts w:hint="default" w:ascii="Times New Roman" w:hAnsi="Times New Roman" w:eastAsia="宋体" w:cs="Times New Roman"/>
                        <w:i/>
                        <w:iCs/>
                        <w:sz w:val="15"/>
                        <w:szCs w:val="15"/>
                        <w:highlight w:val="none"/>
                      </w:rPr>
                      <m:t>R</m:t>
                    </m:r>
                    <m:ctrlPr>
                      <w:rPr>
                        <w:rFonts w:hint="default" w:ascii="Cambria Math" w:hAnsi="Cambria Math" w:eastAsia="宋体" w:cs="Times New Roman"/>
                        <w:i/>
                        <w:iCs/>
                        <w:sz w:val="15"/>
                        <w:szCs w:val="15"/>
                        <w:highlight w:val="none"/>
                      </w:rPr>
                    </m:ctrlPr>
                  </m:e>
                  <m:sup>
                    <m:r>
                      <m:rPr>
                        <m:nor/>
                        <m:sty m:val="p"/>
                      </m:rPr>
                      <w:rPr>
                        <w:rFonts w:hint="default" w:ascii="Times New Roman" w:hAnsi="Times New Roman" w:eastAsia="宋体" w:cs="Times New Roman"/>
                        <w:b w:val="0"/>
                        <w:i w:val="0"/>
                        <w:iCs/>
                        <w:sz w:val="15"/>
                        <w:szCs w:val="15"/>
                        <w:highlight w:val="none"/>
                      </w:rPr>
                      <m:t>2</m:t>
                    </m:r>
                    <m:ctrlPr>
                      <w:rPr>
                        <w:rFonts w:hint="default" w:ascii="Cambria Math" w:hAnsi="Cambria Math" w:eastAsia="宋体" w:cs="Times New Roman"/>
                        <w:i/>
                        <w:iCs/>
                        <w:sz w:val="15"/>
                        <w:szCs w:val="15"/>
                        <w:highlight w:val="none"/>
                      </w:rPr>
                    </m:ctrlPr>
                  </m:sup>
                </m:sSup>
              </m:oMath>
            </m:oMathPara>
          </w:p>
        </w:tc>
        <w:tc>
          <w:tcPr>
            <w:tcW w:w="1748" w:type="dxa"/>
            <w:tcBorders>
              <w:top w:val="nil"/>
              <w:left w:val="nil"/>
              <w:bottom w:val="nil"/>
              <w:right w:val="nil"/>
            </w:tcBorders>
            <w:shd w:val="clear" w:color="auto" w:fill="auto"/>
            <w:noWrap w:val="0"/>
            <w:vAlign w:val="top"/>
          </w:tcPr>
          <w:p w14:paraId="0D54BB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lang w:val="en-US" w:eastAsia="zh-CN"/>
              </w:rPr>
              <w:t>0.8257</w:t>
            </w:r>
          </w:p>
        </w:tc>
        <w:tc>
          <w:tcPr>
            <w:tcW w:w="1522" w:type="dxa"/>
            <w:tcBorders>
              <w:top w:val="nil"/>
              <w:left w:val="nil"/>
              <w:bottom w:val="nil"/>
              <w:right w:val="nil"/>
            </w:tcBorders>
            <w:shd w:val="clear" w:color="auto" w:fill="auto"/>
            <w:noWrap w:val="0"/>
            <w:vAlign w:val="top"/>
          </w:tcPr>
          <w:p w14:paraId="58E6B42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default" w:ascii="宋体" w:hAnsi="宋体" w:eastAsia="宋体" w:cs="宋体"/>
                <w:i w:val="0"/>
                <w:iCs w:val="0"/>
                <w:sz w:val="15"/>
                <w:szCs w:val="15"/>
                <w:highlight w:val="none"/>
                <w:lang w:val="en-US" w:eastAsia="zh-CN"/>
              </w:rPr>
              <w:t>0.7144</w:t>
            </w:r>
          </w:p>
        </w:tc>
        <w:tc>
          <w:tcPr>
            <w:tcW w:w="1784" w:type="dxa"/>
            <w:tcBorders>
              <w:top w:val="nil"/>
              <w:left w:val="nil"/>
              <w:bottom w:val="nil"/>
              <w:right w:val="nil"/>
            </w:tcBorders>
            <w:shd w:val="clear" w:color="auto" w:fill="auto"/>
            <w:noWrap w:val="0"/>
            <w:vAlign w:val="top"/>
          </w:tcPr>
          <w:p w14:paraId="4A94C6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0.9698</w:t>
            </w:r>
          </w:p>
        </w:tc>
        <w:tc>
          <w:tcPr>
            <w:tcW w:w="1730" w:type="dxa"/>
            <w:tcBorders>
              <w:top w:val="nil"/>
              <w:left w:val="nil"/>
              <w:bottom w:val="nil"/>
              <w:right w:val="nil"/>
            </w:tcBorders>
            <w:shd w:val="clear" w:color="auto" w:fill="auto"/>
            <w:noWrap w:val="0"/>
            <w:vAlign w:val="top"/>
          </w:tcPr>
          <w:p w14:paraId="73BDF93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en-US"/>
              </w:rPr>
            </w:pPr>
            <w:r>
              <w:rPr>
                <w:rFonts w:hint="eastAsia" w:ascii="宋体" w:hAnsi="宋体" w:eastAsia="宋体" w:cs="宋体"/>
                <w:i w:val="0"/>
                <w:iCs w:val="0"/>
                <w:sz w:val="15"/>
                <w:szCs w:val="15"/>
                <w:highlight w:val="none"/>
              </w:rPr>
              <w:t>0.7933</w:t>
            </w:r>
          </w:p>
        </w:tc>
      </w:tr>
      <w:tr w14:paraId="2A387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4" w:type="dxa"/>
            <w:tcBorders>
              <w:top w:val="nil"/>
              <w:left w:val="nil"/>
              <w:bottom w:val="single" w:color="auto" w:sz="12" w:space="0"/>
              <w:right w:val="nil"/>
            </w:tcBorders>
            <w:noWrap w:val="0"/>
            <w:vAlign w:val="top"/>
          </w:tcPr>
          <w:p w14:paraId="1D54FDD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i/>
                <w:iCs/>
                <w:sz w:val="15"/>
                <w:szCs w:val="15"/>
                <w:highlight w:val="none"/>
              </w:rPr>
            </w:pPr>
            <m:oMathPara>
              <m:oMath>
                <m:r>
                  <m:rPr>
                    <m:sty m:val="p"/>
                  </m:rPr>
                  <w:rPr>
                    <w:rFonts w:hint="eastAsia" w:ascii="Times New Roman" w:hAnsi="Times New Roman" w:eastAsia="宋体" w:cs="Times New Roman"/>
                    <w:sz w:val="15"/>
                    <w:szCs w:val="15"/>
                    <w:highlight w:val="none"/>
                    <w:lang w:val="en-US" w:eastAsia="zh-CN"/>
                  </w:rPr>
                  <m:t>组间</m:t>
                </m:r>
                <m:sSup>
                  <m:sSupPr>
                    <m:ctrlPr>
                      <w:rPr>
                        <w:rFonts w:hint="default" w:ascii="Cambria Math" w:hAnsi="Cambria Math" w:eastAsia="宋体" w:cs="Times New Roman"/>
                        <w:i/>
                        <w:iCs/>
                        <w:sz w:val="15"/>
                        <w:szCs w:val="15"/>
                        <w:highlight w:val="none"/>
                      </w:rPr>
                    </m:ctrlPr>
                  </m:sSupPr>
                  <m:e>
                    <m:r>
                      <m:rPr>
                        <m:nor/>
                      </m:rPr>
                      <w:rPr>
                        <w:rFonts w:hint="default" w:ascii="Times New Roman" w:hAnsi="Times New Roman" w:eastAsia="宋体" w:cs="Times New Roman"/>
                        <w:i/>
                        <w:iCs/>
                        <w:sz w:val="15"/>
                        <w:szCs w:val="15"/>
                        <w:highlight w:val="none"/>
                      </w:rPr>
                      <m:t>R</m:t>
                    </m:r>
                    <m:ctrlPr>
                      <w:rPr>
                        <w:rFonts w:hint="default" w:ascii="Cambria Math" w:hAnsi="Cambria Math" w:eastAsia="宋体" w:cs="Times New Roman"/>
                        <w:i/>
                        <w:iCs/>
                        <w:sz w:val="15"/>
                        <w:szCs w:val="15"/>
                        <w:highlight w:val="none"/>
                      </w:rPr>
                    </m:ctrlPr>
                  </m:e>
                  <m:sup>
                    <m:r>
                      <m:rPr>
                        <m:nor/>
                        <m:sty m:val="p"/>
                      </m:rPr>
                      <w:rPr>
                        <w:rFonts w:hint="default" w:ascii="Times New Roman" w:hAnsi="Times New Roman" w:eastAsia="宋体" w:cs="Times New Roman"/>
                        <w:b w:val="0"/>
                        <w:i w:val="0"/>
                        <w:iCs/>
                        <w:sz w:val="15"/>
                        <w:szCs w:val="15"/>
                        <w:highlight w:val="none"/>
                      </w:rPr>
                      <m:t>2</m:t>
                    </m:r>
                    <m:ctrlPr>
                      <w:rPr>
                        <w:rFonts w:hint="default" w:ascii="Cambria Math" w:hAnsi="Cambria Math" w:eastAsia="宋体" w:cs="Times New Roman"/>
                        <w:i/>
                        <w:iCs/>
                        <w:sz w:val="15"/>
                        <w:szCs w:val="15"/>
                        <w:highlight w:val="none"/>
                      </w:rPr>
                    </m:ctrlPr>
                  </m:sup>
                </m:sSup>
              </m:oMath>
            </m:oMathPara>
          </w:p>
        </w:tc>
        <w:tc>
          <w:tcPr>
            <w:tcW w:w="1748" w:type="dxa"/>
            <w:tcBorders>
              <w:top w:val="nil"/>
              <w:left w:val="nil"/>
              <w:bottom w:val="single" w:color="auto" w:sz="12" w:space="0"/>
              <w:right w:val="nil"/>
            </w:tcBorders>
            <w:shd w:val="clear" w:color="auto" w:fill="auto"/>
            <w:noWrap w:val="0"/>
            <w:vAlign w:val="top"/>
          </w:tcPr>
          <w:p w14:paraId="2F65325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0.6183</w:t>
            </w:r>
          </w:p>
        </w:tc>
        <w:tc>
          <w:tcPr>
            <w:tcW w:w="1522" w:type="dxa"/>
            <w:tcBorders>
              <w:top w:val="nil"/>
              <w:left w:val="nil"/>
              <w:bottom w:val="single" w:color="auto" w:sz="12" w:space="0"/>
              <w:right w:val="nil"/>
            </w:tcBorders>
            <w:shd w:val="clear" w:color="auto" w:fill="auto"/>
            <w:noWrap w:val="0"/>
            <w:vAlign w:val="top"/>
          </w:tcPr>
          <w:p w14:paraId="7C5881B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default" w:ascii="宋体" w:hAnsi="宋体" w:eastAsia="宋体" w:cs="宋体"/>
                <w:i w:val="0"/>
                <w:iCs w:val="0"/>
                <w:sz w:val="15"/>
                <w:szCs w:val="15"/>
                <w:highlight w:val="none"/>
                <w:lang w:val="en-US" w:eastAsia="zh-CN"/>
              </w:rPr>
              <w:t>0.6379</w:t>
            </w:r>
          </w:p>
        </w:tc>
        <w:tc>
          <w:tcPr>
            <w:tcW w:w="1784" w:type="dxa"/>
            <w:tcBorders>
              <w:top w:val="nil"/>
              <w:left w:val="nil"/>
              <w:bottom w:val="single" w:color="auto" w:sz="12" w:space="0"/>
              <w:right w:val="nil"/>
            </w:tcBorders>
            <w:shd w:val="clear" w:color="auto" w:fill="auto"/>
            <w:noWrap w:val="0"/>
            <w:vAlign w:val="top"/>
          </w:tcPr>
          <w:p w14:paraId="2BEE690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rPr>
              <w:t>0.7476</w:t>
            </w:r>
          </w:p>
        </w:tc>
        <w:tc>
          <w:tcPr>
            <w:tcW w:w="1730" w:type="dxa"/>
            <w:tcBorders>
              <w:top w:val="nil"/>
              <w:left w:val="nil"/>
              <w:bottom w:val="single" w:color="auto" w:sz="12" w:space="0"/>
              <w:right w:val="nil"/>
            </w:tcBorders>
            <w:shd w:val="clear" w:color="auto" w:fill="auto"/>
            <w:noWrap w:val="0"/>
            <w:vAlign w:val="top"/>
          </w:tcPr>
          <w:p w14:paraId="7A033F2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i w:val="0"/>
                <w:iCs w:val="0"/>
                <w:sz w:val="15"/>
                <w:szCs w:val="15"/>
                <w:highlight w:val="none"/>
                <w:lang w:val="en-US" w:eastAsia="zh-CN"/>
              </w:rPr>
            </w:pPr>
            <w:r>
              <w:rPr>
                <w:rFonts w:hint="eastAsia" w:ascii="宋体" w:hAnsi="宋体" w:eastAsia="宋体" w:cs="宋体"/>
                <w:i w:val="0"/>
                <w:iCs w:val="0"/>
                <w:sz w:val="15"/>
                <w:szCs w:val="15"/>
                <w:highlight w:val="none"/>
              </w:rPr>
              <w:t>0.5761</w:t>
            </w:r>
          </w:p>
        </w:tc>
      </w:tr>
    </w:tbl>
    <w:p w14:paraId="2EEF6E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楷体" w:hAnsi="楷体" w:eastAsia="楷体" w:cs="楷体"/>
          <w:sz w:val="28"/>
          <w:szCs w:val="28"/>
          <w:highlight w:val="none"/>
        </w:rPr>
      </w:pPr>
      <w:r>
        <w:rPr>
          <w:rFonts w:hint="eastAsia" w:ascii="楷体" w:hAnsi="楷体" w:eastAsia="楷体" w:cs="楷体"/>
          <w:sz w:val="28"/>
          <w:szCs w:val="28"/>
          <w:highlight w:val="none"/>
          <w:lang w:val="en-US" w:eastAsia="zh-CN"/>
        </w:rPr>
        <w:t>六</w:t>
      </w:r>
      <w:r>
        <w:rPr>
          <w:rFonts w:hint="eastAsia" w:ascii="楷体" w:hAnsi="楷体" w:eastAsia="楷体" w:cs="楷体"/>
          <w:sz w:val="28"/>
          <w:szCs w:val="28"/>
          <w:highlight w:val="none"/>
        </w:rPr>
        <w:t>、结论与建议</w:t>
      </w:r>
    </w:p>
    <w:p w14:paraId="7BCC1766">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本文构建“创新主体-资源配置-要素流动-创新韧性”四维一体化区域创新生态评价体系，考察了耐心资本对区域创新生态的影响效应、作用机制与异质性特征。结果发现：</w:t>
      </w:r>
    </w:p>
    <w:p w14:paraId="6BEC64F0">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bidi="ar-SA"/>
        </w:rPr>
        <w:t>（1）</w:t>
      </w:r>
      <w:r>
        <w:rPr>
          <w:rFonts w:hint="eastAsia" w:ascii="宋体" w:hAnsi="宋体" w:eastAsia="宋体" w:cs="宋体"/>
          <w:b w:val="0"/>
          <w:sz w:val="21"/>
          <w:szCs w:val="21"/>
          <w:highlight w:val="none"/>
          <w:lang w:val="en-US" w:eastAsia="zh-CN"/>
        </w:rPr>
        <w:t>耐心资本对区域创新生态具有显著促进作用。连续强度DID系数在1%水平上显著为正，经过平行趋势、安慰剂、工具变量、替换被解释变量、剔除核心城市等一系列稳健性检验后依然成立。多期滞后检验进一步发现，政策效应具有持续性，滞后1—3期系数均显著为正，体现了耐心资本的长期投资特征。</w:t>
      </w:r>
    </w:p>
    <w:p w14:paraId="6BA19CA6">
      <w:pPr>
        <w:keepNext w:val="0"/>
        <w:keepLines w:val="0"/>
        <w:pageBreakBefore w:val="0"/>
        <w:widowControl/>
        <w:numPr>
          <w:ilvl w:val="0"/>
          <w:numId w:val="0"/>
        </w:numPr>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2）研发投入强度和数字普惠金融在耐心资本与区域创新生态之间均发挥部分中介效应。机制检验结果表明，政府引导基金不仅直接促进区域创新生态发展，还通过两条间接路径发挥作用：一是通过杠杆效应撬动社会资本增加研发投入，为创新生态发展提供资金支撑；二是通过推动数字经济发展，完善数字金融服务体系，为区域创新生态的数字化转型提供支撑。这一“政府引导基金→研发投入/数字普惠金融→区域创新生态”的双渠道传导路径，揭示了耐心资本赋能创新生态的微观作用机制，也印证了资金供给与数字赋能在创新价值链中的关键地位。</w:t>
      </w:r>
    </w:p>
    <w:p w14:paraId="30482434">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3）产学研合作和技术市场发展在耐心资本与区域创新生态之间发挥正向调节作用。调节效应检验结果显示，产学研合作水平越高，政府引导基金对区域创新生态的促进作用越强；技术市场越发达，政府引导基金的促进作用也越强。这一发现说明，政府引导基金的创新效应发挥并非孤立进行，而是高度依赖于区域创新生态的配套条件——完善的产学研协同体系能够加速知识流动和技术转移，成熟的技术市场体系能够加速创新成果的转化和应用，二者共同放大了政府引导基金的赋能效果。</w:t>
      </w:r>
    </w:p>
    <w:p w14:paraId="07802D7D">
      <w:pPr>
        <w:keepNext w:val="0"/>
        <w:keepLines w:val="0"/>
        <w:pageBreakBefore w:val="0"/>
        <w:widowControl/>
        <w:kinsoku/>
        <w:wordWrap/>
        <w:overflowPunct/>
        <w:topLinePunct w:val="0"/>
        <w:autoSpaceDE/>
        <w:autoSpaceDN/>
        <w:bidi w:val="0"/>
        <w:adjustRightInd/>
        <w:snapToGrid/>
        <w:spacing w:after="0" w:line="400" w:lineRule="exact"/>
        <w:ind w:firstLine="420" w:firstLineChars="200"/>
        <w:textAlignment w:val="auto"/>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（4）耐心资本对区域创新生态的促进效应存在显著的异质性特征。综合市场化水平、城市层级两个维度的分组检验结果</w:t>
      </w:r>
      <w:r>
        <w:rPr>
          <w:rFonts w:hint="default" w:ascii="宋体" w:hAnsi="宋体" w:eastAsia="宋体" w:cs="宋体"/>
          <w:b w:val="0"/>
          <w:sz w:val="21"/>
          <w:szCs w:val="21"/>
          <w:highlight w:val="none"/>
          <w:lang w:val="en-US" w:eastAsia="zh-CN"/>
        </w:rPr>
        <w:t>可以发现，政府引导基金对区域创新生态的影响呈现出显著的</w:t>
      </w:r>
      <w:r>
        <w:rPr>
          <w:rFonts w:hint="eastAsia" w:ascii="宋体" w:hAnsi="宋体" w:eastAsia="宋体" w:cs="宋体"/>
          <w:b w:val="0"/>
          <w:sz w:val="21"/>
          <w:szCs w:val="21"/>
          <w:highlight w:val="none"/>
          <w:lang w:val="en-US" w:eastAsia="zh-CN"/>
        </w:rPr>
        <w:t>“</w:t>
      </w:r>
      <w:r>
        <w:rPr>
          <w:rFonts w:hint="default" w:ascii="宋体" w:hAnsi="宋体" w:eastAsia="宋体" w:cs="宋体"/>
          <w:b w:val="0"/>
          <w:sz w:val="21"/>
          <w:szCs w:val="21"/>
          <w:highlight w:val="none"/>
          <w:lang w:val="en-US" w:eastAsia="zh-CN"/>
        </w:rPr>
        <w:t>补位效应</w:t>
      </w:r>
      <w:r>
        <w:rPr>
          <w:rFonts w:hint="eastAsia" w:ascii="宋体" w:hAnsi="宋体" w:eastAsia="宋体" w:cs="宋体"/>
          <w:b w:val="0"/>
          <w:sz w:val="21"/>
          <w:szCs w:val="21"/>
          <w:highlight w:val="none"/>
          <w:lang w:val="en-US" w:eastAsia="zh-CN"/>
        </w:rPr>
        <w:t>”</w:t>
      </w:r>
      <w:r>
        <w:rPr>
          <w:rFonts w:hint="default" w:ascii="宋体" w:hAnsi="宋体" w:eastAsia="宋体" w:cs="宋体"/>
          <w:b w:val="0"/>
          <w:sz w:val="21"/>
          <w:szCs w:val="21"/>
          <w:highlight w:val="none"/>
          <w:lang w:val="en-US" w:eastAsia="zh-CN"/>
        </w:rPr>
        <w:t>特征。这表明耐心资本的创新效应发挥高度依赖于区域创新资源丰裕程度与市场机制完善程度</w:t>
      </w:r>
      <w:r>
        <w:rPr>
          <w:rFonts w:hint="eastAsia" w:ascii="宋体" w:hAnsi="宋体" w:eastAsia="宋体" w:cs="宋体"/>
          <w:b w:val="0"/>
          <w:sz w:val="21"/>
          <w:szCs w:val="21"/>
          <w:highlight w:val="none"/>
          <w:lang w:val="en-US" w:eastAsia="zh-CN"/>
        </w:rPr>
        <w:t>——</w:t>
      </w:r>
      <w:r>
        <w:rPr>
          <w:rFonts w:hint="default" w:ascii="宋体" w:hAnsi="宋体" w:eastAsia="宋体" w:cs="宋体"/>
          <w:b w:val="0"/>
          <w:sz w:val="21"/>
          <w:szCs w:val="21"/>
          <w:highlight w:val="none"/>
          <w:lang w:val="en-US" w:eastAsia="zh-CN"/>
        </w:rPr>
        <w:t>在市场化程度较高、创新资源集聚的核心城市，市场机制能有效配置资源，政府引导基金面临边际效应递减；而在市场化水平较低、创新基础薄弱的非核心城市，市场失灵问题更为突出，政府引导基金通过填补创新资本缺口、引导社会资本投向创新领域，能够产生更大的边际贡献。这表明耐心资本在创新基础薄弱地区的补位作用更为突出，对于缩小区域创新差距、促进创新协调发展具有积极意义。</w:t>
      </w:r>
    </w:p>
    <w:p w14:paraId="3B7515A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904F1"/>
    <w:rsid w:val="5489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2026-10-13T08:22:00Z</dcterms:created>
  <dc:creator>ChinaO(∩_∩)OJapanese</dc:creator>
  <cp:lastModifiedBy>ChinaO(∩_∩)OJapanese</cp:lastModifiedBy>
  <dcterms:modified xsi:type="dcterms:W3CDTF">2026-10-13T08:24:49Z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D9E924E9F7D84FB6853B81B082C90A7E_11</vt:lpwstr>
  </property>
  <property fmtid="{D5CDD505-2E9C-101B-9397-08002B2CF9AE}" pid="4" name="KSOTemplateDocerSaveRecord">
    <vt:lpwstr>eyJoZGlkIjoiMTYzOTg2MzE4NTllNGM5MGE1NTJiMjg1NmI5NjgzMjciLCJ1c2VySWQiOiIyNTMxNTc0NjgifQ==</vt:lpwstr>
  </property>
</Properties>
</file>